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75"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2880" w:right="1600" w:hanging="2859"/>
        <w:spacing w:after="0" w:line="383"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ectPr>
          <w:pgSz w:w="11900" w:h="16838" w:orient="portrait"/>
          <w:cols w:equalWidth="0" w:num="1">
            <w:col w:w="11240"/>
          </w:cols>
          <w:pgMar w:left="320" w:top="638"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95131</w:t>
      </w:r>
    </w:p>
    <w:p>
      <w:pPr>
        <w:spacing w:after="0" w:line="36" w:lineRule="exact"/>
        <w:rPr>
          <w:sz w:val="24"/>
          <w:szCs w:val="24"/>
          <w:color w:val="auto"/>
        </w:rPr>
      </w:pPr>
    </w:p>
    <w:p>
      <w:pPr>
        <w:sectPr>
          <w:pgSz w:w="11900" w:h="16838" w:orient="portrait"/>
          <w:cols w:equalWidth="0" w:num="2">
            <w:col w:w="7700" w:space="240"/>
            <w:col w:w="3300"/>
          </w:cols>
          <w:pgMar w:left="320" w:top="638"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RANI</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00" w:firstLine="599"/>
        <w:spacing w:after="0" w:line="273" w:lineRule="auto"/>
        <w:rPr>
          <w:sz w:val="20"/>
          <w:szCs w:val="20"/>
          <w:color w:val="auto"/>
        </w:rPr>
      </w:pPr>
      <w:r>
        <w:rPr>
          <w:rFonts w:ascii="Arial" w:cs="Arial" w:eastAsia="Arial" w:hAnsi="Arial"/>
          <w:sz w:val="16"/>
          <w:szCs w:val="16"/>
          <w:color w:val="auto"/>
        </w:rPr>
        <w:t>As of May 8, 2023, the registrant had 25,376,236 shares of Class A common stock, $0.0001 par value per share, outstanding, 24,116,444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20" w:type="dxa"/>
            <w:vAlign w:val="bottom"/>
            <w:gridSpan w:val="2"/>
          </w:tcPr>
          <w:p>
            <w:pPr>
              <w:jc w:val="right"/>
              <w:ind w:right="4859"/>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Page</w:t>
            </w:r>
          </w:p>
        </w:tc>
      </w:tr>
      <w:tr>
        <w:trPr>
          <w:trHeight w:val="183"/>
        </w:trPr>
        <w:tc>
          <w:tcPr>
            <w:tcW w:w="388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0"/>
              </w:rPr>
              <w:t>Special Note Regarding Forward-Looking Statements</w:t>
            </w:r>
          </w:p>
        </w:tc>
        <w:tc>
          <w:tcPr>
            <w:tcW w:w="5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507"/>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3520" w:type="dxa"/>
            <w:vAlign w:val="bottom"/>
            <w:gridSpan w:val="2"/>
          </w:tcPr>
          <w:p>
            <w:pPr>
              <w:ind w:left="260"/>
              <w:spacing w:after="0"/>
              <w:rPr>
                <w:sz w:val="20"/>
                <w:szCs w:val="20"/>
                <w:color w:val="auto"/>
              </w:rPr>
            </w:pPr>
            <w:r>
              <w:rPr>
                <w:rFonts w:ascii="Arial" w:cs="Arial" w:eastAsia="Arial" w:hAnsi="Arial"/>
                <w:sz w:val="18"/>
                <w:szCs w:val="18"/>
                <w:color w:val="auto"/>
              </w:rPr>
              <w:t>FINANCIAL INFORMATION</w:t>
            </w:r>
          </w:p>
        </w:tc>
        <w:tc>
          <w:tcPr>
            <w:tcW w:w="6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160" w:type="dxa"/>
            <w:vAlign w:val="bottom"/>
            <w:gridSpan w:val="15"/>
          </w:tcPr>
          <w:p>
            <w:pPr>
              <w:spacing w:after="0"/>
              <w:rPr>
                <w:sz w:val="20"/>
                <w:szCs w:val="20"/>
                <w:color w:val="auto"/>
              </w:rPr>
            </w:pPr>
            <w:r>
              <w:rPr>
                <w:rFonts w:ascii="Arial" w:cs="Arial" w:eastAsia="Arial" w:hAnsi="Arial"/>
                <w:sz w:val="18"/>
                <w:szCs w:val="18"/>
                <w:b w:val="1"/>
                <w:bCs w:val="1"/>
                <w:color w:val="auto"/>
              </w:rPr>
              <w:t>RANI THERAPEUTICS HOLDINGS, INC.</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8160" w:type="dxa"/>
            <w:vAlign w:val="bottom"/>
            <w:gridSpan w:val="15"/>
          </w:tcPr>
          <w:p>
            <w:pPr>
              <w:spacing w:after="0" w:line="202" w:lineRule="exact"/>
              <w:rPr>
                <w:sz w:val="20"/>
                <w:szCs w:val="20"/>
                <w:color w:val="auto"/>
              </w:rPr>
            </w:pPr>
            <w:r>
              <w:rPr>
                <w:rFonts w:ascii="Arial" w:cs="Arial" w:eastAsia="Arial" w:hAnsi="Arial"/>
                <w:sz w:val="18"/>
                <w:szCs w:val="18"/>
                <w:color w:val="0000FF"/>
              </w:rPr>
              <w:t>Financial Statements (Unaudited)</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Operations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16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16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16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vMerge w:val="continue"/>
          </w:tcPr>
          <w:p>
            <w:pPr>
              <w:spacing w:after="0"/>
              <w:rPr>
                <w:sz w:val="24"/>
                <w:szCs w:val="24"/>
                <w:color w:val="auto"/>
              </w:rPr>
            </w:pPr>
          </w:p>
        </w:tc>
        <w:tc>
          <w:tcPr>
            <w:tcW w:w="816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16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16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16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16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160" w:type="dxa"/>
            <w:vAlign w:val="bottom"/>
            <w:gridSpan w:val="15"/>
          </w:tcPr>
          <w:p>
            <w:pPr>
              <w:spacing w:after="0"/>
              <w:rPr>
                <w:sz w:val="20"/>
                <w:szCs w:val="20"/>
                <w:color w:val="auto"/>
              </w:rPr>
            </w:pPr>
            <w:r>
              <w:rPr>
                <w:rFonts w:ascii="Arial" w:cs="Arial" w:eastAsia="Arial" w:hAnsi="Arial"/>
                <w:sz w:val="18"/>
                <w:szCs w:val="18"/>
                <w:color w:val="0000FF"/>
              </w:rPr>
              <w:t>Mine Safety Disclosures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16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16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0"/>
        <w:spacing w:after="0" w:line="263" w:lineRule="auto"/>
        <w:rPr>
          <w:sz w:val="20"/>
          <w:szCs w:val="20"/>
          <w:color w:val="auto"/>
        </w:rPr>
      </w:pPr>
      <w:r>
        <w:rPr>
          <w:rFonts w:ascii="Arial" w:cs="Arial" w:eastAsia="Arial" w:hAnsi="Arial"/>
          <w:sz w:val="18"/>
          <w:szCs w:val="18"/>
          <w:i w:val="1"/>
          <w:iCs w:val="1"/>
          <w:color w:val="auto"/>
        </w:rPr>
        <w:t>Unless otherwise stated or the context otherwise requires, the terms “we,” “us,” and “our,” and similar references refer to Rani Therapeutics Holdings, Inc. (“Rani Holdings”) and its consolidated subsidiary, Rani Therapeutics, LLC (“Rani LLC”) and, prior to December 15, 2022, Rani Management Systems, Inc. (“RMS”). RMS was dissolved as of December 15,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54" w:lineRule="exact"/>
        <w:rPr>
          <w:sz w:val="20"/>
          <w:szCs w:val="20"/>
          <w:color w:val="auto"/>
        </w:rPr>
      </w:pPr>
    </w:p>
    <w:p>
      <w:pPr>
        <w:ind w:left="1540" w:right="32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540" w:right="24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jc w:val="both"/>
        <w:ind w:left="1540" w:right="180" w:hanging="514"/>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currently used for our product candidates;</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128" w:lineRule="exact"/>
        <w:rPr>
          <w:rFonts w:ascii="Arial" w:cs="Arial" w:eastAsia="Arial" w:hAnsi="Arial"/>
          <w:sz w:val="17"/>
          <w:szCs w:val="17"/>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117" w:lineRule="exact"/>
        <w:rPr>
          <w:rFonts w:ascii="Arial" w:cs="Arial" w:eastAsia="Arial" w:hAnsi="Arial"/>
          <w:sz w:val="18"/>
          <w:szCs w:val="18"/>
          <w:color w:val="auto"/>
        </w:rPr>
      </w:pPr>
    </w:p>
    <w:p>
      <w:pPr>
        <w:ind w:left="1540" w:right="14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17" w:lineRule="exact"/>
        <w:rPr>
          <w:rFonts w:ascii="Arial" w:cs="Arial" w:eastAsia="Arial" w:hAnsi="Arial"/>
          <w:sz w:val="18"/>
          <w:szCs w:val="18"/>
          <w:color w:val="auto"/>
        </w:rPr>
      </w:pPr>
    </w:p>
    <w:p>
      <w:pPr>
        <w:ind w:left="1540" w:right="10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1540" w:right="28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1540" w:hanging="514"/>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140" w:lineRule="exact"/>
        <w:rPr>
          <w:rFonts w:ascii="Arial" w:cs="Arial" w:eastAsia="Arial" w:hAnsi="Arial"/>
          <w:sz w:val="16"/>
          <w:szCs w:val="16"/>
          <w:color w:val="auto"/>
        </w:rPr>
      </w:pPr>
    </w:p>
    <w:p>
      <w:pPr>
        <w:ind w:left="1540" w:hanging="514"/>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17" w:lineRule="exact"/>
        <w:rPr>
          <w:rFonts w:ascii="Arial" w:cs="Arial" w:eastAsia="Arial" w:hAnsi="Arial"/>
          <w:sz w:val="18"/>
          <w:szCs w:val="18"/>
          <w:color w:val="auto"/>
        </w:rPr>
      </w:pPr>
    </w:p>
    <w:p>
      <w:pPr>
        <w:ind w:left="1540" w:right="160" w:hanging="514"/>
        <w:spacing w:after="0" w:line="263"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75" w:lineRule="exact"/>
        <w:rPr>
          <w:rFonts w:ascii="Arial" w:cs="Arial" w:eastAsia="Arial" w:hAnsi="Arial"/>
          <w:sz w:val="18"/>
          <w:szCs w:val="18"/>
          <w:color w:val="auto"/>
        </w:rPr>
      </w:pPr>
    </w:p>
    <w:p>
      <w:pPr>
        <w:ind w:left="1540" w:right="20" w:hanging="514"/>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70" w:lineRule="exact"/>
        <w:rPr>
          <w:sz w:val="20"/>
          <w:szCs w:val="20"/>
          <w:color w:val="auto"/>
        </w:rPr>
      </w:pPr>
    </w:p>
    <w:p>
      <w:pPr>
        <w:ind w:right="80" w:firstLine="1018"/>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described in the section titled “Risk Factors” and elsewhere in our Annual Report on Form 10-K filed with the Securities and Exchange Commission on March 22, 2023.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64"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7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18,984</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89,038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96,446</w:t>
            </w:r>
          </w:p>
        </w:tc>
        <w:tc>
          <w:tcPr>
            <w:tcW w:w="1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108,027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8"/>
                <w:szCs w:val="18"/>
                <w:color w:val="auto"/>
                <w:w w:val="92"/>
              </w:rPr>
              <w:t>Preferred stock, $0.0001 par value - 20,000 shares authorized; none issued and outstanding as of March</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31, 2023 and December 31, 2022</w:t>
            </w:r>
          </w:p>
        </w:tc>
        <w:tc>
          <w:tcPr>
            <w:tcW w:w="2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Class A common stock, $0.0001 par value - 800,000 shares authorized; 25,376 and 25,295 issued and</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8"/>
                <w:szCs w:val="18"/>
                <w:color w:val="auto"/>
                <w:w w:val="92"/>
              </w:rPr>
              <w:t>Class B common stock, $0.0001 par value - 40,000 shares authorized; 24,116 issued and outstanding as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of March 31, 2023 and December 31, 2022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2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Class C common stock, $0.0001 par value - 20,000 shares authorized; none issued and outstanding as of</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31, 2023 and December 31, 2022</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75,842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(47,291 )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(38,919 )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26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37,149</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61,589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96,446</w:t>
            </w:r>
          </w:p>
        </w:tc>
        <w:tc>
          <w:tcPr>
            <w:tcW w:w="1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108,027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-4199890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-3239770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9,712</w:t>
            </w:r>
          </w:p>
        </w:tc>
        <w:tc>
          <w:tcPr>
            <w:tcW w:w="30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(16,516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(13,780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and other, net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(1,207 )</w:t>
            </w:r>
          </w:p>
        </w:tc>
        <w:tc>
          <w:tcPr>
            <w:tcW w:w="9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(16,832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(13,765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(16,832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(13,828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(8,460 )</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(7,605 )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96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w w:val="93"/>
              </w:rPr>
              <w:t>Net loss per Class A common share attributable to Rani Therapeutics Holdings, Inc., basic and diluted</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(0.33 )</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(0.29 )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Class A common shares outstanding—basic and diluted</w:t>
            </w: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25,240</w:t>
            </w: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-1971040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122555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5550"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(16,832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(13,828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unrealized gain on marketable securities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(16,706 )</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(13,828 )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 attributable to non-controlling interest</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loss attributable to Rani Therapeutics Holdings, Inc.</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(8,309 )</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(6,223 )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-530860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56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w w:val="98"/>
              </w:rPr>
              <w:t>Class A Common Stock</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1"/>
                <w:szCs w:val="11"/>
                <w:b w:val="1"/>
                <w:bCs w:val="1"/>
                <w:color w:val="auto"/>
                <w:w w:val="90"/>
              </w:rPr>
              <w:t>Class B Common Stock</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1"/>
        </w:trPr>
        <w:tc>
          <w:tcPr>
            <w:tcW w:w="2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2"/>
          </w:tcPr>
          <w:p>
            <w:pPr>
              <w:jc w:val="center"/>
              <w:ind w:left="67"/>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Non-</w:t>
            </w: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Additional Paid</w:t>
            </w:r>
          </w:p>
        </w:tc>
        <w:tc>
          <w:tcPr>
            <w:tcW w:w="9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286"/>
              <w:spacing w:after="0" w:line="122" w:lineRule="exact"/>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88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Controlling</w:t>
            </w:r>
          </w:p>
        </w:tc>
        <w:tc>
          <w:tcPr>
            <w:tcW w:w="6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Total Stockholders'</w:t>
            </w:r>
          </w:p>
        </w:tc>
      </w:tr>
      <w:tr>
        <w:trPr>
          <w:trHeight w:val="144"/>
        </w:trPr>
        <w:tc>
          <w:tcPr>
            <w:tcW w:w="23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In Capital</w:t>
            </w:r>
          </w:p>
        </w:tc>
        <w:tc>
          <w:tcPr>
            <w:tcW w:w="220" w:type="dxa"/>
            <w:vAlign w:val="bottom"/>
          </w:tcPr>
          <w:p>
            <w:pPr>
              <w:spacing w:after="0"/>
              <w:rPr>
                <w:sz w:val="12"/>
                <w:szCs w:val="12"/>
                <w:color w:val="auto"/>
              </w:rPr>
            </w:pPr>
          </w:p>
        </w:tc>
        <w:tc>
          <w:tcPr>
            <w:tcW w:w="640" w:type="dxa"/>
            <w:vAlign w:val="bottom"/>
            <w:tcBorders>
              <w:bottom w:val="single" w:sz="8" w:color="auto"/>
            </w:tcBorders>
            <w:gridSpan w:val="2"/>
          </w:tcPr>
          <w:p>
            <w:pPr>
              <w:jc w:val="center"/>
              <w:ind w:left="107"/>
              <w:spacing w:after="0"/>
              <w:rPr>
                <w:sz w:val="20"/>
                <w:szCs w:val="20"/>
                <w:color w:val="auto"/>
              </w:rPr>
            </w:pPr>
            <w:r>
              <w:rPr>
                <w:rFonts w:ascii="Arial" w:cs="Arial" w:eastAsia="Arial" w:hAnsi="Arial"/>
                <w:sz w:val="11"/>
                <w:szCs w:val="11"/>
                <w:b w:val="1"/>
                <w:bCs w:val="1"/>
                <w:color w:val="auto"/>
                <w:w w:val="77"/>
              </w:rPr>
              <w:t>Loss</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Deficit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0"/>
              </w:rPr>
              <w:t>Interest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r>
      <w:tr>
        <w:trPr>
          <w:trHeight w:val="146"/>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December 31, 2022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25,295</w:t>
            </w:r>
          </w:p>
        </w:tc>
        <w:tc>
          <w:tcPr>
            <w:tcW w:w="24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24,116</w:t>
            </w:r>
          </w:p>
        </w:tc>
        <w:tc>
          <w:tcPr>
            <w:tcW w:w="680" w:type="dxa"/>
            <w:vAlign w:val="bottom"/>
            <w:tcBorders>
              <w:right w:val="single" w:sz="8" w:color="CFF0FC"/>
            </w:tcBorders>
            <w:gridSpan w:val="2"/>
            <w:shd w:val="clear" w:color="auto" w:fill="CFF0FC"/>
          </w:tcPr>
          <w:p>
            <w:pPr>
              <w:jc w:val="right"/>
              <w:ind w:right="307"/>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4"/>
              </w:rPr>
              <w:t>75,842</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88"/>
              </w:rPr>
              <w:t>(73 )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60" w:type="dxa"/>
            <w:vAlign w:val="bottom"/>
            <w:gridSpan w:val="4"/>
            <w:shd w:val="clear" w:color="auto" w:fill="CFF0FC"/>
          </w:tcPr>
          <w:p>
            <w:pPr>
              <w:jc w:val="right"/>
              <w:ind w:right="106"/>
              <w:spacing w:after="0"/>
              <w:rPr>
                <w:sz w:val="20"/>
                <w:szCs w:val="20"/>
                <w:color w:val="auto"/>
              </w:rPr>
            </w:pPr>
            <w:r>
              <w:rPr>
                <w:rFonts w:ascii="Arial" w:cs="Arial" w:eastAsia="Arial" w:hAnsi="Arial"/>
                <w:sz w:val="11"/>
                <w:szCs w:val="11"/>
                <w:color w:val="auto"/>
              </w:rPr>
              <w:t>(38,919 )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37,149</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74,004</w:t>
            </w:r>
          </w:p>
        </w:tc>
        <w:tc>
          <w:tcPr>
            <w:tcW w:w="100" w:type="dxa"/>
            <w:vAlign w:val="bottom"/>
            <w:shd w:val="clear" w:color="auto" w:fill="CFF0FC"/>
          </w:tcPr>
          <w:p>
            <w:pPr>
              <w:spacing w:after="0"/>
              <w:rPr>
                <w:sz w:val="12"/>
                <w:szCs w:val="12"/>
                <w:color w:val="auto"/>
              </w:rPr>
            </w:pPr>
          </w:p>
        </w:tc>
      </w:tr>
      <w:tr>
        <w:trPr>
          <w:trHeight w:val="125"/>
        </w:trPr>
        <w:tc>
          <w:tcPr>
            <w:tcW w:w="230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 under employee</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300" w:type="dxa"/>
            <w:vAlign w:val="bottom"/>
          </w:tcPr>
          <w:p>
            <w:pPr>
              <w:ind w:left="20"/>
              <w:spacing w:after="0" w:line="122" w:lineRule="exact"/>
              <w:rPr>
                <w:sz w:val="20"/>
                <w:szCs w:val="20"/>
                <w:color w:val="auto"/>
              </w:rPr>
            </w:pPr>
            <w:r>
              <w:rPr>
                <w:rFonts w:ascii="Arial" w:cs="Arial" w:eastAsia="Arial" w:hAnsi="Arial"/>
                <w:sz w:val="11"/>
                <w:szCs w:val="11"/>
                <w:color w:val="auto"/>
              </w:rPr>
              <w:t>equity plans, net of shares withheld for tax</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settlement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34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8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3"/>
          </w:tcPr>
          <w:p>
            <w:pPr>
              <w:jc w:val="right"/>
              <w:ind w:right="126"/>
              <w:spacing w:after="0"/>
              <w:rPr>
                <w:sz w:val="20"/>
                <w:szCs w:val="20"/>
                <w:color w:val="auto"/>
              </w:rPr>
            </w:pPr>
            <w:r>
              <w:rPr>
                <w:rFonts w:ascii="Arial" w:cs="Arial" w:eastAsia="Arial" w:hAnsi="Arial"/>
                <w:sz w:val="11"/>
                <w:szCs w:val="11"/>
                <w:color w:val="auto"/>
              </w:rPr>
              <w:t>(124 )</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(124 )</w:t>
            </w:r>
          </w:p>
        </w:tc>
      </w:tr>
      <w:tr>
        <w:trPr>
          <w:trHeight w:val="130"/>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8"/>
              </w:rPr>
              <w:t>Non-controlling interest adjustment for changes</w:t>
            </w:r>
          </w:p>
        </w:tc>
        <w:tc>
          <w:tcPr>
            <w:tcW w:w="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 proportionate ownership in Rani LLC</w:t>
            </w:r>
          </w:p>
        </w:tc>
        <w:tc>
          <w:tcPr>
            <w:tcW w:w="38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346"/>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spacing w:after="0"/>
              <w:rPr>
                <w:sz w:val="12"/>
                <w:szCs w:val="12"/>
                <w:color w:val="auto"/>
              </w:rPr>
            </w:pPr>
          </w:p>
        </w:tc>
        <w:tc>
          <w:tcPr>
            <w:tcW w:w="260" w:type="dxa"/>
            <w:vAlign w:val="bottom"/>
            <w:gridSpan w:val="2"/>
            <w:shd w:val="clear" w:color="auto" w:fill="CFF0FC"/>
          </w:tcPr>
          <w:p>
            <w:pPr>
              <w:jc w:val="right"/>
              <w:ind w:right="8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(98 )</w:t>
            </w:r>
          </w:p>
        </w:tc>
        <w:tc>
          <w:tcPr>
            <w:tcW w:w="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4"/>
        </w:trPr>
        <w:tc>
          <w:tcPr>
            <w:tcW w:w="230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3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34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8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2,202</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4,415</w:t>
            </w:r>
          </w:p>
        </w:tc>
        <w:tc>
          <w:tcPr>
            <w:tcW w:w="100" w:type="dxa"/>
            <w:vAlign w:val="bottom"/>
          </w:tcPr>
          <w:p>
            <w:pPr>
              <w:spacing w:after="0"/>
              <w:rPr>
                <w:sz w:val="12"/>
                <w:szCs w:val="12"/>
                <w:color w:val="auto"/>
              </w:rPr>
            </w:pPr>
          </w:p>
        </w:tc>
      </w:tr>
      <w:tr>
        <w:trPr>
          <w:trHeight w:val="153"/>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38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346"/>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spacing w:after="0"/>
              <w:rPr>
                <w:sz w:val="13"/>
                <w:szCs w:val="13"/>
                <w:color w:val="auto"/>
              </w:rPr>
            </w:pPr>
          </w:p>
        </w:tc>
        <w:tc>
          <w:tcPr>
            <w:tcW w:w="260" w:type="dxa"/>
            <w:vAlign w:val="bottom"/>
            <w:gridSpan w:val="2"/>
            <w:shd w:val="clear" w:color="auto" w:fill="CFF0FC"/>
          </w:tcPr>
          <w:p>
            <w:pPr>
              <w:jc w:val="right"/>
              <w:ind w:right="8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06"/>
              <w:spacing w:after="0"/>
              <w:rPr>
                <w:sz w:val="20"/>
                <w:szCs w:val="20"/>
                <w:color w:val="auto"/>
              </w:rPr>
            </w:pPr>
            <w:r>
              <w:rPr>
                <w:rFonts w:ascii="Arial" w:cs="Arial" w:eastAsia="Arial" w:hAnsi="Arial"/>
                <w:sz w:val="11"/>
                <w:szCs w:val="11"/>
                <w:color w:val="auto"/>
              </w:rPr>
              <w:t>(8,372 )</w:t>
            </w: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(8,460 )</w:t>
            </w:r>
          </w:p>
        </w:tc>
        <w:tc>
          <w:tcPr>
            <w:tcW w:w="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(16,832 )</w:t>
            </w:r>
          </w:p>
        </w:tc>
      </w:tr>
      <w:tr>
        <w:trPr>
          <w:trHeight w:val="144"/>
        </w:trPr>
        <w:tc>
          <w:tcPr>
            <w:tcW w:w="230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2"/>
                <w:szCs w:val="12"/>
                <w:color w:val="auto"/>
              </w:rPr>
            </w:pPr>
          </w:p>
        </w:tc>
      </w:tr>
      <w:tr>
        <w:trPr>
          <w:trHeight w:val="162"/>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March 31, 2023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25,376</w:t>
            </w:r>
          </w:p>
        </w:tc>
        <w:tc>
          <w:tcPr>
            <w:tcW w:w="24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24,116</w:t>
            </w:r>
          </w:p>
        </w:tc>
        <w:tc>
          <w:tcPr>
            <w:tcW w:w="26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307"/>
              <w:spacing w:after="0"/>
              <w:rPr>
                <w:sz w:val="20"/>
                <w:szCs w:val="20"/>
                <w:color w:val="auto"/>
              </w:rPr>
            </w:pPr>
            <w:r>
              <w:rPr>
                <w:rFonts w:ascii="Arial" w:cs="Arial" w:eastAsia="Arial" w:hAnsi="Arial"/>
                <w:sz w:val="10"/>
                <w:szCs w:val="10"/>
                <w:color w:val="auto"/>
                <w:w w:val="71"/>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4"/>
              </w:rPr>
              <w:t>78,018</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30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88"/>
              </w:rPr>
              <w:t>(10 )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60" w:type="dxa"/>
            <w:vAlign w:val="bottom"/>
            <w:gridSpan w:val="4"/>
            <w:shd w:val="clear" w:color="auto" w:fill="CFF0FC"/>
          </w:tcPr>
          <w:p>
            <w:pPr>
              <w:jc w:val="right"/>
              <w:ind w:right="106"/>
              <w:spacing w:after="0"/>
              <w:rPr>
                <w:sz w:val="20"/>
                <w:szCs w:val="20"/>
                <w:color w:val="auto"/>
              </w:rPr>
            </w:pPr>
            <w:r>
              <w:rPr>
                <w:rFonts w:ascii="Arial" w:cs="Arial" w:eastAsia="Arial" w:hAnsi="Arial"/>
                <w:sz w:val="11"/>
                <w:szCs w:val="11"/>
                <w:color w:val="auto"/>
              </w:rPr>
              <w:t>(47,291 )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30,867</w:t>
            </w:r>
          </w:p>
        </w:tc>
        <w:tc>
          <w:tcPr>
            <w:tcW w:w="2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61,589</w:t>
            </w:r>
          </w:p>
        </w:tc>
        <w:tc>
          <w:tcPr>
            <w:tcW w:w="100" w:type="dxa"/>
            <w:vAlign w:val="bottom"/>
            <w:shd w:val="clear" w:color="auto" w:fill="CFF0FC"/>
          </w:tcPr>
          <w:p>
            <w:pPr>
              <w:spacing w:after="0"/>
              <w:rPr>
                <w:sz w:val="14"/>
                <w:szCs w:val="14"/>
                <w:color w:val="auto"/>
              </w:rPr>
            </w:pP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3"/>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Borders>
              <w:bottom w:val="single" w:sz="8" w:color="auto"/>
            </w:tcBorders>
            <w:gridSpan w:val="8"/>
          </w:tcPr>
          <w:p>
            <w:pPr>
              <w:jc w:val="right"/>
              <w:ind w:right="286"/>
              <w:spacing w:after="0"/>
              <w:rPr>
                <w:sz w:val="20"/>
                <w:szCs w:val="20"/>
                <w:color w:val="auto"/>
              </w:rPr>
            </w:pPr>
            <w:r>
              <w:rPr>
                <w:rFonts w:ascii="Arial" w:cs="Arial" w:eastAsia="Arial" w:hAnsi="Arial"/>
                <w:sz w:val="11"/>
                <w:szCs w:val="11"/>
                <w:b w:val="1"/>
                <w:bCs w:val="1"/>
                <w:color w:val="auto"/>
              </w:rPr>
              <w:t>Class A Common Stock</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286"/>
              <w:spacing w:after="0"/>
              <w:rPr>
                <w:sz w:val="20"/>
                <w:szCs w:val="20"/>
                <w:color w:val="auto"/>
              </w:rPr>
            </w:pPr>
            <w:r>
              <w:rPr>
                <w:rFonts w:ascii="Arial" w:cs="Arial" w:eastAsia="Arial" w:hAnsi="Arial"/>
                <w:sz w:val="11"/>
                <w:szCs w:val="11"/>
                <w:b w:val="1"/>
                <w:bCs w:val="1"/>
                <w:color w:val="auto"/>
                <w:w w:val="88"/>
              </w:rPr>
              <w:t>Class B Common Stock</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2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Additional Paid</w:t>
            </w:r>
          </w:p>
        </w:tc>
        <w:tc>
          <w:tcPr>
            <w:tcW w:w="1020" w:type="dxa"/>
            <w:vAlign w:val="bottom"/>
            <w:gridSpan w:val="6"/>
          </w:tcPr>
          <w:p>
            <w:pPr>
              <w:jc w:val="right"/>
              <w:ind w:right="260"/>
              <w:spacing w:after="0" w:line="12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0"/>
                <w:szCs w:val="10"/>
                <w:color w:val="auto"/>
              </w:rPr>
            </w:pPr>
          </w:p>
        </w:tc>
        <w:tc>
          <w:tcPr>
            <w:tcW w:w="1180" w:type="dxa"/>
            <w:vAlign w:val="bottom"/>
            <w:gridSpan w:val="4"/>
          </w:tcPr>
          <w:p>
            <w:pPr>
              <w:jc w:val="right"/>
              <w:ind w:right="380"/>
              <w:spacing w:after="0" w:line="122" w:lineRule="exact"/>
              <w:rPr>
                <w:sz w:val="20"/>
                <w:szCs w:val="20"/>
                <w:color w:val="auto"/>
              </w:rPr>
            </w:pPr>
            <w:r>
              <w:rPr>
                <w:rFonts w:ascii="Arial" w:cs="Arial" w:eastAsia="Arial" w:hAnsi="Arial"/>
                <w:sz w:val="11"/>
                <w:szCs w:val="11"/>
                <w:b w:val="1"/>
                <w:bCs w:val="1"/>
                <w:color w:val="auto"/>
                <w:w w:val="93"/>
              </w:rPr>
              <w:t>Non-Controlling</w:t>
            </w:r>
          </w:p>
        </w:tc>
        <w:tc>
          <w:tcPr>
            <w:tcW w:w="6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Total Stockholders'</w:t>
            </w:r>
          </w:p>
        </w:tc>
      </w:tr>
      <w:tr>
        <w:trPr>
          <w:trHeight w:val="144"/>
        </w:trPr>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w w:val="87"/>
              </w:rPr>
              <w:t>Shares</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307"/>
              <w:spacing w:after="0"/>
              <w:rPr>
                <w:sz w:val="20"/>
                <w:szCs w:val="20"/>
                <w:color w:val="auto"/>
              </w:rPr>
            </w:pPr>
            <w:r>
              <w:rPr>
                <w:rFonts w:ascii="Arial" w:cs="Arial" w:eastAsia="Arial" w:hAnsi="Arial"/>
                <w:sz w:val="11"/>
                <w:szCs w:val="11"/>
                <w:b w:val="1"/>
                <w:bCs w:val="1"/>
                <w:color w:val="auto"/>
                <w:w w:val="81"/>
              </w:rPr>
              <w:t>Shares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1"/>
                <w:szCs w:val="11"/>
                <w:b w:val="1"/>
                <w:bCs w:val="1"/>
                <w:color w:val="auto"/>
                <w:w w:val="92"/>
              </w:rPr>
              <w:t>In 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1"/>
                <w:szCs w:val="11"/>
                <w:b w:val="1"/>
                <w:bCs w:val="1"/>
                <w:color w:val="auto"/>
                <w:w w:val="95"/>
              </w:rPr>
              <w:t>Interest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2"/>
                <w:szCs w:val="12"/>
                <w:color w:val="auto"/>
              </w:rPr>
            </w:pPr>
          </w:p>
        </w:tc>
      </w:tr>
      <w:tr>
        <w:trPr>
          <w:trHeight w:val="146"/>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December 31, 2021</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19,712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1"/>
                <w:szCs w:val="11"/>
                <w:color w:val="auto"/>
              </w:rPr>
              <w:t>29,290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55,737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(8,331 )</w:t>
            </w:r>
          </w:p>
        </w:tc>
        <w:tc>
          <w:tcPr>
            <w:tcW w:w="40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74,156</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121,567</w:t>
            </w:r>
          </w:p>
        </w:tc>
        <w:tc>
          <w:tcPr>
            <w:tcW w:w="100" w:type="dxa"/>
            <w:vAlign w:val="bottom"/>
            <w:shd w:val="clear" w:color="auto" w:fill="CFF0FC"/>
          </w:tcPr>
          <w:p>
            <w:pPr>
              <w:spacing w:after="0"/>
              <w:rPr>
                <w:sz w:val="12"/>
                <w:szCs w:val="12"/>
                <w:color w:val="auto"/>
              </w:rPr>
            </w:pPr>
          </w:p>
        </w:tc>
      </w:tr>
      <w:tr>
        <w:trPr>
          <w:trHeight w:val="125"/>
        </w:trPr>
        <w:tc>
          <w:tcPr>
            <w:tcW w:w="2300" w:type="dxa"/>
            <w:vAlign w:val="bottom"/>
          </w:tcPr>
          <w:p>
            <w:pPr>
              <w:ind w:left="20"/>
              <w:spacing w:after="0" w:line="125" w:lineRule="exact"/>
              <w:rPr>
                <w:sz w:val="20"/>
                <w:szCs w:val="20"/>
                <w:color w:val="auto"/>
              </w:rPr>
            </w:pPr>
            <w:r>
              <w:rPr>
                <w:rFonts w:ascii="Arial" w:cs="Arial" w:eastAsia="Arial" w:hAnsi="Arial"/>
                <w:sz w:val="11"/>
                <w:szCs w:val="11"/>
                <w:color w:val="auto"/>
                <w:w w:val="95"/>
              </w:rPr>
              <w:t>Effect of exchanges of Paired Interests and non-</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corresponding Class A Units of Rani LLC</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79"/>
              </w:rPr>
              <w:t>4,675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(4,517 )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0"/>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3"/>
              </w:rPr>
              <w:t>Non-controlling interest adjustment for changes in</w:t>
            </w:r>
          </w:p>
        </w:tc>
        <w:tc>
          <w:tcPr>
            <w:tcW w:w="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proportionate ownership in Rani LLC</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10,928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(10,928 )</w:t>
            </w:r>
          </w:p>
        </w:tc>
        <w:tc>
          <w:tcPr>
            <w:tcW w:w="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4"/>
        </w:trPr>
        <w:tc>
          <w:tcPr>
            <w:tcW w:w="230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2,905</w:t>
            </w:r>
          </w:p>
        </w:tc>
        <w:tc>
          <w:tcPr>
            <w:tcW w:w="100" w:type="dxa"/>
            <w:vAlign w:val="bottom"/>
          </w:tcPr>
          <w:p>
            <w:pPr>
              <w:spacing w:after="0"/>
              <w:rPr>
                <w:sz w:val="12"/>
                <w:szCs w:val="12"/>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(6,223 )</w:t>
            </w: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(7,605 )</w:t>
            </w:r>
          </w:p>
        </w:tc>
        <w:tc>
          <w:tcPr>
            <w:tcW w:w="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(13,828 )</w:t>
            </w:r>
          </w:p>
        </w:tc>
      </w:tr>
      <w:tr>
        <w:trPr>
          <w:trHeight w:val="20"/>
        </w:trPr>
        <w:tc>
          <w:tcPr>
            <w:tcW w:w="2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2300" w:type="dxa"/>
            <w:vAlign w:val="bottom"/>
          </w:tcPr>
          <w:p>
            <w:pPr>
              <w:ind w:left="20"/>
              <w:spacing w:after="0"/>
              <w:rPr>
                <w:sz w:val="20"/>
                <w:szCs w:val="20"/>
                <w:color w:val="auto"/>
              </w:rPr>
            </w:pPr>
            <w:r>
              <w:rPr>
                <w:rFonts w:ascii="Arial" w:cs="Arial" w:eastAsia="Arial" w:hAnsi="Arial"/>
                <w:sz w:val="11"/>
                <w:szCs w:val="11"/>
                <w:color w:val="auto"/>
              </w:rPr>
              <w:t>Balance at March 31, 2022</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w w:val="71"/>
              </w:rPr>
              <w:t>24,387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7"/>
              <w:spacing w:after="0"/>
              <w:rPr>
                <w:sz w:val="20"/>
                <w:szCs w:val="20"/>
                <w:color w:val="auto"/>
              </w:rPr>
            </w:pPr>
            <w:r>
              <w:rPr>
                <w:rFonts w:ascii="Arial" w:cs="Arial" w:eastAsia="Arial" w:hAnsi="Arial"/>
                <w:sz w:val="11"/>
                <w:szCs w:val="11"/>
                <w:color w:val="auto"/>
              </w:rPr>
              <w:t>24,773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67,933</w:t>
            </w:r>
          </w:p>
        </w:tc>
        <w:tc>
          <w:tcPr>
            <w:tcW w:w="22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(14,554 )</w:t>
            </w:r>
          </w:p>
        </w:tc>
        <w:tc>
          <w:tcPr>
            <w:tcW w:w="4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57,260</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110,644</w:t>
            </w:r>
          </w:p>
        </w:tc>
        <w:tc>
          <w:tcPr>
            <w:tcW w:w="10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-1199515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-1182370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-1199515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-1182370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-1199515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-1182370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-1199515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-1182370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-1199515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-1182370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-1199515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-1182370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-1199515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-1182370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-1199515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-1182370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-128270</wp:posOffset>
            </wp:positionV>
            <wp:extent cx="7683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-128270</wp:posOffset>
            </wp:positionV>
            <wp:extent cx="7683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-128270</wp:posOffset>
            </wp:positionV>
            <wp:extent cx="685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-128270</wp:posOffset>
            </wp:positionV>
            <wp:extent cx="685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-128270</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-128270</wp:posOffset>
            </wp:positionV>
            <wp:extent cx="6858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-128270</wp:posOffset>
            </wp:positionV>
            <wp:extent cx="6858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350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9"/>
        </w:trPr>
        <w:tc>
          <w:tcPr>
            <w:tcW w:w="77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88"/>
              </w:rPr>
              <w:t>(16,832 )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(13,828 )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Non-cash operating lease expense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debt discount and issuance costs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(699 )</w:t>
            </w:r>
          </w:p>
        </w:tc>
        <w:tc>
          <w:tcPr>
            <w:tcW w:w="34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(259 )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0"/>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(12,154</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88"/>
              </w:rPr>
              <w:t>(18,629 )</w:t>
            </w:r>
          </w:p>
        </w:tc>
        <w:tc>
          <w:tcPr>
            <w:tcW w:w="34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maturities of marketable securities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(248 )</w:t>
            </w: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Tax withholdings paid on behalf of employees for net share settlement</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(124 )</w:t>
            </w:r>
          </w:p>
        </w:tc>
        <w:tc>
          <w:tcPr>
            <w:tcW w:w="34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Net decrease in cash, cash equivalents and restricted cash equivalents</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(8,023 )</w:t>
            </w: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(9,614 )</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equivalents,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equivalents,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8"/>
                <w:szCs w:val="18"/>
                <w:color w:val="auto"/>
                <w:w w:val="91"/>
              </w:rPr>
              <w:t>Property and equipment purchases included in accounts payable and accrued expenses and other current</w:t>
            </w:r>
          </w:p>
        </w:tc>
        <w:tc>
          <w:tcPr>
            <w:tcW w:w="980" w:type="dxa"/>
            <w:vAlign w:val="bottom"/>
            <w:vMerge w:val="restart"/>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liabilities</w:t>
            </w:r>
          </w:p>
        </w:tc>
        <w:tc>
          <w:tcPr>
            <w:tcW w:w="9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Interest income receivable included in prepaid expenses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Exchanges of Paired Interests and non-corresponding Class A Units of Rani LLC</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73,160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-3089275</wp:posOffset>
            </wp:positionV>
            <wp:extent cx="125095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095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-1666240</wp:posOffset>
            </wp:positionV>
            <wp:extent cx="7145020" cy="338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-1173480</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122555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5550"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60" w:firstLine="1018"/>
        <w:spacing w:after="0" w:line="257" w:lineRule="auto"/>
        <w:rPr>
          <w:sz w:val="20"/>
          <w:szCs w:val="20"/>
          <w:color w:val="auto"/>
        </w:rPr>
      </w:pPr>
      <w:r>
        <w:rPr>
          <w:rFonts w:ascii="Arial" w:cs="Arial" w:eastAsia="Arial" w:hAnsi="Arial"/>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(prior to December 15, 2022), are collectively referred to herein as “Rani” or the “Company.” RMS was dissolved on December 15, 2022.</w:t>
      </w:r>
    </w:p>
    <w:p>
      <w:pPr>
        <w:spacing w:after="0" w:line="188" w:lineRule="exact"/>
        <w:rPr>
          <w:sz w:val="20"/>
          <w:szCs w:val="20"/>
          <w:color w:val="auto"/>
        </w:rPr>
      </w:pPr>
    </w:p>
    <w:p>
      <w:pPr>
        <w:ind w:right="180" w:firstLine="1018"/>
        <w:spacing w:after="0" w:line="259" w:lineRule="auto"/>
        <w:rPr>
          <w:sz w:val="20"/>
          <w:szCs w:val="20"/>
          <w:color w:val="auto"/>
        </w:rPr>
      </w:pPr>
      <w:r>
        <w:rPr>
          <w:rFonts w:ascii="Arial" w:cs="Arial" w:eastAsia="Arial" w:hAnsi="Arial"/>
          <w:sz w:val="18"/>
          <w:szCs w:val="18"/>
          <w:color w:val="auto"/>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Transactions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IPO, the Company was party to the following organizational transactions (the “Organizational Transactions”):</w:t>
      </w:r>
    </w:p>
    <w:p>
      <w:pPr>
        <w:spacing w:after="0" w:line="129" w:lineRule="exact"/>
        <w:rPr>
          <w:sz w:val="20"/>
          <w:szCs w:val="20"/>
          <w:color w:val="auto"/>
        </w:rPr>
      </w:pPr>
    </w:p>
    <w:p>
      <w:pPr>
        <w:ind w:left="1020" w:right="40" w:hanging="503"/>
        <w:spacing w:after="0" w:line="27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economic nonvoting Class A units (“Class A Units”) 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spacing w:after="0" w:line="69" w:lineRule="exact"/>
        <w:rPr>
          <w:rFonts w:ascii="Arial" w:cs="Arial" w:eastAsia="Arial" w:hAnsi="Arial"/>
          <w:sz w:val="17"/>
          <w:szCs w:val="17"/>
          <w:color w:val="auto"/>
        </w:rPr>
      </w:pPr>
    </w:p>
    <w:p>
      <w:pPr>
        <w:ind w:left="1020" w:right="40" w:hanging="503"/>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78"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Exchanged 12,047,925 shares of Class A common stock for existing Class A Units of Rani LLC held by certain individuals and entities (the “Former LLC Owners”) on a one-for-one basis;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 Registration Rights Agreement with certain of the Continuing LLC Owners.</w:t>
      </w:r>
    </w:p>
    <w:p>
      <w:pPr>
        <w:spacing w:after="0" w:line="225" w:lineRule="exact"/>
        <w:rPr>
          <w:sz w:val="20"/>
          <w:szCs w:val="20"/>
          <w:color w:val="auto"/>
        </w:rPr>
      </w:pPr>
    </w:p>
    <w:p>
      <w:pPr>
        <w:ind w:right="40" w:firstLine="1018"/>
        <w:spacing w:after="0" w:line="290" w:lineRule="auto"/>
        <w:rPr>
          <w:sz w:val="20"/>
          <w:szCs w:val="20"/>
          <w:color w:val="auto"/>
        </w:rPr>
      </w:pPr>
      <w:r>
        <w:rPr>
          <w:rFonts w:ascii="Arial" w:cs="Arial" w:eastAsia="Arial" w:hAnsi="Arial"/>
          <w:sz w:val="16"/>
          <w:szCs w:val="16"/>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March 31, 2023,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The Company has incurred recurring losses since its inception, including net losses of $16.8 million for the three months ended March 31, 2023. As of March 31, 2023, the Company had an accumulated deficit of $47.3 million and for the three months ended March 31, 2023 had negative cash flows from operations of $12.2 million. The Company expects to continue to generate operating losses and negative operating cash flows for the foreseeable future as it continues to develop the RaniPill capsule. The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60"/>
        <w:spacing w:after="0" w:line="270" w:lineRule="auto"/>
        <w:rPr>
          <w:sz w:val="20"/>
          <w:szCs w:val="20"/>
          <w:color w:val="auto"/>
        </w:rPr>
      </w:pPr>
      <w:r>
        <w:rPr>
          <w:rFonts w:ascii="Arial" w:cs="Arial" w:eastAsia="Arial" w:hAnsi="Arial"/>
          <w:sz w:val="17"/>
          <w:szCs w:val="17"/>
          <w:color w:val="auto"/>
        </w:rPr>
        <w:t>Company expects that its cash, cash equivalents and marketable securities of $86.8 million as of March 31, 2023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such as “at the market offerings ” as defined in Rule 415(a)(4) under the Securities Act,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of its product candidates. If the Company obtains regulatory approval for the RaniPill capsule, it expects to incur significant expenses related to developing its internal commercialization capability to support manufacturing, product sales, marketing, and distribution.</w:t>
      </w:r>
    </w:p>
    <w:p>
      <w:pPr>
        <w:spacing w:after="0" w:line="181" w:lineRule="exact"/>
        <w:rPr>
          <w:sz w:val="20"/>
          <w:szCs w:val="20"/>
          <w:color w:val="auto"/>
        </w:rPr>
      </w:pPr>
    </w:p>
    <w:p>
      <w:pPr>
        <w:ind w:right="60" w:firstLine="1018"/>
        <w:spacing w:after="0" w:line="30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Current global economic conditions or other factors could also adversely impact the Company’s ability to access capital when and as needed.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80" w:firstLine="1018"/>
        <w:spacing w:after="0" w:line="277"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w:t>
      </w:r>
    </w:p>
    <w:p>
      <w:pPr>
        <w:spacing w:after="0" w:line="170" w:lineRule="exact"/>
        <w:rPr>
          <w:sz w:val="20"/>
          <w:szCs w:val="20"/>
          <w:color w:val="auto"/>
        </w:rPr>
      </w:pPr>
    </w:p>
    <w:p>
      <w:pPr>
        <w:ind w:right="160" w:firstLine="1018"/>
        <w:spacing w:after="0" w:line="301" w:lineRule="auto"/>
        <w:rPr>
          <w:sz w:val="20"/>
          <w:szCs w:val="20"/>
          <w:color w:val="auto"/>
        </w:rPr>
      </w:pPr>
      <w:r>
        <w:rPr>
          <w:rFonts w:ascii="Arial" w:cs="Arial" w:eastAsia="Arial" w:hAnsi="Arial"/>
          <w:sz w:val="16"/>
          <w:szCs w:val="16"/>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25"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months ended March 31, 2023 are not necessarily indicative of the results that may be expected for the year ending December 31, 2023 or for any future period.</w:t>
      </w:r>
    </w:p>
    <w:p>
      <w:pPr>
        <w:spacing w:after="0" w:line="164" w:lineRule="exact"/>
        <w:rPr>
          <w:sz w:val="20"/>
          <w:szCs w:val="20"/>
          <w:color w:val="auto"/>
        </w:rPr>
      </w:pPr>
    </w:p>
    <w:p>
      <w:pPr>
        <w:ind w:right="80" w:firstLine="1018"/>
        <w:spacing w:after="0" w:line="301" w:lineRule="auto"/>
        <w:rPr>
          <w:sz w:val="20"/>
          <w:szCs w:val="20"/>
          <w:color w:val="auto"/>
        </w:rPr>
      </w:pPr>
      <w:r>
        <w:rPr>
          <w:rFonts w:ascii="Arial" w:cs="Arial" w:eastAsia="Arial" w:hAnsi="Arial"/>
          <w:sz w:val="16"/>
          <w:szCs w:val="16"/>
          <w:color w:val="auto"/>
        </w:rPr>
        <w:t>The consolidated balance sheet as of December 31, 2022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2022 consolidated financial statements and notes included in the Company’s Annual Report on Form 10-K filed with the SEC on March 22,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80" w:firstLine="1018"/>
        <w:spacing w:after="0" w:line="263" w:lineRule="auto"/>
        <w:rPr>
          <w:sz w:val="20"/>
          <w:szCs w:val="20"/>
          <w:color w:val="auto"/>
        </w:rPr>
      </w:pPr>
      <w:r>
        <w:rPr>
          <w:rFonts w:ascii="Arial" w:cs="Arial" w:eastAsia="Arial" w:hAnsi="Arial"/>
          <w:sz w:val="18"/>
          <w:szCs w:val="18"/>
          <w:color w:val="auto"/>
        </w:rPr>
        <w:t>A description of the Company’s significant accounting policies is included in the audited consolidated financial statements within its Annual Report on Form 10-K for the year ended December 31, 2022. Except as noted below, there have been no material changes in the Company’s significant accounting policies during the three months ended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firstLine="1018"/>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 Equivalents</w:t>
      </w:r>
    </w:p>
    <w:p>
      <w:pPr>
        <w:spacing w:after="0" w:line="225"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equivalents reported within the condensed consolidated balance sheet which, in aggregate, represents the amount reported in the condensed consolidated statements of cash flows for the three months ended March 31, 2023 and 2022:</w:t>
      </w: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23"/>
        </w:trPr>
        <w:tc>
          <w:tcPr>
            <w:tcW w:w="6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18,984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cash equivalents</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100"/>
              <w:spacing w:after="0"/>
              <w:rPr>
                <w:sz w:val="20"/>
                <w:szCs w:val="20"/>
                <w:color w:val="auto"/>
              </w:rPr>
            </w:pPr>
            <w:r>
              <w:rPr>
                <w:rFonts w:ascii="Arial" w:cs="Arial" w:eastAsia="Arial" w:hAnsi="Arial"/>
                <w:sz w:val="18"/>
                <w:szCs w:val="18"/>
                <w:color w:val="auto"/>
              </w:rPr>
              <w:t>Total cash, cash equivalents and restricted cash equivalents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19,484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-187960</wp:posOffset>
            </wp:positionV>
            <wp:extent cx="603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1018"/>
        <w:spacing w:after="0" w:line="289" w:lineRule="auto"/>
        <w:rPr>
          <w:sz w:val="20"/>
          <w:szCs w:val="20"/>
          <w:color w:val="auto"/>
        </w:rPr>
      </w:pPr>
      <w:r>
        <w:rPr>
          <w:rFonts w:ascii="Arial" w:cs="Arial" w:eastAsia="Arial" w:hAnsi="Arial"/>
          <w:sz w:val="16"/>
          <w:szCs w:val="16"/>
          <w:color w:val="auto"/>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March 31, 2023, interest income receivable recorded as a component of prepaid expenses and other current assets on the condensed consolidated balance sheet totaled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firstLine="1018"/>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20" w:right="4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80" w:firstLine="1018"/>
        <w:spacing w:after="0" w:line="263" w:lineRule="auto"/>
        <w:rPr>
          <w:sz w:val="20"/>
          <w:szCs w:val="20"/>
          <w:color w:val="auto"/>
        </w:rPr>
      </w:pPr>
      <w:r>
        <w:rPr>
          <w:rFonts w:ascii="Arial" w:cs="Arial" w:eastAsia="Arial" w:hAnsi="Arial"/>
          <w:sz w:val="18"/>
          <w:szCs w:val="18"/>
          <w:color w:val="auto"/>
        </w:rPr>
        <w:t>As of March 31, 2023 and 2022,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w:t>
      </w:r>
    </w:p>
    <w:p>
      <w:pPr>
        <w:spacing w:after="0" w:line="184"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75" w:lineRule="auto"/>
        <w:rPr>
          <w:sz w:val="20"/>
          <w:szCs w:val="20"/>
          <w:color w:val="auto"/>
        </w:rPr>
      </w:pPr>
      <w:r>
        <w:rPr>
          <w:rFonts w:ascii="Arial" w:cs="Arial" w:eastAsia="Arial" w:hAnsi="Arial"/>
          <w:sz w:val="17"/>
          <w:szCs w:val="17"/>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76"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Class A Common Share Attributable to Rani Holdings</w:t>
      </w:r>
    </w:p>
    <w:p>
      <w:pPr>
        <w:spacing w:after="0" w:line="225" w:lineRule="exact"/>
        <w:rPr>
          <w:sz w:val="20"/>
          <w:szCs w:val="20"/>
          <w:color w:val="auto"/>
        </w:rPr>
      </w:pPr>
    </w:p>
    <w:p>
      <w:pPr>
        <w:jc w:val="both"/>
        <w:ind w:right="120" w:firstLine="1018"/>
        <w:spacing w:after="0" w:line="279" w:lineRule="auto"/>
        <w:rPr>
          <w:sz w:val="20"/>
          <w:szCs w:val="20"/>
          <w:color w:val="auto"/>
        </w:rPr>
      </w:pPr>
      <w:r>
        <w:rPr>
          <w:rFonts w:ascii="Arial" w:cs="Arial" w:eastAsia="Arial" w:hAnsi="Arial"/>
          <w:sz w:val="17"/>
          <w:szCs w:val="17"/>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70"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August 2021, based on the Organizational Transactions, Rani Holdings became the sole managing member of Rani LLC. As of March 31, 2023, Rani Holdings held approximately 50% of the Class A Units of Rani LLC, and approximately 50% of the outstanding Class A Units of Rani LLC are held by the Continuing LLC Owners. Therefore, the Company reports NCI based on the Class A Units of Rani LLC held by the Continuing LLC Owners on its condensed consolidated balance sheet as of March 31, 2023. Income or loss attributed to the NCI in Rani LLC is based on the Class A Units outstanding during the period for which the income or loss is generated and is presented on the condensed consolidated statements of operations and comprehensive loss.</w:t>
      </w:r>
    </w:p>
    <w:p>
      <w:pPr>
        <w:spacing w:after="0" w:line="192" w:lineRule="exact"/>
        <w:rPr>
          <w:sz w:val="20"/>
          <w:szCs w:val="20"/>
          <w:color w:val="auto"/>
        </w:rPr>
      </w:pPr>
    </w:p>
    <w:p>
      <w:pPr>
        <w:jc w:val="both"/>
        <w:ind w:right="240" w:firstLine="1018"/>
        <w:spacing w:after="0" w:line="279"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March 31, 2023, there were 5,173,947 exchanges of Paired Interests and 158,051 exchanges of non-corresponding Class A Units of Rani LLC for an equal number of shares of the Company's Class A common stock.</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Cash Equivalents, Restricted Cash Equivalents and Marketable Securities</w:t>
      </w:r>
    </w:p>
    <w:p>
      <w:pPr>
        <w:spacing w:after="0" w:line="229" w:lineRule="exact"/>
        <w:rPr>
          <w:sz w:val="20"/>
          <w:szCs w:val="20"/>
          <w:color w:val="auto"/>
        </w:rPr>
      </w:pPr>
    </w:p>
    <w:p>
      <w:pPr>
        <w:ind w:right="600" w:firstLine="1018"/>
        <w:spacing w:after="0" w:line="277" w:lineRule="auto"/>
        <w:rPr>
          <w:sz w:val="20"/>
          <w:szCs w:val="20"/>
          <w:color w:val="auto"/>
        </w:rPr>
      </w:pPr>
      <w:r>
        <w:rPr>
          <w:rFonts w:ascii="Arial" w:cs="Arial" w:eastAsia="Arial" w:hAnsi="Arial"/>
          <w:sz w:val="18"/>
          <w:szCs w:val="18"/>
          <w:color w:val="auto"/>
        </w:rPr>
        <w:t>The following tables summarizes the amortized cost and fair value of the Company's cash equivalents, restricted cash equivalents and marketable securities by major investment category (in thousands):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As of March 31, 2023</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60" w:type="dxa"/>
            <w:vAlign w:val="bottom"/>
          </w:tcPr>
          <w:p>
            <w:pPr>
              <w:ind w:left="10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 equivalents: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equivalents and restricted cash equivalents</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15,959</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 and agencies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67,826</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cash equivalents, restricted cash equivalents and marketable</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83,785</w:t>
            </w:r>
          </w:p>
        </w:tc>
        <w:tc>
          <w:tcPr>
            <w:tcW w:w="22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(23 )</w:t>
            </w: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 equivalents: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equivalents and restricted cash equivalents</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 and agencies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(107 )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(39 )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92"/>
              </w:rPr>
              <w:t>Total cash equivalents, restricted cash equivalents and marketable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97,437</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(149 )</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97,288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-4568190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-4568190</wp:posOffset>
            </wp:positionV>
            <wp:extent cx="603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-4568190</wp:posOffset>
            </wp:positionV>
            <wp:extent cx="6032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-4568190</wp:posOffset>
            </wp:positionV>
            <wp:extent cx="6032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-3933825</wp:posOffset>
            </wp:positionV>
            <wp:extent cx="228917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89175" cy="17970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-3303905</wp:posOffset>
            </wp:positionV>
            <wp:extent cx="2314575"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4575" cy="1968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-2853690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-2836545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-2853690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-2836545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-2853690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-2836545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-2853690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-2836545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-1893570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-1893570</wp:posOffset>
            </wp:positionV>
            <wp:extent cx="6032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-1893570</wp:posOffset>
            </wp:positionV>
            <wp:extent cx="6032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-1893570</wp:posOffset>
            </wp:positionV>
            <wp:extent cx="6032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-1259205</wp:posOffset>
            </wp:positionV>
            <wp:extent cx="228917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8917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-299720</wp:posOffset>
            </wp:positionV>
            <wp:extent cx="6858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-299720</wp:posOffset>
            </wp:positionV>
            <wp:extent cx="60325"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0325"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0325"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300355"/>
                    </a:xfrm>
                    <a:prstGeom prst="rect">
                      <a:avLst/>
                    </a:prstGeom>
                    <a:noFill/>
                  </pic:spPr>
                </pic:pic>
              </a:graphicData>
            </a:graphic>
          </wp:anchor>
        </w:drawing>
      </w:r>
    </w:p>
    <w:p>
      <w:pPr>
        <w:spacing w:after="0" w:line="209" w:lineRule="exact"/>
        <w:rPr>
          <w:sz w:val="20"/>
          <w:szCs w:val="20"/>
          <w:color w:val="auto"/>
        </w:rPr>
      </w:pPr>
    </w:p>
    <w:p>
      <w:pPr>
        <w:ind w:right="40" w:firstLine="1018"/>
        <w:spacing w:after="0" w:line="296" w:lineRule="auto"/>
        <w:rPr>
          <w:sz w:val="20"/>
          <w:szCs w:val="20"/>
          <w:color w:val="auto"/>
        </w:rPr>
      </w:pPr>
      <w:r>
        <w:rPr>
          <w:rFonts w:ascii="Arial" w:cs="Arial" w:eastAsia="Arial" w:hAnsi="Arial"/>
          <w:sz w:val="16"/>
          <w:szCs w:val="16"/>
          <w:color w:val="auto"/>
        </w:rPr>
        <w:t>As of March 31, 2023, all marketable securities held have maturity dates within one year or less. The Company regularly reviews its available-for-sale marketable securities in an unrealized loss position and evaluates the current expected credit loss by considering factors such as historical experience, market data, issuer-specific factors, and current economic conditions. As of March 31,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March 31, 2023.</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firstLine="1018"/>
        <w:spacing w:after="0" w:line="277" w:lineRule="auto"/>
        <w:rPr>
          <w:sz w:val="20"/>
          <w:szCs w:val="20"/>
          <w:color w:val="auto"/>
        </w:rPr>
      </w:pPr>
      <w:r>
        <w:rPr>
          <w:rFonts w:ascii="Arial" w:cs="Arial" w:eastAsia="Arial" w:hAnsi="Arial"/>
          <w:sz w:val="18"/>
          <w:szCs w:val="18"/>
          <w:color w:val="auto"/>
        </w:rPr>
        <w:t>The following tables presents information about the Company’s financial assets and liabilities measured at fair value on a recurring basis and indicates the level of inputs used in such measurements (in thousands):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As of March 31, 2023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 and agencies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41,499</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19,353</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FF0FC"/>
          </w:tcPr>
          <w:p>
            <w:pPr>
              <w:spacing w:after="0"/>
              <w:rPr>
                <w:sz w:val="21"/>
                <w:szCs w:val="2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57,458</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26,304</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83,762</w:t>
            </w:r>
          </w:p>
        </w:tc>
        <w:tc>
          <w:tcPr>
            <w:tcW w:w="10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As of December 31, 2022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 and agencies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26,631</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0"/>
                <w:szCs w:val="20"/>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r>
      <w:tr>
        <w:trPr>
          <w:trHeight w:val="277"/>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62,269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35,019</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40" w:type="dxa"/>
            <w:vAlign w:val="bottom"/>
            <w:gridSpan w:val="2"/>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20"/>
                <w:szCs w:val="20"/>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Accrued preclinical and clinical trial costs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1"/>
                <w:szCs w:val="2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payable</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1"/>
                <w:szCs w:val="2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r>
      <w:tr>
        <w:trPr>
          <w:trHeight w:val="277"/>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82" w:lineRule="exact"/>
        <w:rPr>
          <w:sz w:val="20"/>
          <w:szCs w:val="20"/>
          <w:color w:val="auto"/>
        </w:rPr>
      </w:pPr>
    </w:p>
    <w:p>
      <w:pPr>
        <w:ind w:right="80" w:firstLine="1018"/>
        <w:spacing w:after="0" w:line="271" w:lineRule="auto"/>
        <w:rPr>
          <w:sz w:val="20"/>
          <w:szCs w:val="20"/>
          <w:color w:val="auto"/>
        </w:rPr>
      </w:pPr>
      <w:r>
        <w:rPr>
          <w:rFonts w:ascii="Arial" w:cs="Arial" w:eastAsia="Arial" w:hAnsi="Arial"/>
          <w:sz w:val="17"/>
          <w:szCs w:val="17"/>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8" w:lineRule="exact"/>
        <w:rPr>
          <w:sz w:val="20"/>
          <w:szCs w:val="20"/>
          <w:color w:val="auto"/>
        </w:rPr>
      </w:pPr>
    </w:p>
    <w:p>
      <w:pPr>
        <w:ind w:right="620" w:firstLine="1018"/>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net of the amount that the Company charged ICL, which is included in the condensed consolidated statements of operations (in thousands):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firstLine="1018"/>
        <w:spacing w:after="0" w:line="259" w:lineRule="auto"/>
        <w:rPr>
          <w:sz w:val="20"/>
          <w:szCs w:val="20"/>
          <w:color w:val="auto"/>
        </w:rPr>
      </w:pPr>
      <w:r>
        <w:rPr>
          <w:rFonts w:ascii="Arial" w:cs="Arial" w:eastAsia="Arial" w:hAnsi="Arial"/>
          <w:sz w:val="18"/>
          <w:szCs w:val="18"/>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87" w:lineRule="exact"/>
        <w:rPr>
          <w:sz w:val="20"/>
          <w:szCs w:val="20"/>
          <w:color w:val="auto"/>
        </w:rPr>
      </w:pPr>
    </w:p>
    <w:p>
      <w:pPr>
        <w:ind w:right="60" w:firstLine="1018"/>
        <w:spacing w:after="0" w:line="277" w:lineRule="auto"/>
        <w:rPr>
          <w:sz w:val="20"/>
          <w:szCs w:val="20"/>
          <w:color w:val="auto"/>
        </w:rPr>
      </w:pPr>
      <w:r>
        <w:rPr>
          <w:rFonts w:ascii="Arial" w:cs="Arial" w:eastAsia="Arial" w:hAnsi="Arial"/>
          <w:sz w:val="18"/>
          <w:szCs w:val="18"/>
          <w:color w:val="auto"/>
        </w:rPr>
        <w:t>As of March 31, 2023, all of the Company's facilities are owned or leased by an entity affiliated with the Company’s Chairman (Note 7). The Company pays for the use of these facilities through its services agreements with ICL.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firstLine="1018"/>
        <w:spacing w:after="0" w:line="287" w:lineRule="auto"/>
        <w:rPr>
          <w:sz w:val="20"/>
          <w:szCs w:val="20"/>
          <w:color w:val="auto"/>
        </w:rPr>
      </w:pPr>
      <w:r>
        <w:rPr>
          <w:rFonts w:ascii="Arial" w:cs="Arial" w:eastAsia="Arial" w:hAnsi="Arial"/>
          <w:sz w:val="16"/>
          <w:szCs w:val="16"/>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right="60" w:firstLine="1018"/>
        <w:spacing w:after="0" w:line="273"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three months ended March 31, 2023 and 2022, these parties to the TRA exchanged zero and 2,309,490 Paired Interests, respectively, that resulted in tax benefits subject to the TRA (Note 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00" w:firstLine="1018"/>
        <w:spacing w:after="0" w:line="271" w:lineRule="auto"/>
        <w:rPr>
          <w:sz w:val="20"/>
          <w:szCs w:val="20"/>
          <w:color w:val="auto"/>
        </w:rPr>
      </w:pPr>
      <w:r>
        <w:rPr>
          <w:rFonts w:ascii="Arial" w:cs="Arial" w:eastAsia="Arial" w:hAnsi="Arial"/>
          <w:sz w:val="17"/>
          <w:szCs w:val="17"/>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25"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92" w:lineRule="exact"/>
        <w:rPr>
          <w:sz w:val="20"/>
          <w:szCs w:val="20"/>
          <w:color w:val="auto"/>
        </w:rPr>
      </w:pPr>
    </w:p>
    <w:p>
      <w:pPr>
        <w:ind w:right="180" w:firstLine="1018"/>
        <w:spacing w:after="0" w:line="277" w:lineRule="auto"/>
        <w:rPr>
          <w:sz w:val="20"/>
          <w:szCs w:val="20"/>
          <w:color w:val="auto"/>
        </w:rPr>
      </w:pPr>
      <w:r>
        <w:rPr>
          <w:rFonts w:ascii="Arial" w:cs="Arial" w:eastAsia="Arial" w:hAnsi="Arial"/>
          <w:sz w:val="18"/>
          <w:szCs w:val="18"/>
          <w:color w:val="auto"/>
        </w:rPr>
        <w:t>During the three months ended March 31, 2023 and 2022, certain parties to the Rani LLC Agreement exchanged zero and 2,309,490 Paired Interests, respectively, for an equal number of shares of the Company's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220"/>
        <w:spacing w:after="0" w:line="279" w:lineRule="auto"/>
        <w:rPr>
          <w:sz w:val="20"/>
          <w:szCs w:val="20"/>
          <w:color w:val="auto"/>
        </w:rPr>
      </w:pPr>
      <w:r>
        <w:rPr>
          <w:rFonts w:ascii="Arial" w:cs="Arial" w:eastAsia="Arial" w:hAnsi="Arial"/>
          <w:sz w:val="17"/>
          <w:szCs w:val="17"/>
          <w:color w:val="auto"/>
        </w:rPr>
        <w:t>terminate occupancy under the RMS-ICL Service Agreement upon six months’ notice. In January 2023, the Company determined it to be reasonably certain that it would exercise its renewal option for a successive twelve-month period through 2024.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 as of March 31, 2023.</w:t>
      </w:r>
    </w:p>
    <w:p>
      <w:pPr>
        <w:spacing w:after="0" w:line="171" w:lineRule="exact"/>
        <w:rPr>
          <w:sz w:val="20"/>
          <w:szCs w:val="20"/>
          <w:color w:val="auto"/>
        </w:rPr>
      </w:pPr>
    </w:p>
    <w:p>
      <w:pPr>
        <w:ind w:right="60" w:firstLine="1018"/>
        <w:spacing w:after="0" w:line="253" w:lineRule="auto"/>
        <w:rPr>
          <w:sz w:val="20"/>
          <w:szCs w:val="20"/>
          <w:color w:val="auto"/>
        </w:rPr>
      </w:pPr>
      <w:r>
        <w:rPr>
          <w:rFonts w:ascii="Arial" w:cs="Arial" w:eastAsia="Arial" w:hAnsi="Arial"/>
          <w:sz w:val="18"/>
          <w:szCs w:val="18"/>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In July 2022, the Company accounted for the lease extension as a lease modification that did not result in a separate contract and recognized the right-of-use asset and lease liabilities associated with the Rani LLC-ICL Service Agreement in its condensed consolidated balance sheet. As of March 31, 2023, the second renewal option for the facility in Milpitas, California was not deemed reasonably certain to be exercised.</w:t>
      </w:r>
    </w:p>
    <w:p>
      <w:pPr>
        <w:spacing w:after="0" w:line="196" w:lineRule="exact"/>
        <w:rPr>
          <w:sz w:val="20"/>
          <w:szCs w:val="20"/>
          <w:color w:val="auto"/>
        </w:rPr>
      </w:pPr>
    </w:p>
    <w:p>
      <w:pPr>
        <w:ind w:right="80" w:firstLine="1018"/>
        <w:spacing w:after="0" w:line="296" w:lineRule="auto"/>
        <w:rPr>
          <w:sz w:val="20"/>
          <w:szCs w:val="20"/>
          <w:color w:val="auto"/>
        </w:rPr>
      </w:pPr>
      <w:r>
        <w:rPr>
          <w:rFonts w:ascii="Arial" w:cs="Arial" w:eastAsia="Arial" w:hAnsi="Arial"/>
          <w:sz w:val="16"/>
          <w:szCs w:val="16"/>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Short-term lease expense for Occupancy Services in San Antonio, Texas under the Rani LLC-ICL Service Agreement, and variable lease payments are excluded in the total operating lease expense and immaterial for the periods presented.</w:t>
      </w:r>
    </w:p>
    <w:p>
      <w:pPr>
        <w:spacing w:after="0" w:line="161" w:lineRule="exact"/>
        <w:rPr>
          <w:sz w:val="20"/>
          <w:szCs w:val="20"/>
          <w:color w:val="auto"/>
        </w:rPr>
      </w:pPr>
    </w:p>
    <w:p>
      <w:pPr>
        <w:ind w:right="260" w:firstLine="1018"/>
        <w:spacing w:after="0" w:line="277" w:lineRule="auto"/>
        <w:rPr>
          <w:sz w:val="20"/>
          <w:szCs w:val="20"/>
          <w:color w:val="auto"/>
        </w:rPr>
      </w:pPr>
      <w:r>
        <w:rPr>
          <w:rFonts w:ascii="Arial" w:cs="Arial" w:eastAsia="Arial" w:hAnsi="Arial"/>
          <w:sz w:val="18"/>
          <w:szCs w:val="18"/>
          <w:color w:val="auto"/>
        </w:rPr>
        <w:t>The weighted average remaining lease term and weighted average discount rate related to the Company's right-of-use assets and operating lease liabilities for its operating leases were as follows: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9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years</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years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c>
          <w:tcPr>
            <w:tcW w:w="4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5.0 %</w:t>
            </w:r>
          </w:p>
        </w:tc>
      </w:tr>
    </w:tbl>
    <w:p>
      <w:pPr>
        <w:spacing w:after="0" w:line="21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March 31, 2023, the Company expects that its future minimum operating lease payments will become due and payable as follows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180"/>
              <w:spacing w:after="0"/>
              <w:rPr>
                <w:sz w:val="20"/>
                <w:szCs w:val="20"/>
                <w:color w:val="auto"/>
              </w:rPr>
            </w:pPr>
            <w:r>
              <w:rPr>
                <w:rFonts w:ascii="Arial" w:cs="Arial" w:eastAsia="Arial" w:hAnsi="Arial"/>
                <w:sz w:val="18"/>
                <w:szCs w:val="18"/>
                <w:color w:val="auto"/>
              </w:rPr>
              <w:t>2023 (remaining nine months)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21"/>
                <w:szCs w:val="21"/>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Total undiscounted future minimum lease payments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r>
      <w:tr>
        <w:trPr>
          <w:trHeight w:val="243"/>
        </w:trPr>
        <w:tc>
          <w:tcPr>
            <w:tcW w:w="7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Imputed interest</w:t>
            </w:r>
          </w:p>
        </w:tc>
        <w:tc>
          <w:tcPr>
            <w:tcW w:w="6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(111 )</w:t>
            </w:r>
          </w:p>
        </w:tc>
      </w:tr>
      <w:tr>
        <w:trPr>
          <w:trHeight w:val="237"/>
        </w:trPr>
        <w:tc>
          <w:tcPr>
            <w:tcW w:w="78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operating lease liability</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FF0FC"/>
            </w:tcBorders>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Less: Operating lease liability, current portion</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7"/>
        </w:trPr>
        <w:tc>
          <w:tcPr>
            <w:tcW w:w="7860" w:type="dxa"/>
            <w:vAlign w:val="bottom"/>
          </w:tcPr>
          <w:p>
            <w:pPr>
              <w:ind w:left="180"/>
              <w:spacing w:after="0"/>
              <w:rPr>
                <w:sz w:val="20"/>
                <w:szCs w:val="20"/>
                <w:color w:val="auto"/>
              </w:rPr>
            </w:pPr>
            <w:r>
              <w:rPr>
                <w:rFonts w:ascii="Arial" w:cs="Arial" w:eastAsia="Arial" w:hAnsi="Arial"/>
                <w:sz w:val="18"/>
                <w:szCs w:val="18"/>
                <w:color w:val="auto"/>
              </w:rPr>
              <w:t>Operating lease liability, less current portion</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-530860</wp:posOffset>
            </wp:positionV>
            <wp:extent cx="603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jc w:val="both"/>
        <w:ind w:right="100" w:firstLine="1018"/>
        <w:spacing w:after="0" w:line="259" w:lineRule="auto"/>
        <w:rPr>
          <w:sz w:val="20"/>
          <w:szCs w:val="20"/>
          <w:color w:val="auto"/>
        </w:rPr>
      </w:pPr>
      <w:r>
        <w:rPr>
          <w:rFonts w:ascii="Arial" w:cs="Arial" w:eastAsia="Arial" w:hAnsi="Arial"/>
          <w:sz w:val="18"/>
          <w:szCs w:val="18"/>
          <w:color w:val="auto"/>
        </w:rPr>
        <w:t>In August 2022, in conjunction with a loan and security agreement (Note 11),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March 31, 2023, there were 76,336 warrants outstanding.</w:t>
      </w:r>
    </w:p>
    <w:p>
      <w:pPr>
        <w:spacing w:after="0" w:line="214"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The warrants were determined to be equity classified Level 3 securities with a fair value totaling $0.5 million,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80" w:firstLine="1018"/>
        <w:spacing w:after="0" w:line="259" w:lineRule="auto"/>
        <w:rPr>
          <w:sz w:val="20"/>
          <w:szCs w:val="20"/>
          <w:color w:val="auto"/>
        </w:rPr>
      </w:pPr>
      <w:r>
        <w:rPr>
          <w:rFonts w:ascii="Arial" w:cs="Arial" w:eastAsia="Arial" w:hAnsi="Arial"/>
          <w:sz w:val="18"/>
          <w:szCs w:val="18"/>
          <w:color w:val="auto"/>
        </w:rPr>
        <w:t>For the three months ended March 31, 2023 and 2022, certain of the Continuing LLC Owners executed an exchange of zero and 4,517,105 Paired Interests, respectively, and zero and 158,051 non-corresponding Class A Units of Rani LLC, respectively, in return for an equal number of shares of the Company’s Class A common stock. The corresponding shares of the Company’s Class B common stock included in the exchange of Paired Interests were subsequently cancelled and retired pursuant to the terms of the Rani LLC Agreement.</w:t>
      </w:r>
    </w:p>
    <w:p>
      <w:pPr>
        <w:spacing w:after="0" w:line="187" w:lineRule="exact"/>
        <w:rPr>
          <w:sz w:val="20"/>
          <w:szCs w:val="20"/>
          <w:color w:val="auto"/>
        </w:rPr>
      </w:pPr>
    </w:p>
    <w:p>
      <w:pPr>
        <w:ind w:right="100" w:firstLine="1018"/>
        <w:spacing w:after="0" w:line="254" w:lineRule="auto"/>
        <w:rPr>
          <w:sz w:val="20"/>
          <w:szCs w:val="20"/>
          <w:color w:val="auto"/>
        </w:rPr>
      </w:pPr>
      <w:r>
        <w:rPr>
          <w:rFonts w:ascii="Arial" w:cs="Arial" w:eastAsia="Arial" w:hAnsi="Arial"/>
          <w:sz w:val="18"/>
          <w:szCs w:val="18"/>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March 31, 2023, the Company has no sales under the Sales Agreement. In connection with the Sales Agreement, the Company recognized deferred offering costs totaling $0.3 million as a component of prepaid expenses and other current assets in the condensed consolidated balance sheet as of March 31, 2023 which will be offset against proceeds upon a sale under the Sales Agreement within the condensed consolidated statement of changes in 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80" w:firstLine="1018"/>
        <w:spacing w:after="0" w:line="257" w:lineRule="auto"/>
        <w:rPr>
          <w:sz w:val="20"/>
          <w:szCs w:val="20"/>
          <w:color w:val="auto"/>
        </w:rPr>
      </w:pPr>
      <w:r>
        <w:rPr>
          <w:rFonts w:ascii="Arial" w:cs="Arial" w:eastAsia="Arial" w:hAnsi="Arial"/>
          <w:sz w:val="18"/>
          <w:szCs w:val="18"/>
          <w:color w:val="auto"/>
        </w:rPr>
        <w:t>The Company is party to a TRA with certain of the Continuing LLC Owners (Note 2). As of March 31, 2023,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March 31, 2023.</w:t>
      </w:r>
    </w:p>
    <w:p>
      <w:pPr>
        <w:spacing w:after="0" w:line="188"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29" w:lineRule="exact"/>
        <w:rPr>
          <w:sz w:val="20"/>
          <w:szCs w:val="20"/>
          <w:color w:val="auto"/>
        </w:rPr>
      </w:pPr>
    </w:p>
    <w:p>
      <w:pPr>
        <w:ind w:right="60" w:firstLine="1018"/>
        <w:spacing w:after="0" w:line="291" w:lineRule="auto"/>
        <w:rPr>
          <w:sz w:val="20"/>
          <w:szCs w:val="20"/>
          <w:color w:val="auto"/>
        </w:rPr>
      </w:pPr>
      <w:r>
        <w:rPr>
          <w:rFonts w:ascii="Arial" w:cs="Arial" w:eastAsia="Arial" w:hAnsi="Arial"/>
          <w:sz w:val="16"/>
          <w:szCs w:val="16"/>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 The purpose of the Loans is for general corporate purposes. In exchange for access to this facility, the Company agreed to issue warrants exercisable into 76,336 shares of the Company's Class A common stock, as may be adjusted for certain anti-dilution adjustments, dividends, stock splits, and reverse stock splits, at an exercise price per share equal to $11.79 (Note 8).</w:t>
      </w:r>
    </w:p>
    <w:p>
      <w:pPr>
        <w:spacing w:after="0" w:line="166"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9" w:name="page20"/>
    <w:bookmarkEnd w:id="19"/>
    <w:p>
      <w:pPr>
        <w:ind w:right="40"/>
        <w:spacing w:after="0" w:line="291" w:lineRule="auto"/>
        <w:rPr>
          <w:sz w:val="20"/>
          <w:szCs w:val="20"/>
          <w:color w:val="auto"/>
        </w:rPr>
      </w:pPr>
      <w:r>
        <w:rPr>
          <w:rFonts w:ascii="Arial" w:cs="Arial" w:eastAsia="Arial" w:hAnsi="Arial"/>
          <w:sz w:val="16"/>
          <w:szCs w:val="16"/>
          <w:color w:val="auto"/>
        </w:rPr>
        <w:t>which the Lender is granted continuing security interests. The Loans includes customary events of default, including instances of a material adverse change in the Company’s operations, which may require prepayment of the outstanding Loans. At March 31, 2023, the effective interest rate on the Loans was</w:t>
      </w:r>
    </w:p>
    <w:p>
      <w:pPr>
        <w:spacing w:after="0"/>
        <w:rPr>
          <w:sz w:val="20"/>
          <w:szCs w:val="20"/>
          <w:color w:val="auto"/>
        </w:rPr>
      </w:pPr>
      <w:r>
        <w:rPr>
          <w:rFonts w:ascii="Arial" w:cs="Arial" w:eastAsia="Arial" w:hAnsi="Arial"/>
          <w:sz w:val="16"/>
          <w:szCs w:val="16"/>
          <w:color w:val="auto"/>
        </w:rPr>
        <w:t>14.78% and there were no events of default during the three months ended March 31, 2023. The Company is also subject to certain covenants. As of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2023, the Company was in compliance with all applicable covenants under the Loan Agreement.</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860" w:type="dxa"/>
            <w:vAlign w:val="bottom"/>
          </w:tcPr>
          <w:p>
            <w:pPr>
              <w:ind w:left="160"/>
              <w:spacing w:after="0"/>
              <w:rPr>
                <w:sz w:val="20"/>
                <w:szCs w:val="20"/>
                <w:color w:val="auto"/>
              </w:rPr>
            </w:pPr>
            <w:r>
              <w:rPr>
                <w:rFonts w:ascii="Arial" w:cs="Arial" w:eastAsia="Arial" w:hAnsi="Arial"/>
                <w:sz w:val="18"/>
                <w:szCs w:val="18"/>
                <w:color w:val="auto"/>
                <w:w w:val="94"/>
              </w:rPr>
              <w:t>As of March 31, 2023, future principal payments for the Company’s debt are as follows (in thousands):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180"/>
              <w:spacing w:after="0"/>
              <w:rPr>
                <w:sz w:val="20"/>
                <w:szCs w:val="20"/>
                <w:color w:val="auto"/>
              </w:rPr>
            </w:pPr>
            <w:r>
              <w:rPr>
                <w:rFonts w:ascii="Arial" w:cs="Arial" w:eastAsia="Arial" w:hAnsi="Arial"/>
                <w:sz w:val="18"/>
                <w:szCs w:val="18"/>
                <w:color w:val="auto"/>
              </w:rPr>
              <w:t>2023 (remaining nine months)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18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1"/>
                <w:szCs w:val="21"/>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Total principal payments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r>
      <w:tr>
        <w:trPr>
          <w:trHeight w:val="243"/>
        </w:trPr>
        <w:tc>
          <w:tcPr>
            <w:tcW w:w="7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amount representing debt discount</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(793 )</w:t>
            </w:r>
          </w:p>
        </w:tc>
      </w:tr>
      <w:tr>
        <w:trPr>
          <w:trHeight w:val="236"/>
        </w:trPr>
        <w:tc>
          <w:tcPr>
            <w:tcW w:w="78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long-term debt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100" w:type="dxa"/>
            <w:vAlign w:val="bottom"/>
            <w:tcBorders>
              <w:top w:val="single" w:sz="8" w:color="CFF0FC"/>
            </w:tcBorders>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7"/>
          <w:szCs w:val="17"/>
          <w:color w:val="auto"/>
        </w:rPr>
        <w:t>The Company’s effective income tax rate was zero and (0.10)% for the three months ended March 31, 2023 and 2022, respectively. As a result of the exchanges from the date of the Organizational Transactions to March 31, 2023, the Company recorded a $18.7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p>
    <w:p>
      <w:pPr>
        <w:spacing w:after="0" w:line="176" w:lineRule="exact"/>
        <w:rPr>
          <w:sz w:val="20"/>
          <w:szCs w:val="20"/>
          <w:color w:val="auto"/>
        </w:rPr>
      </w:pPr>
    </w:p>
    <w:p>
      <w:pPr>
        <w:ind w:right="180" w:firstLine="1018"/>
        <w:spacing w:after="0" w:line="277" w:lineRule="auto"/>
        <w:rPr>
          <w:sz w:val="20"/>
          <w:szCs w:val="20"/>
          <w:color w:val="auto"/>
        </w:rPr>
      </w:pPr>
      <w:r>
        <w:rPr>
          <w:rFonts w:ascii="Arial" w:cs="Arial" w:eastAsia="Arial" w:hAnsi="Arial"/>
          <w:sz w:val="18"/>
          <w:szCs w:val="18"/>
          <w:color w:val="auto"/>
        </w:rPr>
        <w:t>There were no material changes to uncertain tax positions for the three months ended March 31, 2023 and 2022, and the Company does not anticipate material changes within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460" w:firstLine="101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Class A common share attributable to Rani Holdings (in thousands, except per share data):</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80" w:type="dxa"/>
            <w:vAlign w:val="bottom"/>
          </w:tcPr>
          <w:p>
            <w:pPr>
              <w:spacing w:after="0"/>
              <w:rPr>
                <w:sz w:val="20"/>
                <w:szCs w:val="20"/>
                <w:color w:val="auto"/>
              </w:rPr>
            </w:pPr>
            <w:r>
              <w:rPr>
                <w:rFonts w:ascii="Arial" w:cs="Arial" w:eastAsia="Arial" w:hAnsi="Arial"/>
                <w:sz w:val="18"/>
                <w:szCs w:val="18"/>
                <w:color w:val="auto"/>
                <w:w w:val="93"/>
              </w:rPr>
              <w:t>Net loss per Class A common share attributable to Rani Therapeutics Holdings,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 xml:space="preserve">(8,372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(6,223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Weighted average Class A common share outstanding—basic and diluted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3"/>
              </w:rPr>
              <w:t>Net loss per Class A common share attributable to Rani Therapeutics Holdings, Inc.</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(0.33 ) $</w:t>
            </w: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w:t>
            </w:r>
          </w:p>
        </w:tc>
        <w:tc>
          <w:tcPr>
            <w:tcW w:w="360" w:type="dxa"/>
            <w:vAlign w:val="bottom"/>
            <w:vMerge w:val="continue"/>
            <w:shd w:val="clear" w:color="auto" w:fill="CFF0FC"/>
          </w:tcPr>
          <w:p>
            <w:pPr>
              <w:spacing w:after="0"/>
              <w:rPr>
                <w:sz w:val="19"/>
                <w:szCs w:val="19"/>
                <w:color w:val="auto"/>
              </w:rPr>
            </w:pPr>
          </w:p>
        </w:tc>
        <w:tc>
          <w:tcPr>
            <w:tcW w:w="1640" w:type="dxa"/>
            <w:vAlign w:val="bottom"/>
            <w:gridSpan w:val="3"/>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Class A common share attributable to Rani Holdings (in thousands):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5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6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Paired Interests</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24,116</w:t>
            </w:r>
          </w:p>
        </w:tc>
        <w:tc>
          <w:tcPr>
            <w:tcW w:w="8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24,773</w:t>
            </w:r>
          </w:p>
        </w:tc>
        <w:tc>
          <w:tcPr>
            <w:tcW w:w="100" w:type="dxa"/>
            <w:vAlign w:val="bottom"/>
            <w:shd w:val="clear" w:color="auto" w:fill="CFF0FC"/>
          </w:tcPr>
          <w:p>
            <w:pPr>
              <w:spacing w:after="0"/>
              <w:rPr>
                <w:sz w:val="20"/>
                <w:szCs w:val="20"/>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right"/>
              <w:spacing w:after="0"/>
              <w:rPr>
                <w:sz w:val="20"/>
                <w:szCs w:val="20"/>
                <w:color w:val="auto"/>
              </w:rPr>
            </w:pPr>
            <w:r>
              <w:rPr>
                <w:rFonts w:ascii="Arial" w:cs="Arial" w:eastAsia="Arial" w:hAnsi="Arial"/>
                <w:sz w:val="18"/>
                <w:szCs w:val="18"/>
                <w:color w:val="auto"/>
              </w:rPr>
              <w:t>5,709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21"/>
                <w:szCs w:val="2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Non-corresponding Class A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1,387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Shares issuable pursuant to the ESPP</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30,629</w:t>
            </w:r>
          </w:p>
        </w:tc>
        <w:tc>
          <w:tcPr>
            <w:tcW w:w="10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-187960</wp:posOffset>
            </wp:positionV>
            <wp:extent cx="6032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20" w:firstLine="1018"/>
        <w:spacing w:after="0" w:line="259" w:lineRule="auto"/>
        <w:rPr>
          <w:sz w:val="20"/>
          <w:szCs w:val="20"/>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months ended March 31, 2023. Therefore, they are not included in the computation of net loss per Class A common share attributable to Rani Holdings.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60" w:firstLine="1018"/>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2022,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our Annual Report on Form 10-K for the year ended December 31, 2022. Please also see the section titled “Forward Looking Statements.”</w:t>
      </w:r>
    </w:p>
    <w:p>
      <w:pPr>
        <w:spacing w:after="0" w:line="178"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i w:val="1"/>
          <w:iCs w:val="1"/>
          <w:color w:val="auto"/>
        </w:rPr>
        <w:t>The following discussion contains references to calendar year 2022 and the three months ended March 31, 2023 and 2022, respectively, which represents the condensed consolidated financial results of Rani Therapeutics Holdings, Inc. (the "Company") and its subsidiary, Rani Therapeutics, LLC and, prior to December 15, 2022, Rani Management Systems, Inc., for the year ended December 31, 2022 and the three months ended March 31, 2023 and 2022, respectively. Unless we state otherwise or the context otherwise requires, the terms “we,” “us,” “our,” and “Rani” and similar references refers to the Company and its consolidated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20" w:firstLine="1018"/>
        <w:spacing w:after="0" w:line="263"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84" w:lineRule="exact"/>
        <w:rPr>
          <w:sz w:val="20"/>
          <w:szCs w:val="20"/>
          <w:color w:val="auto"/>
        </w:rPr>
      </w:pPr>
    </w:p>
    <w:p>
      <w:pPr>
        <w:ind w:right="100" w:firstLine="1018"/>
        <w:spacing w:after="0" w:line="296" w:lineRule="auto"/>
        <w:rPr>
          <w:sz w:val="20"/>
          <w:szCs w:val="20"/>
          <w:color w:val="auto"/>
        </w:rPr>
      </w:pPr>
      <w:r>
        <w:rPr>
          <w:rFonts w:ascii="Arial" w:cs="Arial" w:eastAsia="Arial" w:hAnsi="Arial"/>
          <w:sz w:val="16"/>
          <w:szCs w:val="16"/>
          <w:color w:val="auto"/>
        </w:rPr>
        <w:t>We are developing and clinically testing a drug-agnostic oral delivery platform, the RaniPill capsule, which is designed to deliver a wide variety of drug substances, including large molecules such as peptides, proteins, and antibodies. The current RaniPill capsule, the RaniPill GO, is designed to deliver up to a 3 mg dose of drug with high bioavailability. We are also developing a high-capacity version known as the RaniPill HC, which is in preclinical stage and which is intended to enable delivery of drug payloads up to 20 mg with high bioavailability. The RaniPill GO is optimized to orally deliver a variety of therapeutics, and we are advancing development of the RaniPill HC to address biologics and drugs with higher dosing requirements.</w:t>
      </w:r>
    </w:p>
    <w:p>
      <w:pPr>
        <w:spacing w:after="0" w:line="161"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Rani LLC preferred units, the issuance of convertible promissory notes, long-term debt, and contract revenue generated from our evaluation agreements.</w:t>
      </w:r>
    </w:p>
    <w:p>
      <w:pPr>
        <w:spacing w:after="0" w:line="187"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4"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240"/>
        <w:spacing w:after="0" w:line="277" w:lineRule="auto"/>
        <w:rPr>
          <w:sz w:val="20"/>
          <w:szCs w:val="20"/>
          <w:color w:val="auto"/>
        </w:rPr>
      </w:pPr>
      <w:r>
        <w:rPr>
          <w:rFonts w:ascii="Arial" w:cs="Arial" w:eastAsia="Arial" w:hAnsi="Arial"/>
          <w:sz w:val="18"/>
          <w:szCs w:val="18"/>
          <w:color w:val="auto"/>
        </w:rPr>
        <w:t>use have been capitalized as property and equipment while those projects related to our assets determined to not have an alternative future use have been expensed as research and development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w:t>
      </w:r>
    </w:p>
    <w:p>
      <w:pPr>
        <w:spacing w:after="0" w:line="225"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In January 2023, we announced completion of a pre-Investigational New Drug (“IND") meeting with the U.S. Food and Drug Administration (“FDA”) with respect to RT-102, our RaniPill capsule containing parathyroid hormone (1-34) being developed for the potential treatment of osteoporosis. Following feedback from the meeting, we believe that a 505(b)(2) pathway is suitable for the development of RT-102 in the United States. In addition, we obtained guidance from the FDA on our preclinical and clinical development plans for RT-102, including the Phase 2 clinical trial which is expected to initiate in the second half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RT-111</w:t>
      </w:r>
    </w:p>
    <w:p>
      <w:pPr>
        <w:spacing w:after="0" w:line="225" w:lineRule="exact"/>
        <w:rPr>
          <w:sz w:val="20"/>
          <w:szCs w:val="20"/>
          <w:color w:val="auto"/>
        </w:rPr>
      </w:pPr>
    </w:p>
    <w:p>
      <w:pPr>
        <w:ind w:right="280" w:firstLine="1018"/>
        <w:spacing w:after="0" w:line="259" w:lineRule="auto"/>
        <w:rPr>
          <w:sz w:val="20"/>
          <w:szCs w:val="20"/>
          <w:color w:val="auto"/>
        </w:rPr>
      </w:pPr>
      <w:r>
        <w:rPr>
          <w:rFonts w:ascii="Arial" w:cs="Arial" w:eastAsia="Arial" w:hAnsi="Arial"/>
          <w:sz w:val="18"/>
          <w:szCs w:val="18"/>
          <w:color w:val="auto"/>
        </w:rPr>
        <w:t>In January 2023, we announced entering into a License and Supply Agreement with Celltrion, Inc.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(the “Celltrion Agreement”). RT-111 is the RaniPill capsule containing an ustekinumab biosimlar.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7"/>
          <w:szCs w:val="17"/>
          <w:color w:val="auto"/>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March 31, 2023, we were in compliance with all applicable debt covenants under the Loan Agreement and had cash, cash equivalents and marketable securities totaling $86.8 million.</w:t>
      </w:r>
    </w:p>
    <w:p>
      <w:pPr>
        <w:spacing w:after="0" w:line="182" w:lineRule="exact"/>
        <w:rPr>
          <w:sz w:val="20"/>
          <w:szCs w:val="20"/>
          <w:color w:val="auto"/>
        </w:rPr>
      </w:pPr>
    </w:p>
    <w:p>
      <w:pPr>
        <w:ind w:right="120" w:firstLine="1018"/>
        <w:spacing w:after="0" w:line="239" w:lineRule="auto"/>
        <w:rPr>
          <w:sz w:val="20"/>
          <w:szCs w:val="20"/>
          <w:color w:val="auto"/>
        </w:rPr>
      </w:pPr>
      <w:r>
        <w:rPr>
          <w:rFonts w:ascii="Arial" w:cs="Arial" w:eastAsia="Arial" w:hAnsi="Arial"/>
          <w:sz w:val="18"/>
          <w:szCs w:val="18"/>
          <w:color w:val="auto"/>
        </w:rPr>
        <w:t>In addition, in August 2022, we entered into a Controlled Equity</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Sales Agreement (the “Sales Agreement”) with Cantor Fitzgerald &amp; Co. and H.C. Wainwright &amp; Co., LLC (collectively, the “Agents”), pursuant to which we may offer and sell from time to time through the Agents up to $150 million of shares of our Class A common stock, in such share amounts as we may specify by notice to the Agents, in accordance with the terms and conditions set forth in the Sales Agreement (“ATM Sales”). As of March 31, 2023, we had not delivered any placement notices to either of the Agents and there had been no ATM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right="100" w:firstLine="1018"/>
        <w:spacing w:after="0" w:line="254" w:lineRule="auto"/>
        <w:rPr>
          <w:sz w:val="20"/>
          <w:szCs w:val="20"/>
          <w:color w:val="auto"/>
        </w:rPr>
      </w:pPr>
      <w:r>
        <w:rPr>
          <w:rFonts w:ascii="Arial" w:cs="Arial" w:eastAsia="Arial" w:hAnsi="Arial"/>
          <w:sz w:val="18"/>
          <w:szCs w:val="18"/>
          <w:color w:val="auto"/>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RMS (prior to December 15, 2022) are included in the consolidated financial statements of the Company. RMS was dissolved as of December 15, 2022.</w:t>
      </w:r>
    </w:p>
    <w:p>
      <w:pPr>
        <w:spacing w:after="0" w:line="195"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7"/>
          <w:szCs w:val="17"/>
          <w:color w:val="auto"/>
        </w:rPr>
        <w:t>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and general and administrative activities.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develop the RaniPill GO and RaniPill HC. These expenses include: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External expenses, consisting of:</w:t>
      </w:r>
    </w:p>
    <w:p>
      <w:pPr>
        <w:spacing w:after="0" w:line="117" w:lineRule="exact"/>
        <w:rPr>
          <w:sz w:val="20"/>
          <w:szCs w:val="20"/>
          <w:color w:val="auto"/>
        </w:rPr>
      </w:pPr>
    </w:p>
    <w:p>
      <w:pPr>
        <w:ind w:left="1660" w:hanging="514"/>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contract research organizations ("CROs"), for managing and conducting clinical trials;</w:t>
      </w:r>
    </w:p>
    <w:p>
      <w:pPr>
        <w:spacing w:after="0" w:line="117" w:lineRule="exact"/>
        <w:rPr>
          <w:rFonts w:ascii="Arial" w:cs="Arial" w:eastAsia="Arial" w:hAnsi="Arial"/>
          <w:sz w:val="18"/>
          <w:szCs w:val="18"/>
          <w:color w:val="auto"/>
        </w:rPr>
      </w:pPr>
    </w:p>
    <w:p>
      <w:pPr>
        <w:ind w:left="1660" w:right="340" w:hanging="514"/>
        <w:spacing w:after="0" w:line="277" w:lineRule="auto"/>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GO, RaniPill HC and other materials;</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117" w:lineRule="exact"/>
        <w:rPr>
          <w:rFonts w:ascii="Arial" w:cs="Arial" w:eastAsia="Arial" w:hAnsi="Arial"/>
          <w:sz w:val="18"/>
          <w:szCs w:val="18"/>
          <w:color w:val="auto"/>
        </w:rPr>
      </w:pPr>
    </w:p>
    <w:p>
      <w:pPr>
        <w:ind w:left="1660" w:hanging="514"/>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consulting, advisors, and other external services.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Internal expenses, consisting of:</w:t>
      </w:r>
    </w:p>
    <w:p>
      <w:pPr>
        <w:spacing w:after="0" w:line="117" w:lineRule="exact"/>
        <w:rPr>
          <w:sz w:val="20"/>
          <w:szCs w:val="20"/>
          <w:color w:val="auto"/>
        </w:rPr>
      </w:pPr>
    </w:p>
    <w:p>
      <w:pPr>
        <w:ind w:left="1660" w:right="40" w:hanging="514"/>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including salaries, bonuses, stock-based compensation and benefits for personnel engaged in the research and development functions;</w:t>
      </w:r>
    </w:p>
    <w:p>
      <w:pPr>
        <w:spacing w:after="0" w:line="62" w:lineRule="exact"/>
        <w:rPr>
          <w:rFonts w:ascii="Arial" w:cs="Arial" w:eastAsia="Arial" w:hAnsi="Arial"/>
          <w:sz w:val="18"/>
          <w:szCs w:val="18"/>
          <w:color w:val="auto"/>
        </w:rPr>
      </w:pPr>
    </w:p>
    <w:p>
      <w:pPr>
        <w:ind w:left="1660" w:right="480" w:hanging="514"/>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77" w:lineRule="exact"/>
        <w:rPr>
          <w:sz w:val="20"/>
          <w:szCs w:val="20"/>
          <w:color w:val="auto"/>
        </w:rPr>
      </w:pPr>
    </w:p>
    <w:p>
      <w:pPr>
        <w:ind w:right="360" w:firstLine="1018"/>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right="40" w:firstLine="1018"/>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jc w:val="both"/>
        <w:ind w:right="100" w:firstLine="1018"/>
        <w:spacing w:after="0" w:line="26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in the foreseeable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line="293" w:lineRule="auto"/>
        <w:rPr>
          <w:sz w:val="20"/>
          <w:szCs w:val="20"/>
          <w:color w:val="auto"/>
        </w:rPr>
      </w:pPr>
      <w:r>
        <w:rPr>
          <w:rFonts w:ascii="Arial" w:cs="Arial" w:eastAsia="Arial" w:hAnsi="Arial"/>
          <w:sz w:val="16"/>
          <w:szCs w:val="16"/>
          <w:color w:val="auto"/>
        </w:rPr>
        <w:t>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GO and RaniPill HC and our product candidates is highly uncertain, and we may never succeed in successfully developing the RaniPill GO and/or RaniPill HC or achieve the development of, and regulatory approval for, our product candidates.</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1018"/>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stock-based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88" w:lineRule="exact"/>
        <w:rPr>
          <w:sz w:val="20"/>
          <w:szCs w:val="20"/>
          <w:color w:val="auto"/>
        </w:rPr>
      </w:pPr>
    </w:p>
    <w:p>
      <w:pPr>
        <w:ind w:right="200" w:firstLine="1018"/>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GO and RaniPill HC and our product candidates.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80" w:firstLine="1018"/>
        <w:spacing w:after="0" w:line="277" w:lineRule="auto"/>
        <w:rPr>
          <w:sz w:val="20"/>
          <w:szCs w:val="20"/>
          <w:color w:val="auto"/>
        </w:rPr>
      </w:pPr>
      <w:r>
        <w:rPr>
          <w:rFonts w:ascii="Arial" w:cs="Arial" w:eastAsia="Arial" w:hAnsi="Arial"/>
          <w:sz w:val="18"/>
          <w:szCs w:val="18"/>
          <w:color w:val="auto"/>
        </w:rPr>
        <w:t>Other income (expense), net primarily consists of interest income earned on our cash equivalents and marketable securities and interest expense from our long-term debt and amortization of debt discount and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70" w:lineRule="exact"/>
        <w:rPr>
          <w:sz w:val="20"/>
          <w:szCs w:val="20"/>
          <w:color w:val="auto"/>
        </w:rPr>
      </w:pPr>
    </w:p>
    <w:p>
      <w:pPr>
        <w:ind w:right="100" w:firstLine="1018"/>
        <w:spacing w:after="0" w:line="255" w:lineRule="auto"/>
        <w:rPr>
          <w:sz w:val="20"/>
          <w:szCs w:val="20"/>
          <w:color w:val="auto"/>
        </w:rPr>
      </w:pPr>
      <w:r>
        <w:rPr>
          <w:rFonts w:ascii="Arial" w:cs="Arial" w:eastAsia="Arial" w:hAnsi="Arial"/>
          <w:sz w:val="18"/>
          <w:szCs w:val="18"/>
          <w:color w:val="auto"/>
        </w:rPr>
        <w:t>In August 2021, based on the Organizational Transactions, the Company became the sole managing member of Rani LLC. As of March 31, 2023, the Company held approximately 50% of the Class A Units of Rani LLC, and approximately 50% of the outstanding Class A Units of Rani LLC are held by the Continuing LLC Owners. Therefore, we report NCI based on the Class A Units of Rani LLC held by the Continuing LLC Owners on our condensed consolidated balance sheet as of March 31, 2023.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92" w:lineRule="exact"/>
        <w:rPr>
          <w:sz w:val="20"/>
          <w:szCs w:val="20"/>
          <w:color w:val="auto"/>
        </w:rPr>
      </w:pPr>
    </w:p>
    <w:p>
      <w:pPr>
        <w:jc w:val="both"/>
        <w:ind w:right="240" w:firstLine="1018"/>
        <w:spacing w:after="0" w:line="279"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March 31, 2023, there were 5,173,947 exchanges of Paired Interests and 158,051 exchanges of non-corresponding Class A Units of Rani LLC for an equal number of shares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340" w:firstLine="1018"/>
        <w:spacing w:after="0" w:line="257" w:lineRule="auto"/>
        <w:rPr>
          <w:sz w:val="20"/>
          <w:szCs w:val="20"/>
          <w:color w:val="auto"/>
        </w:rPr>
      </w:pPr>
      <w:r>
        <w:rPr>
          <w:rFonts w:ascii="Arial" w:cs="Arial" w:eastAsia="Arial" w:hAnsi="Arial"/>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88"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Relationship with InCube Labs,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82" w:lineRule="exact"/>
        <w:rPr>
          <w:sz w:val="20"/>
          <w:szCs w:val="20"/>
          <w:color w:val="auto"/>
        </w:rPr>
      </w:pPr>
    </w:p>
    <w:p>
      <w:pPr>
        <w:ind w:right="80" w:firstLine="1018"/>
        <w:spacing w:after="0" w:line="271" w:lineRule="auto"/>
        <w:rPr>
          <w:sz w:val="20"/>
          <w:szCs w:val="20"/>
          <w:color w:val="auto"/>
        </w:rPr>
      </w:pPr>
      <w:r>
        <w:rPr>
          <w:rFonts w:ascii="Arial" w:cs="Arial" w:eastAsia="Arial" w:hAnsi="Arial"/>
          <w:sz w:val="17"/>
          <w:szCs w:val="17"/>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8" w:lineRule="exact"/>
        <w:rPr>
          <w:sz w:val="20"/>
          <w:szCs w:val="20"/>
          <w:color w:val="auto"/>
        </w:rPr>
      </w:pPr>
    </w:p>
    <w:p>
      <w:pPr>
        <w:ind w:right="380" w:firstLine="1018"/>
        <w:spacing w:after="0" w:line="308" w:lineRule="auto"/>
        <w:rPr>
          <w:sz w:val="20"/>
          <w:szCs w:val="20"/>
          <w:color w:val="auto"/>
        </w:rPr>
      </w:pPr>
      <w:r>
        <w:rPr>
          <w:rFonts w:ascii="Arial" w:cs="Arial" w:eastAsia="Arial" w:hAnsi="Arial"/>
          <w:sz w:val="17"/>
          <w:szCs w:val="17"/>
          <w:color w:val="auto"/>
        </w:rPr>
        <w:t>The table below details the amounts charged by ICL for services and rent, net of the amount charged to ICL under the RMS-ICL Service Agreement, which is included in the condensed consolidated statements of operations and comprehensive loss (in thousands):</w:t>
      </w:r>
    </w:p>
    <w:p>
      <w:pPr>
        <w:spacing w:after="0" w:line="151"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80" w:firstLine="1018"/>
        <w:spacing w:after="0" w:line="259" w:lineRule="auto"/>
        <w:rPr>
          <w:sz w:val="20"/>
          <w:szCs w:val="20"/>
          <w:color w:val="auto"/>
        </w:rPr>
      </w:pPr>
      <w:r>
        <w:rPr>
          <w:rFonts w:ascii="Arial" w:cs="Arial" w:eastAsia="Arial" w:hAnsi="Arial"/>
          <w:sz w:val="18"/>
          <w:szCs w:val="18"/>
          <w:color w:val="auto"/>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87"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As of March 31, 2023, all of our facilities are owned or leased by an entity affiliated with our Chairman. Rani LLC pays for the use of these facilities through our services agreements with ICL.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right="40" w:firstLine="1018"/>
        <w:spacing w:after="0" w:line="270"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right="640"/>
        <w:spacing w:after="0" w:line="277" w:lineRule="auto"/>
        <w:rPr>
          <w:sz w:val="20"/>
          <w:szCs w:val="20"/>
          <w:color w:val="auto"/>
        </w:rPr>
      </w:pPr>
      <w:r>
        <w:rPr>
          <w:rFonts w:ascii="Arial" w:cs="Arial" w:eastAsia="Arial" w:hAnsi="Arial"/>
          <w:sz w:val="18"/>
          <w:szCs w:val="18"/>
          <w:color w:val="auto"/>
        </w:rPr>
        <w:t>Additionally, we may terminate the Amended and Restated Exclusive License Agreement in its entirety or as to any particular licensed patent upon notification to ICL of such intent to terminate.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right="60" w:firstLine="1018"/>
        <w:spacing w:after="0" w:line="259" w:lineRule="auto"/>
        <w:rPr>
          <w:sz w:val="20"/>
          <w:szCs w:val="20"/>
          <w:color w:val="auto"/>
        </w:rPr>
      </w:pPr>
      <w:r>
        <w:rPr>
          <w:rFonts w:ascii="Arial" w:cs="Arial" w:eastAsia="Arial" w:hAnsi="Arial"/>
          <w:sz w:val="18"/>
          <w:szCs w:val="18"/>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three months ended March 31, 2023 and 2022, these parties to the TRA exchanged zero and 2,309,490 Paired Interests, respectively, that resulted in tax benefits subject to the TRA.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40" w:firstLine="1018"/>
        <w:spacing w:after="0" w:line="254" w:lineRule="auto"/>
        <w:rPr>
          <w:sz w:val="20"/>
          <w:szCs w:val="20"/>
          <w:color w:val="auto"/>
        </w:rPr>
      </w:pPr>
      <w:r>
        <w:rPr>
          <w:rFonts w:ascii="Arial" w:cs="Arial" w:eastAsia="Arial" w:hAnsi="Arial"/>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25" w:lineRule="exact"/>
        <w:rPr>
          <w:sz w:val="20"/>
          <w:szCs w:val="20"/>
          <w:color w:val="auto"/>
        </w:rPr>
      </w:pPr>
    </w:p>
    <w:p>
      <w:pPr>
        <w:ind w:right="140" w:firstLine="1018"/>
        <w:spacing w:after="0" w:line="273" w:lineRule="auto"/>
        <w:rPr>
          <w:sz w:val="20"/>
          <w:szCs w:val="20"/>
          <w:color w:val="auto"/>
        </w:rPr>
      </w:pPr>
      <w:r>
        <w:rPr>
          <w:rFonts w:ascii="Arial" w:cs="Arial" w:eastAsia="Arial" w:hAnsi="Arial"/>
          <w:sz w:val="17"/>
          <w:szCs w:val="17"/>
          <w:color w:val="auto"/>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pacing w:after="0" w:line="178" w:lineRule="exact"/>
        <w:rPr>
          <w:sz w:val="20"/>
          <w:szCs w:val="20"/>
          <w:color w:val="auto"/>
        </w:rPr>
      </w:pPr>
    </w:p>
    <w:p>
      <w:pPr>
        <w:ind w:right="300" w:firstLine="1018"/>
        <w:spacing w:after="0" w:line="277" w:lineRule="auto"/>
        <w:rPr>
          <w:sz w:val="20"/>
          <w:szCs w:val="20"/>
          <w:color w:val="auto"/>
        </w:rPr>
      </w:pPr>
      <w:r>
        <w:rPr>
          <w:rFonts w:ascii="Arial" w:cs="Arial" w:eastAsia="Arial" w:hAnsi="Arial"/>
          <w:sz w:val="18"/>
          <w:szCs w:val="18"/>
          <w:color w:val="auto"/>
        </w:rPr>
        <w:t>During the three months ended March 31, 2023 and 2022, these parties to the Rani LLC Agreement exchanged zero and 2,309,490 Paired Interests, respectively, for the Company's Class A common stock.</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6"/>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3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9,712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6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(13,780</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and other, net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Interest expense and other, net</w:t>
            </w:r>
          </w:p>
        </w:tc>
        <w:tc>
          <w:tcPr>
            <w:tcW w:w="2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(1,207 )</w:t>
            </w:r>
          </w:p>
        </w:tc>
        <w:tc>
          <w:tcPr>
            <w:tcW w:w="260" w:type="dxa"/>
            <w:vAlign w:val="bottom"/>
          </w:tcPr>
          <w:p>
            <w:pPr>
              <w:spacing w:after="0"/>
              <w:rPr>
                <w:sz w:val="21"/>
                <w:szCs w:val="21"/>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6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(13,765</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(63 )</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(13,828</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(8,460 )</w:t>
            </w:r>
          </w:p>
        </w:tc>
        <w:tc>
          <w:tcPr>
            <w:tcW w:w="26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(7,605 )</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-1610995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-1610995</wp:posOffset>
            </wp:positionV>
            <wp:extent cx="5969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Not meaningful</w:t>
      </w:r>
    </w:p>
    <w:p>
      <w:pPr>
        <w:spacing w:after="0" w:line="2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Payroll, stock-based compensation and related benefits</w:t>
            </w: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7,372</w:t>
            </w:r>
          </w:p>
        </w:tc>
        <w:tc>
          <w:tcPr>
            <w:tcW w:w="2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5,423</w:t>
            </w:r>
          </w:p>
        </w:tc>
        <w:tc>
          <w:tcPr>
            <w:tcW w:w="100" w:type="dxa"/>
            <w:vAlign w:val="bottom"/>
            <w:shd w:val="clear" w:color="auto" w:fill="CFF0FC"/>
          </w:tcPr>
          <w:p>
            <w:pPr>
              <w:spacing w:after="0"/>
              <w:rPr>
                <w:sz w:val="20"/>
                <w:szCs w:val="20"/>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1,448</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1,060</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FF0FC"/>
          </w:tcPr>
          <w:p>
            <w:pPr>
              <w:spacing w:after="0"/>
              <w:rPr>
                <w:sz w:val="21"/>
                <w:szCs w:val="2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r>
      <w:tr>
        <w:trPr>
          <w:trHeight w:val="277"/>
        </w:trPr>
        <w:tc>
          <w:tcPr>
            <w:tcW w:w="6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9,712</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7,591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60" w:firstLine="1018"/>
        <w:spacing w:after="0" w:line="259" w:lineRule="auto"/>
        <w:rPr>
          <w:sz w:val="20"/>
          <w:szCs w:val="20"/>
          <w:color w:val="auto"/>
        </w:rPr>
      </w:pPr>
      <w:r>
        <w:rPr>
          <w:rFonts w:ascii="Arial" w:cs="Arial" w:eastAsia="Arial" w:hAnsi="Arial"/>
          <w:sz w:val="18"/>
          <w:szCs w:val="18"/>
          <w:color w:val="auto"/>
        </w:rPr>
        <w:t>Research and development expenses were $9.7 million for the three months ended March 31, 2023, compared to $7.6 million for the three months ended March 31, 2022. The difference was primarily attributed to higher compensation costs of $1.9 million, which includes an increase of $0.4 million in stock-based compensation, due to headcount growth, and an increase of $0.4 million in facilities, materials and supplies expense related to preclinical and clinical development activities.</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60" w:firstLine="1018"/>
        <w:spacing w:after="0" w:line="286" w:lineRule="auto"/>
        <w:rPr>
          <w:sz w:val="20"/>
          <w:szCs w:val="20"/>
          <w:color w:val="auto"/>
        </w:rPr>
      </w:pPr>
      <w:r>
        <w:rPr>
          <w:rFonts w:ascii="Arial" w:cs="Arial" w:eastAsia="Arial" w:hAnsi="Arial"/>
          <w:sz w:val="17"/>
          <w:szCs w:val="17"/>
          <w:color w:val="auto"/>
        </w:rPr>
        <w:t>General and administrative expenses were $6.8 million for the three months ended March 31, 2023, compared to $6.2 million for the three months ended March 31, 2022. The difference was primarily attributed to an increase in stock-based compensation of $1.1 million due to headcount growth, partially offset by a decrease in third-party services of $0.5 million due to non-recurring public company related costs.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80" w:firstLine="1018"/>
        <w:spacing w:after="0" w:line="277" w:lineRule="auto"/>
        <w:rPr>
          <w:sz w:val="20"/>
          <w:szCs w:val="20"/>
          <w:color w:val="auto"/>
        </w:rPr>
      </w:pPr>
      <w:r>
        <w:rPr>
          <w:rFonts w:ascii="Arial" w:cs="Arial" w:eastAsia="Arial" w:hAnsi="Arial"/>
          <w:sz w:val="18"/>
          <w:szCs w:val="18"/>
          <w:color w:val="auto"/>
        </w:rPr>
        <w:t>Other expense, net, was $0.2 million for the three months ended March 31, 2023, compared to other income, net, which was de minimis for the three months ended March 31, 2022. The difference was primarily attributed to an increase in interest income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of $0.9 million from our investment in marketable securities offset by an increase in interest expense of $1.2 million from our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right="60" w:firstLine="1018"/>
        <w:spacing w:after="0" w:line="291" w:lineRule="auto"/>
        <w:rPr>
          <w:sz w:val="20"/>
          <w:szCs w:val="20"/>
          <w:color w:val="auto"/>
        </w:rPr>
      </w:pPr>
      <w:r>
        <w:rPr>
          <w:rFonts w:ascii="Arial" w:cs="Arial" w:eastAsia="Arial" w:hAnsi="Arial"/>
          <w:sz w:val="16"/>
          <w:szCs w:val="16"/>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w:t>
      </w:r>
    </w:p>
    <w:p>
      <w:pPr>
        <w:spacing w:after="0" w:line="166" w:lineRule="exact"/>
        <w:rPr>
          <w:sz w:val="20"/>
          <w:szCs w:val="20"/>
          <w:color w:val="auto"/>
        </w:rPr>
      </w:pPr>
    </w:p>
    <w:p>
      <w:pPr>
        <w:ind w:right="80" w:firstLine="1018"/>
        <w:spacing w:after="0" w:line="273" w:lineRule="auto"/>
        <w:rPr>
          <w:sz w:val="20"/>
          <w:szCs w:val="20"/>
          <w:color w:val="auto"/>
        </w:rPr>
      </w:pPr>
      <w:r>
        <w:rPr>
          <w:rFonts w:ascii="Arial" w:cs="Arial" w:eastAsia="Arial" w:hAnsi="Arial"/>
          <w:sz w:val="17"/>
          <w:szCs w:val="17"/>
          <w:color w:val="auto"/>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March 31, 2023, we were in compliance with all applicable debt covenants under the Loan Agreement and had cash, cash equivalents and marketable securities totaling $86.8 million.</w:t>
      </w:r>
    </w:p>
    <w:p>
      <w:pPr>
        <w:spacing w:after="0" w:line="178"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In August 2022, we entered into the Sales Agreement with the Agents, pursuant to which we may offer and sell from time to time through the Agents up to $150.0 million of shares of our Class A common stock in ATM Sales. As of March 31, 2023, we had not delivered any placement notices to either of the Agents and there had been no ATM Sales.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Since our inception, we have incurred significant losses and negative cash flows from operations. Our net losses were $16.8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$13.8 million for the three months ended March 31, 2023 and 2022, respectively. As of March 31, 2023, we had an accumulated deficit of $47.3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incur significant losses for the foreseeable future, and our net losses may fluctuate significantly from period to period, depending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timing of and expenditures on our planned research and development activities. Until such time as we can generate sufficient revenue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product sales, if ever, we expect to finance our operations through a combination of equity offerings and debt financings, which may include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ATM Sales, or other capital sources, which may include strategic collaborations or other arrangements with third parties. We may be unable to raise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funds or to enter into such agreements or arrangements on favorable terms, or at all. If we are unable to raise capital or enter into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as and when needed, we may have to significantly delay, scale back or discontinue the development or commercialization of one or more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Insufficient liquidity may also require us to relinquish rights to product candidates at an earlier stage of development or on less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favorable terms than we would otherwise choose.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165" w:lineRule="exact"/>
        <w:rPr>
          <w:sz w:val="20"/>
          <w:szCs w:val="20"/>
          <w:color w:val="auto"/>
        </w:rPr>
      </w:pPr>
    </w:p>
    <w:p>
      <w:pPr>
        <w:ind w:right="220" w:firstLine="1018"/>
        <w:spacing w:after="0" w:line="259" w:lineRule="auto"/>
        <w:rPr>
          <w:sz w:val="20"/>
          <w:szCs w:val="20"/>
          <w:color w:val="auto"/>
        </w:rPr>
      </w:pPr>
      <w:r>
        <w:rPr>
          <w:rFonts w:ascii="Arial" w:cs="Arial" w:eastAsia="Arial" w:hAnsi="Arial"/>
          <w:sz w:val="18"/>
          <w:szCs w:val="18"/>
          <w:color w:val="auto"/>
        </w:rPr>
        <w:t>As of March 31, 2023,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March 31, 2023.</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firstLine="1018"/>
        <w:spacing w:after="0" w:line="311"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40" w:firstLine="1018"/>
        <w:spacing w:after="0" w:line="293" w:lineRule="auto"/>
        <w:rPr>
          <w:sz w:val="20"/>
          <w:szCs w:val="20"/>
          <w:color w:val="auto"/>
        </w:rPr>
      </w:pPr>
      <w:r>
        <w:rPr>
          <w:rFonts w:ascii="Arial" w:cs="Arial" w:eastAsia="Arial" w:hAnsi="Arial"/>
          <w:sz w:val="16"/>
          <w:szCs w:val="16"/>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GO, RaniPill HC and our product candidates and because the extent to which we may enter into strategic collaborations or other arrangements with third parties for development of the RaniPill GO, RaniPill HC and/or our product candidates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 In addition, we expect to incur additional costs operating as a public company.</w:t>
      </w:r>
    </w:p>
    <w:p>
      <w:pPr>
        <w:spacing w:after="0" w:line="164"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8"/>
          <w:szCs w:val="18"/>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80" w:lineRule="exact"/>
        <w:rPr>
          <w:sz w:val="20"/>
          <w:szCs w:val="20"/>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117" w:lineRule="exact"/>
        <w:rPr>
          <w:rFonts w:ascii="Arial" w:cs="Arial" w:eastAsia="Arial" w:hAnsi="Arial"/>
          <w:sz w:val="18"/>
          <w:szCs w:val="18"/>
          <w:color w:val="auto"/>
        </w:rPr>
      </w:pPr>
    </w:p>
    <w:p>
      <w:pPr>
        <w:ind w:left="1540" w:right="220" w:hanging="514"/>
        <w:spacing w:after="0" w:line="31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capsule and/or RaniPill HC for various indications;</w:t>
      </w:r>
    </w:p>
    <w:p>
      <w:pPr>
        <w:spacing w:after="0" w:line="40" w:lineRule="exact"/>
        <w:rPr>
          <w:rFonts w:ascii="Arial" w:cs="Arial" w:eastAsia="Arial" w:hAnsi="Arial"/>
          <w:sz w:val="16"/>
          <w:szCs w:val="16"/>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540" w:right="80" w:hanging="514"/>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ind w:left="1540" w:right="300" w:hanging="514"/>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 and</w:t>
      </w:r>
    </w:p>
    <w:p>
      <w:pPr>
        <w:spacing w:after="0" w:line="117" w:lineRule="exact"/>
        <w:rPr>
          <w:rFonts w:ascii="Arial" w:cs="Arial" w:eastAsia="Arial" w:hAnsi="Arial"/>
          <w:sz w:val="18"/>
          <w:szCs w:val="18"/>
          <w:color w:val="auto"/>
        </w:rPr>
      </w:pPr>
    </w:p>
    <w:p>
      <w:pPr>
        <w:ind w:left="1540" w:right="80" w:hanging="514"/>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w:t>
      </w:r>
    </w:p>
    <w:p>
      <w:pPr>
        <w:spacing w:after="0" w:line="170" w:lineRule="exact"/>
        <w:rPr>
          <w:sz w:val="20"/>
          <w:szCs w:val="20"/>
          <w:color w:val="auto"/>
        </w:rPr>
      </w:pPr>
    </w:p>
    <w:p>
      <w:pPr>
        <w:ind w:right="80" w:firstLine="1018"/>
        <w:spacing w:after="0" w:line="254"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globally.</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cash equivalents and marketable securities:</w:t>
      </w:r>
    </w:p>
    <w:p>
      <w:pPr>
        <w:spacing w:after="0" w:line="298"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5"/>
                <w:szCs w:val="15"/>
                <w:color w:val="auto"/>
              </w:rPr>
            </w:pPr>
          </w:p>
        </w:tc>
      </w:tr>
      <w:tr>
        <w:trPr>
          <w:trHeight w:val="185"/>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27,007</w:t>
            </w:r>
          </w:p>
        </w:tc>
        <w:tc>
          <w:tcPr>
            <w:tcW w:w="100" w:type="dxa"/>
            <w:vAlign w:val="bottom"/>
            <w:shd w:val="clear" w:color="auto" w:fill="CFF0FC"/>
          </w:tcPr>
          <w:p>
            <w:pPr>
              <w:spacing w:after="0"/>
              <w:rPr>
                <w:sz w:val="20"/>
                <w:szCs w:val="20"/>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cash equivalents and marketable securities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right="140" w:firstLine="1018"/>
        <w:spacing w:after="0" w:line="263" w:lineRule="auto"/>
        <w:rPr>
          <w:sz w:val="20"/>
          <w:szCs w:val="20"/>
          <w:color w:val="auto"/>
        </w:rPr>
      </w:pPr>
      <w:r>
        <w:rPr>
          <w:rFonts w:ascii="Arial" w:cs="Arial" w:eastAsia="Arial" w:hAnsi="Arial"/>
          <w:sz w:val="18"/>
          <w:szCs w:val="18"/>
          <w:color w:val="auto"/>
        </w:rPr>
        <w:t>As of March 31, 2023, we had cash, cash equivalents and marketable securities of $86.8 million, compared to $98.5 million as of December 31, 2022. We believe our cash, cash equivalents and marketable securities will be sufficient to meet our anticipated operating requirements for at least the next twelve months following the date of issuance of these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5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(254 )</w:t>
            </w:r>
          </w:p>
        </w:tc>
      </w:tr>
      <w:tr>
        <w:trPr>
          <w:trHeight w:val="243"/>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 equivalents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(8,023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(9,614 </w:t>
            </w:r>
            <w:r>
              <w:rPr>
                <w:rFonts w:ascii="Arial" w:cs="Arial" w:eastAsia="Arial" w:hAnsi="Arial"/>
                <w:sz w:val="18"/>
                <w:szCs w:val="18"/>
                <w:color w:val="auto"/>
                <w:highlight w:val="white"/>
              </w:rPr>
              <w:t>)</w:t>
            </w:r>
          </w:p>
        </w:tc>
      </w:tr>
      <w:tr>
        <w:trPr>
          <w:trHeight w:val="20"/>
        </w:trPr>
        <w:tc>
          <w:tcPr>
            <w:tcW w:w="6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2023 was $12.2 million, which was primarily attributable to a net loss of $16.8 million, partially offset by stock-based compensation expense of $4.4 million, net accretion and amortization of investments in marketable securities of $0.7 million, and non-cash depreciation and amortization expense of $0.2 million. Additionally, there was an increase in accrued expenses and other current liabilities of $0.3 million and a decrease in prepaid expenses and other current assets of $0.3 million for the three months ended March 31, 2023.</w:t>
      </w:r>
    </w:p>
    <w:p>
      <w:pPr>
        <w:spacing w:after="0" w:line="188" w:lineRule="exact"/>
        <w:rPr>
          <w:sz w:val="20"/>
          <w:szCs w:val="20"/>
          <w:color w:val="auto"/>
        </w:rPr>
      </w:pPr>
    </w:p>
    <w:p>
      <w:pPr>
        <w:ind w:right="200" w:firstLine="1018"/>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2022 was $9.4 million, which was primarily attributable to a net loss of $13.8 million, partially offset by stock-based compensation expense of $2.9 million. Additionally, there was an increase in accrued expenses and other current liabilities of $0.6 million and a decrease of $0.7 million in prepaid expenses and other current assets due to amortization of director and officer liability insurance, as a result of becoming a publicly traded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8"/>
          <w:szCs w:val="18"/>
          <w:color w:val="auto"/>
        </w:rPr>
        <w:t>For the three months ended March 31, 2023, net cash provided by investing activities was $4.1 million consisting of $23.0 million in proceeds from maturities of marketable securities partially offset by $18.6 million and $0.3 million in purchases of marketable securities and property and equipment, respectively.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20" w:firstLine="1018"/>
        <w:spacing w:after="0" w:line="277" w:lineRule="auto"/>
        <w:rPr>
          <w:sz w:val="20"/>
          <w:szCs w:val="20"/>
          <w:color w:val="auto"/>
        </w:rPr>
      </w:pPr>
      <w:r>
        <w:rPr>
          <w:rFonts w:ascii="Arial" w:cs="Arial" w:eastAsia="Arial" w:hAnsi="Arial"/>
          <w:sz w:val="18"/>
          <w:szCs w:val="18"/>
          <w:color w:val="auto"/>
        </w:rPr>
        <w:t>For the three months ended March 31, 2022, net cash used in investing activities was $0.3 million consisting solely of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three months ended March 31, 2023, net cash provided by financing activities was de minimis.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three months ended March 31, 2022, there were no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ind w:right="80" w:firstLine="1018"/>
        <w:spacing w:after="0" w:line="277" w:lineRule="auto"/>
        <w:rPr>
          <w:sz w:val="20"/>
          <w:szCs w:val="20"/>
          <w:color w:val="auto"/>
        </w:rPr>
      </w:pPr>
      <w:r>
        <w:rPr>
          <w:rFonts w:ascii="Arial" w:cs="Arial" w:eastAsia="Arial" w:hAnsi="Arial"/>
          <w:sz w:val="18"/>
          <w:szCs w:val="18"/>
          <w:color w:val="auto"/>
        </w:rPr>
        <w:t>Except as discussed below, there have been no material changes to our contractual obligations and other commitments as of March 31, 2023, as compared to those disclosed in our Annual Report on Form 10-K.</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contractual obligations and commitments as of March 31, 2023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As of March 31, 2023</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Short-term</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4"/>
                <w:szCs w:val="14"/>
                <w:color w:val="auto"/>
              </w:rPr>
            </w:pPr>
          </w:p>
        </w:tc>
      </w:tr>
      <w:tr>
        <w:trPr>
          <w:trHeight w:val="23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2"/>
                <w:szCs w:val="12"/>
                <w:color w:val="auto"/>
              </w:rPr>
              <w:t>(1)</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0"/>
                <w:szCs w:val="20"/>
                <w:color w:val="auto"/>
              </w:rPr>
            </w:pPr>
          </w:p>
        </w:tc>
      </w:tr>
      <w:tr>
        <w:trPr>
          <w:trHeight w:val="237"/>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Debt obligations </w:t>
            </w:r>
            <w:r>
              <w:rPr>
                <w:rFonts w:ascii="Arial" w:cs="Arial" w:eastAsia="Arial" w:hAnsi="Arial"/>
                <w:sz w:val="12"/>
                <w:szCs w:val="12"/>
                <w:color w:val="auto"/>
              </w:rPr>
              <w:t>(2)</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31,650</w:t>
            </w: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31,650</w:t>
            </w:r>
          </w:p>
        </w:tc>
        <w:tc>
          <w:tcPr>
            <w:tcW w:w="100" w:type="dxa"/>
            <w:vAlign w:val="bottom"/>
            <w:tcBorders>
              <w:bottom w:val="single" w:sz="8" w:color="CFF0FC"/>
            </w:tcBorders>
          </w:tcPr>
          <w:p>
            <w:pPr>
              <w:spacing w:after="0"/>
              <w:rPr>
                <w:sz w:val="20"/>
                <w:szCs w:val="20"/>
                <w:color w:val="auto"/>
              </w:rPr>
            </w:pPr>
          </w:p>
        </w:tc>
      </w:tr>
      <w:tr>
        <w:trPr>
          <w:trHeight w:val="277"/>
        </w:trPr>
        <w:tc>
          <w:tcPr>
            <w:tcW w:w="4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33,073</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-187960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6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operating lease payments. See Note 7 to the condensed consolidated financial statements contained in Part I, Item 1 of this Quarterly Report on Form 10-Q for additional information.</w:t>
      </w:r>
    </w:p>
    <w:p>
      <w:pPr>
        <w:spacing w:after="0" w:line="170" w:lineRule="exact"/>
        <w:rPr>
          <w:rFonts w:ascii="Arial" w:cs="Arial" w:eastAsia="Arial" w:hAnsi="Arial"/>
          <w:sz w:val="18"/>
          <w:szCs w:val="18"/>
          <w:color w:val="auto"/>
        </w:rPr>
      </w:pPr>
    </w:p>
    <w:p>
      <w:pPr>
        <w:ind w:right="400" w:firstLine="8"/>
        <w:spacing w:after="0" w:line="342"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long-term debt principal maturities and final payment equal to 5.5% of aggregate amount funded, excluding interest. See Note 11 to the condensed consolidated financial statements contained in Part I, Item 1 of this Quarterly Report on Form 10-Q for additional information.</w:t>
      </w:r>
    </w:p>
    <w:p>
      <w:pPr>
        <w:spacing w:after="0" w:line="124" w:lineRule="exact"/>
        <w:rPr>
          <w:sz w:val="20"/>
          <w:szCs w:val="20"/>
          <w:color w:val="auto"/>
        </w:rPr>
      </w:pPr>
    </w:p>
    <w:p>
      <w:pPr>
        <w:ind w:firstLine="1018"/>
        <w:spacing w:after="0" w:line="308" w:lineRule="auto"/>
        <w:rPr>
          <w:sz w:val="20"/>
          <w:szCs w:val="20"/>
          <w:color w:val="auto"/>
        </w:rPr>
      </w:pPr>
      <w:r>
        <w:rPr>
          <w:rFonts w:ascii="Arial" w:cs="Arial" w:eastAsia="Arial" w:hAnsi="Arial"/>
          <w:sz w:val="17"/>
          <w:szCs w:val="17"/>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80" w:firstLine="1018"/>
        <w:spacing w:after="0" w:line="291" w:lineRule="auto"/>
        <w:rPr>
          <w:sz w:val="20"/>
          <w:szCs w:val="20"/>
          <w:color w:val="auto"/>
        </w:rPr>
      </w:pPr>
      <w:r>
        <w:rPr>
          <w:rFonts w:ascii="Arial" w:cs="Arial" w:eastAsia="Arial" w:hAnsi="Arial"/>
          <w:sz w:val="16"/>
          <w:szCs w:val="16"/>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300" w:firstLine="1018"/>
        <w:spacing w:after="0" w:line="277" w:lineRule="auto"/>
        <w:rPr>
          <w:sz w:val="20"/>
          <w:szCs w:val="20"/>
          <w:color w:val="auto"/>
        </w:rPr>
      </w:pPr>
      <w:r>
        <w:rPr>
          <w:rFonts w:ascii="Arial" w:cs="Arial" w:eastAsia="Arial" w:hAnsi="Arial"/>
          <w:sz w:val="18"/>
          <w:szCs w:val="18"/>
          <w:color w:val="auto"/>
        </w:rPr>
        <w:t>For further information on our significant accounting policies, refer to our Annual Report on Form 10-K for the year ended December 31, 2022, filed with the SEC on March 22,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25"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180"/>
        <w:spacing w:after="0" w:line="301" w:lineRule="auto"/>
        <w:rPr>
          <w:sz w:val="20"/>
          <w:szCs w:val="20"/>
          <w:color w:val="auto"/>
        </w:rPr>
      </w:pPr>
      <w:r>
        <w:rPr>
          <w:rFonts w:ascii="Arial" w:cs="Arial" w:eastAsia="Arial" w:hAnsi="Arial"/>
          <w:sz w:val="16"/>
          <w:szCs w:val="16"/>
          <w:color w:val="auto"/>
        </w:rPr>
        <w:t>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will remain an emerging growth company until the earliest of (1) December 31, 2026 (the last day of the fiscal year following the fifth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closing of our initial public offering), (2) the last day of the fiscal year in which we have total annual gross revenue of at least $1.235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(3) the last day of the fiscal year in which we are deemed to be a “large accelerated filer” as defined in Rule 12b-2 under the Securities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of 1934, as amended (the “Exchange Act”), which would occur if the market value of our Class A common stock held by non-affiliates exceeded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 $1.0 billion in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securities during the prior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1018"/>
        <w:spacing w:after="0" w:line="289"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March 31,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101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March 31, 2023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right="20" w:firstLine="1018"/>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There have been no material changes to the risk factors disclosed under the heading “Risk Factors” in our most recent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34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20" w:type="dxa"/>
            <w:vAlign w:val="bottom"/>
            <w:gridSpan w:val="13"/>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9940" w:type="dxa"/>
            <w:vAlign w:val="bottom"/>
            <w:tcBorders>
              <w:bottom w:val="single" w:sz="8" w:color="0000FF"/>
            </w:tcBorders>
            <w:gridSpan w:val="13"/>
          </w:tcPr>
          <w:p>
            <w:pPr>
              <w:spacing w:after="0" w:line="169"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Amended and Restated Certificate of Incorporation of the Registrant as currently in effect (incorporated by reference to Exhibit 3.1 to the</w:t>
              </w:r>
            </w:hyperlink>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4"/>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Registrant’s Registration Statement on Form S-1, as amended, filed with the SEC on July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9400" w:type="dxa"/>
            <w:vAlign w:val="bottom"/>
            <w:tcBorders>
              <w:bottom w:val="single" w:sz="8" w:color="0000FF"/>
            </w:tcBorders>
            <w:gridSpan w:val="8"/>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Amended and Restated Bylaws of the Registrant as currently in effect (incorporated by reference to Exhibit 3.4 to the Registrant’s</w:t>
              </w:r>
            </w:hyperlink>
          </w:p>
        </w:tc>
        <w:tc>
          <w:tcPr>
            <w:tcW w:w="6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Registration Statement on Form S-1, as amended, filed with the SEC on July 9, 2021).</w:t>
              </w:r>
            </w:hyperlink>
          </w:p>
        </w:tc>
        <w:tc>
          <w:tcPr>
            <w:tcW w:w="20" w:type="dxa"/>
            <w:vAlign w:val="bottom"/>
            <w:tcBorders>
              <w:bottom w:val="single" w:sz="8" w:color="0000EE"/>
            </w:tcBorders>
          </w:tcPr>
          <w:p>
            <w:pPr>
              <w:spacing w:after="0"/>
              <w:rPr>
                <w:sz w:val="17"/>
                <w:szCs w:val="17"/>
                <w:color w:val="auto"/>
              </w:rPr>
            </w:pPr>
          </w:p>
        </w:tc>
        <w:tc>
          <w:tcPr>
            <w:tcW w:w="3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10.1x</w:t>
            </w:r>
          </w:p>
        </w:tc>
        <w:tc>
          <w:tcPr>
            <w:tcW w:w="140" w:type="dxa"/>
            <w:vAlign w:val="bottom"/>
          </w:tcPr>
          <w:p>
            <w:pPr>
              <w:spacing w:after="0"/>
              <w:rPr>
                <w:sz w:val="18"/>
                <w:szCs w:val="18"/>
                <w:color w:val="auto"/>
              </w:rPr>
            </w:pPr>
          </w:p>
        </w:tc>
        <w:tc>
          <w:tcPr>
            <w:tcW w:w="9480" w:type="dxa"/>
            <w:vAlign w:val="bottom"/>
            <w:tcBorders>
              <w:bottom w:val="single" w:sz="8" w:color="0000FF"/>
            </w:tcBorders>
            <w:gridSpan w:val="9"/>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License and Supply Agreement by and between Rani Therapeutics, LLC and Celltrion, Inc. dated January 6, 2023 (incorporated by</w:t>
              </w:r>
            </w:hyperlink>
          </w:p>
        </w:tc>
        <w:tc>
          <w:tcPr>
            <w:tcW w:w="6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reference to Exhibit 10.27 to the Registrant’s Annual Report on Form 10-K filed with the SEC on March 22, 2023).</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96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9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4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98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6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0"/>
                <w:szCs w:val="20"/>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80" w:hanging="559"/>
        <w:spacing w:after="0"/>
        <w:tabs>
          <w:tab w:leader="none" w:pos="58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spacing w:after="0" w:line="15" w:lineRule="exact"/>
        <w:rPr>
          <w:sz w:val="20"/>
          <w:szCs w:val="20"/>
          <w:color w:val="auto"/>
        </w:rPr>
      </w:pPr>
    </w:p>
    <w:p>
      <w:pPr>
        <w:ind w:left="580" w:right="60" w:hanging="559"/>
        <w:spacing w:after="0" w:line="24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ind w:left="580" w:right="480" w:hanging="559"/>
        <w:spacing w:after="0" w:line="27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Rani Therapeutics Holdings, Inc.</w:t>
      </w:r>
    </w:p>
    <w:p>
      <w:pPr>
        <w:spacing w:after="0" w:line="252" w:lineRule="exact"/>
        <w:rPr>
          <w:sz w:val="20"/>
          <w:szCs w:val="20"/>
          <w:color w:val="auto"/>
        </w:rPr>
      </w:pPr>
    </w:p>
    <w:p>
      <w:pPr>
        <w:ind w:left="20"/>
        <w:spacing w:after="0"/>
        <w:tabs>
          <w:tab w:leader="none" w:pos="5660" w:val="left"/>
          <w:tab w:leader="none" w:pos="8120" w:val="left"/>
        </w:tabs>
        <w:rPr>
          <w:sz w:val="20"/>
          <w:szCs w:val="20"/>
          <w:color w:val="auto"/>
        </w:rPr>
      </w:pPr>
      <w:r>
        <w:rPr>
          <w:rFonts w:ascii="Arial" w:cs="Arial" w:eastAsia="Arial" w:hAnsi="Arial"/>
          <w:sz w:val="18"/>
          <w:szCs w:val="18"/>
          <w:color w:val="auto"/>
        </w:rPr>
        <w:t>Date: May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Talat Imran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May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Svai Sanford</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25"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Rani Therapeutics Holdings, Inc.;</w:t>
      </w:r>
    </w:p>
    <w:p>
      <w:pPr>
        <w:spacing w:after="0" w:line="225"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2023</w:t>
      </w:r>
    </w:p>
    <w:p>
      <w:pPr>
        <w:spacing w:after="0" w:line="25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23495</wp:posOffset>
            </wp:positionV>
            <wp:extent cx="2837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ind w:left="47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472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223520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25"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Rani Therapeutics Holdings, Inc.;</w:t>
      </w:r>
    </w:p>
    <w:p>
      <w:pPr>
        <w:spacing w:after="0" w:line="225"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2023</w:t>
      </w:r>
    </w:p>
    <w:p>
      <w:pPr>
        <w:spacing w:after="0" w:line="25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Svai Sanford</w:t>
      </w:r>
    </w:p>
    <w:p>
      <w:pPr>
        <w:spacing w:after="0" w:line="36"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2854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ind w:left="4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474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223520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0" w:name="page41"/>
    <w:bookmarkEnd w:id="40"/>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73" w:lineRule="exact"/>
        <w:rPr>
          <w:sz w:val="20"/>
          <w:szCs w:val="20"/>
          <w:color w:val="auto"/>
        </w:rPr>
      </w:pPr>
    </w:p>
    <w:p>
      <w:pPr>
        <w:ind w:left="760" w:hanging="752"/>
        <w:spacing w:after="0" w:line="277" w:lineRule="auto"/>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2023,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760" w:hanging="752"/>
        <w:spacing w:after="0" w:line="277" w:lineRule="auto"/>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10th day of May,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Talat Imran</w:t>
            </w:r>
          </w:p>
        </w:tc>
        <w:tc>
          <w:tcPr>
            <w:tcW w:w="1540" w:type="dxa"/>
            <w:vAlign w:val="bottom"/>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Svai Sanford</w:t>
            </w:r>
          </w:p>
        </w:tc>
      </w:tr>
      <w:tr>
        <w:trPr>
          <w:trHeight w:val="215"/>
        </w:trPr>
        <w:tc>
          <w:tcPr>
            <w:tcW w:w="3660" w:type="dxa"/>
            <w:vAlign w:val="bottom"/>
          </w:tcPr>
          <w:p>
            <w:pPr>
              <w:ind w:left="20"/>
              <w:spacing w:after="0"/>
              <w:rPr>
                <w:sz w:val="20"/>
                <w:szCs w:val="20"/>
                <w:color w:val="auto"/>
              </w:rPr>
            </w:pPr>
            <w:r>
              <w:rPr>
                <w:rFonts w:ascii="Arial" w:cs="Arial" w:eastAsia="Arial" w:hAnsi="Arial"/>
                <w:sz w:val="18"/>
                <w:szCs w:val="18"/>
                <w:color w:val="auto"/>
              </w:rPr>
              <w:t>Talat Imran</w:t>
            </w:r>
          </w:p>
        </w:tc>
        <w:tc>
          <w:tcPr>
            <w:tcW w:w="15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Svai Sanford</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5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4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x"/>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186" Type="http://schemas.openxmlformats.org/officeDocument/2006/relationships/hyperlink" Target="https://www.sec.gov/Archives/edgar/data/1856725/000119312521223596/d151628dex31.htm" TargetMode="External"/><Relationship Id="rId187" Type="http://schemas.openxmlformats.org/officeDocument/2006/relationships/hyperlink" Target="https://www.sec.gov/Archives/edgar/data/1856725/000119312521211922/d151628dex34.htm" TargetMode="External"/><Relationship Id="rId188" Type="http://schemas.openxmlformats.org/officeDocument/2006/relationships/hyperlink" Target="https://www.sec.gov/Archives/edgar/data/1856725/000095017023009178/rani-ex10_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2023-05-10T16:05:58Z</dcterms:created>
  <dcterms:modified xsi:type="dcterms:W3CDTF">2023-05-10T16:05:58Z</dcterms:modified>
</cp:coreProperties>
</file>