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057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05714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Ausiello Dennis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07/29/2021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Rani Therapeutics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RANI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377"/>
        <w:spacing w:after="0" w:line="331" w:lineRule="auto"/>
        <w:rPr>
          <w:sz w:val="20"/>
          <w:szCs w:val="20"/>
          <w:color w:val="auto"/>
        </w:rPr>
      </w:pPr>
      <w:r>
        <w:rPr>
          <w:rFonts w:ascii="Arial" w:cs="Arial" w:eastAsia="Arial" w:hAnsi="Arial"/>
          <w:sz w:val="20"/>
          <w:szCs w:val="20"/>
          <w:color w:val="0000FF"/>
        </w:rPr>
        <w:t>C/O RANI THERAPEUTICS LLC 2051 RINGWOOD AVE.</w:t>
      </w:r>
    </w:p>
    <w:p>
      <w:pPr>
        <w:spacing w:after="0" w:line="230"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95131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80" w:type="dxa"/>
            <w:vAlign w:val="bottom"/>
          </w:tcPr>
          <w:p>
            <w:pPr>
              <w:spacing w:after="0"/>
              <w:rPr>
                <w:sz w:val="4"/>
                <w:szCs w:val="4"/>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Class A Common LLC Units</w:t>
            </w:r>
            <w:r>
              <w:rPr>
                <w:rFonts w:ascii="Arial" w:cs="Arial" w:eastAsia="Arial" w:hAnsi="Arial"/>
                <w:sz w:val="25"/>
                <w:szCs w:val="25"/>
                <w:color w:val="008000"/>
                <w:vertAlign w:val="superscript"/>
              </w:rPr>
              <w:t>(1)</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8"/>
              <w:spacing w:after="0"/>
              <w:rPr>
                <w:sz w:val="20"/>
                <w:szCs w:val="20"/>
                <w:color w:val="auto"/>
              </w:rPr>
            </w:pPr>
            <w:r>
              <w:rPr>
                <w:rFonts w:ascii="Arial" w:cs="Arial" w:eastAsia="Arial" w:hAnsi="Arial"/>
                <w:sz w:val="13"/>
                <w:szCs w:val="13"/>
                <w:color w:val="008000"/>
              </w:rPr>
              <w:t>(1)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143,229</w:t>
            </w:r>
          </w:p>
        </w:tc>
        <w:tc>
          <w:tcPr>
            <w:tcW w:w="1000" w:type="dxa"/>
            <w:vAlign w:val="bottom"/>
            <w:vMerge w:val="restart"/>
          </w:tcPr>
          <w:p>
            <w:pPr>
              <w:jc w:val="right"/>
              <w:ind w:right="344"/>
              <w:spacing w:after="0"/>
              <w:rPr>
                <w:sz w:val="20"/>
                <w:szCs w:val="20"/>
                <w:color w:val="auto"/>
              </w:rPr>
            </w:pPr>
            <w:r>
              <w:rPr>
                <w:rFonts w:ascii="Arial" w:cs="Arial" w:eastAsia="Arial" w:hAnsi="Arial"/>
                <w:sz w:val="13"/>
                <w:szCs w:val="13"/>
                <w:color w:val="008000"/>
              </w:rPr>
              <w:t>(1)</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20" w:type="dxa"/>
            <w:vAlign w:val="bottom"/>
            <w:vMerge w:val="restart"/>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(2)</w:t>
            </w:r>
          </w:p>
        </w:tc>
        <w:tc>
          <w:tcPr>
            <w:tcW w:w="880" w:type="dxa"/>
            <w:vAlign w:val="bottom"/>
            <w:vMerge w:val="restart"/>
          </w:tcPr>
          <w:p>
            <w:pPr>
              <w:jc w:val="right"/>
              <w:ind w:right="28"/>
              <w:spacing w:after="0"/>
              <w:rPr>
                <w:sz w:val="20"/>
                <w:szCs w:val="20"/>
                <w:color w:val="auto"/>
              </w:rPr>
            </w:pPr>
            <w:r>
              <w:rPr>
                <w:rFonts w:ascii="Arial" w:cs="Arial" w:eastAsia="Arial" w:hAnsi="Arial"/>
                <w:sz w:val="15"/>
                <w:szCs w:val="15"/>
                <w:color w:val="0000FF"/>
              </w:rPr>
              <w:t>07/28/2031</w:t>
            </w:r>
          </w:p>
        </w:tc>
        <w:tc>
          <w:tcPr>
            <w:tcW w:w="178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860" w:type="dxa"/>
            <w:vAlign w:val="bottom"/>
            <w:vMerge w:val="restart"/>
          </w:tcPr>
          <w:p>
            <w:pPr>
              <w:ind w:left="160"/>
              <w:spacing w:after="0"/>
              <w:rPr>
                <w:sz w:val="20"/>
                <w:szCs w:val="20"/>
                <w:color w:val="auto"/>
              </w:rPr>
            </w:pPr>
            <w:r>
              <w:rPr>
                <w:rFonts w:ascii="Arial" w:cs="Arial" w:eastAsia="Arial" w:hAnsi="Arial"/>
                <w:sz w:val="20"/>
                <w:szCs w:val="20"/>
                <w:color w:val="0000FF"/>
                <w:w w:val="94"/>
              </w:rPr>
              <w:t>107,220</w:t>
            </w:r>
          </w:p>
        </w:tc>
        <w:tc>
          <w:tcPr>
            <w:tcW w:w="1000" w:type="dxa"/>
            <w:vAlign w:val="bottom"/>
            <w:vMerge w:val="restart"/>
          </w:tcPr>
          <w:p>
            <w:pPr>
              <w:jc w:val="right"/>
              <w:ind w:right="244"/>
              <w:spacing w:after="0"/>
              <w:rPr>
                <w:sz w:val="20"/>
                <w:szCs w:val="20"/>
                <w:color w:val="auto"/>
              </w:rPr>
            </w:pPr>
            <w:r>
              <w:rPr>
                <w:rFonts w:ascii="Arial" w:cs="Arial" w:eastAsia="Arial" w:hAnsi="Arial"/>
                <w:sz w:val="20"/>
                <w:szCs w:val="20"/>
                <w:color w:val="0000FF"/>
              </w:rPr>
              <w:t>6.99</w:t>
            </w:r>
          </w:p>
        </w:tc>
        <w:tc>
          <w:tcPr>
            <w:tcW w:w="920" w:type="dxa"/>
            <w:vAlign w:val="bottom"/>
            <w:vMerge w:val="restart"/>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Arial" w:cs="Arial" w:eastAsia="Arial" w:hAnsi="Arial"/>
                <w:sz w:val="20"/>
                <w:szCs w:val="20"/>
                <w:color w:val="0000FF"/>
                <w:w w:val="91"/>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20" w:firstLine="5"/>
        <w:spacing w:after="0" w:line="288"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Class A Common LLC Units of Rani Therapeutics, LLC, a direct subsidiary of the Issuer. The Class A Common LLC Units are exchangeable for shares of Class A Common Stock on a one-for-one basis at the discretion of the holder, subject to certain exceptions, conditions and adjustments, and have no expiration date.</w:t>
      </w:r>
    </w:p>
    <w:p>
      <w:pPr>
        <w:spacing w:after="0" w:line="3" w:lineRule="exact"/>
        <w:rPr>
          <w:rFonts w:ascii="Arial" w:cs="Arial" w:eastAsia="Arial" w:hAnsi="Arial"/>
          <w:sz w:val="14"/>
          <w:szCs w:val="14"/>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option vest as follows: 1/36th of the shares subject to the option vest monthly over three years from June 17, 2021.</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5"/>
              </w:rPr>
              <w:t>/s/ Josh Seidenfeld,</w:t>
            </w:r>
          </w:p>
        </w:tc>
        <w:tc>
          <w:tcPr>
            <w:tcW w:w="6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07/29/2021</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91"/>
              </w:rPr>
              <w:t>Dennis A. Ausiello</w:t>
            </w:r>
          </w:p>
        </w:tc>
        <w:tc>
          <w:tcPr>
            <w:tcW w:w="8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238" w:lineRule="auto"/>
        <w:rPr>
          <w:sz w:val="20"/>
          <w:szCs w:val="20"/>
          <w:color w:val="auto"/>
        </w:rPr>
      </w:pPr>
      <w:r>
        <w:rPr>
          <w:rFonts w:ascii="Courier New" w:cs="Courier New" w:eastAsia="Courier New" w:hAnsi="Courier New"/>
          <w:sz w:val="20"/>
          <w:szCs w:val="20"/>
          <w:color w:val="auto"/>
        </w:rPr>
        <w:t>SECTION 16 REPORTING OBLIGATIONS</w:t>
      </w:r>
    </w:p>
    <w:p>
      <w:pPr>
        <w:spacing w:after="0" w:line="200" w:lineRule="exact"/>
        <w:rPr>
          <w:sz w:val="20"/>
          <w:szCs w:val="20"/>
          <w:color w:val="auto"/>
        </w:rPr>
      </w:pPr>
    </w:p>
    <w:p>
      <w:pPr>
        <w:spacing w:after="0" w:line="255" w:lineRule="exact"/>
        <w:rPr>
          <w:sz w:val="20"/>
          <w:szCs w:val="20"/>
          <w:color w:val="auto"/>
        </w:rPr>
      </w:pPr>
    </w:p>
    <w:p>
      <w:pPr>
        <w:ind w:right="94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Talat Imran and Svai Sanford of Rani Therapeutics Holdings, Inc. and Josh Seidenfeld and Nguyen X. Nguyen of Cooley LLP, or any of them signing singly, with full power of substitution, the undersigned's true and lawful attorney in fact to:</w:t>
      </w:r>
    </w:p>
    <w:p>
      <w:pPr>
        <w:spacing w:after="0" w:line="232" w:lineRule="exact"/>
        <w:rPr>
          <w:sz w:val="20"/>
          <w:szCs w:val="20"/>
          <w:color w:val="auto"/>
        </w:rPr>
      </w:pPr>
    </w:p>
    <w:p>
      <w:pPr>
        <w:ind w:right="460"/>
        <w:spacing w:after="0" w:line="264" w:lineRule="auto"/>
        <w:tabs>
          <w:tab w:leader="none" w:pos="93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Rani Therapeutics Holdings, Inc. (the "Company"), Forms</w:t>
      </w:r>
    </w:p>
    <w:p>
      <w:pPr>
        <w:spacing w:after="0" w:line="2" w:lineRule="exact"/>
        <w:rPr>
          <w:rFonts w:ascii="Courier New" w:cs="Courier New" w:eastAsia="Courier New" w:hAnsi="Courier New"/>
          <w:sz w:val="18"/>
          <w:szCs w:val="18"/>
          <w:color w:val="auto"/>
        </w:rPr>
      </w:pPr>
    </w:p>
    <w:p>
      <w:pPr>
        <w:ind w:right="94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and 5 (including any amendments thereto) in accordance with Section 16(a) of the Securities Exchange Act of 1934, as amended (the "Exchange Act") and the rules thereunder and a Form ID, Uniform Application for Access Codes to File 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EDGAR;</w:t>
      </w:r>
    </w:p>
    <w:p>
      <w:pPr>
        <w:spacing w:after="0" w:line="230" w:lineRule="exact"/>
        <w:rPr>
          <w:rFonts w:ascii="Courier New" w:cs="Courier New" w:eastAsia="Courier New" w:hAnsi="Courier New"/>
          <w:sz w:val="18"/>
          <w:szCs w:val="18"/>
          <w:color w:val="auto"/>
        </w:rPr>
      </w:pPr>
    </w:p>
    <w:p>
      <w:pPr>
        <w:ind w:right="70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231" w:lineRule="exact"/>
        <w:rPr>
          <w:rFonts w:ascii="Courier New" w:cs="Courier New" w:eastAsia="Courier New" w:hAnsi="Courier New"/>
          <w:sz w:val="20"/>
          <w:szCs w:val="20"/>
          <w:color w:val="auto"/>
        </w:rPr>
      </w:pPr>
    </w:p>
    <w:p>
      <w:pPr>
        <w:ind w:right="820"/>
        <w:spacing w:after="0" w:line="237"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580" w:firstLine="937"/>
        <w:spacing w:after="0" w:line="26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w:t>
      </w:r>
    </w:p>
    <w:p>
      <w:pPr>
        <w:spacing w:after="0" w:line="209" w:lineRule="exact"/>
        <w:rPr>
          <w:sz w:val="20"/>
          <w:szCs w:val="20"/>
          <w:color w:val="auto"/>
        </w:rPr>
      </w:pPr>
    </w:p>
    <w:p>
      <w:pPr>
        <w:ind w:right="820"/>
        <w:spacing w:after="0" w:line="236" w:lineRule="auto"/>
        <w:rPr>
          <w:sz w:val="20"/>
          <w:szCs w:val="20"/>
          <w:color w:val="auto"/>
        </w:rPr>
      </w:pPr>
      <w:r>
        <w:rPr>
          <w:rFonts w:ascii="Courier New" w:cs="Courier New" w:eastAsia="Courier New" w:hAnsi="Courier New"/>
          <w:sz w:val="20"/>
          <w:szCs w:val="20"/>
          <w:color w:val="auto"/>
        </w:rPr>
        <w:t>nor is the Company assuming, any of the undersigned's responsibilities to comply with Section 16 of the Exchange Act.</w:t>
      </w:r>
    </w:p>
    <w:p>
      <w:pPr>
        <w:spacing w:after="0" w:line="230" w:lineRule="exact"/>
        <w:rPr>
          <w:sz w:val="20"/>
          <w:szCs w:val="20"/>
          <w:color w:val="auto"/>
        </w:rPr>
      </w:pPr>
    </w:p>
    <w:p>
      <w:pPr>
        <w:ind w:firstLine="937"/>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2"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32" w:lineRule="exact"/>
        <w:rPr>
          <w:sz w:val="20"/>
          <w:szCs w:val="20"/>
          <w:color w:val="auto"/>
        </w:rPr>
      </w:pPr>
    </w:p>
    <w:p>
      <w:pPr>
        <w:ind w:right="460" w:firstLine="937"/>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June,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Dennis A. Ausiello</w:t>
      </w:r>
    </w:p>
    <w:p>
      <w:pPr>
        <w:spacing w:after="0" w:line="238" w:lineRule="auto"/>
        <w:rPr>
          <w:sz w:val="20"/>
          <w:szCs w:val="20"/>
          <w:color w:val="auto"/>
        </w:rPr>
      </w:pPr>
      <w:r>
        <w:rPr>
          <w:rFonts w:ascii="Courier New" w:cs="Courier New" w:eastAsia="Courier New" w:hAnsi="Courier New"/>
          <w:sz w:val="20"/>
          <w:szCs w:val="20"/>
          <w:color w:val="auto"/>
        </w:rPr>
        <w:t>Dennis A. Ausiello</w:t>
      </w:r>
    </w:p>
    <w:sectPr>
      <w:pgSz w:w="11900" w:h="16838" w:orient="portrait"/>
      <w:cols w:equalWidth="0" w:num="1">
        <w:col w:w="10180"/>
      </w:cols>
      <w:pgMar w:left="480" w:top="13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81994" TargetMode="External"/><Relationship Id="rId11"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2021-07-29T20:45:32Z</dcterms:created>
  <dcterms:modified xsi:type="dcterms:W3CDTF">2021-07-29T20:45:32Z</dcterms:modified>
</cp:coreProperties>
</file>