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86-3114789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2051 Ringwood Avenue</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95131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color w:val="auto"/>
        </w:rPr>
        <w:t>On May 26, 2026, Rani Therapeutics Holdings, Inc. (“Rani”) entered into a securities purchase agreement (the “Purchase Agreement”) with certain institutional investors (the “Purchasers”), relating to the issuance and sale (the “Offering”), of 12,476,637 shares of our Class A common stock, par value $0.0001 per share (“Class A common stock”), and pre-funded warrants to purchase 6,214,953 shares of Class A common stock. The pre-funded warrants are exercisable immediately upon issuance, have an exercise price of $0.0001 per share and may be exercised at any time until exercised in full. The Offering price is $1.07 per share of Class A common stock, and $1.0699 per pre-funded warrant. The aggregate gross proceeds to Rani from the Offering are expected to be approximately $20.0 million, before deducting placement agents’ fees and other estimated Offering expenses payable by Rani. The closing of the Offering is expected to occur on or about May 27, 2026, subject to the satisfaction of customary closing conditions.</w:t>
      </w:r>
    </w:p>
    <w:p>
      <w:pPr>
        <w:spacing w:after="0" w:line="17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Rani, customary conditions to closing, and indemnification obligations of Rani and the Purchasers. The representations, warranties and covenants contained in the Purchase Agreement were made only for purposes of the Purchase Agreement and as of a specific date, were solely for the benefit of the parties to the Purchase Agreement and may be subject to limitations agreed upon by the parties.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of the Purchase Agreement, until 90 days following the date of the Purchase Agreement, Rani has agreed, subject to certain exceptions, not to issue, enter into any agreement to issue, or announce the issuance or proposed issuance of any shares of Class A common stock or common stock equivalents, or file or amend any registration statement or prospectus, other than as necessary to maintain the registration of the securities issued in the Offering. Rani has further agreed not to enter into an agreement involving any new variable rate transactions until nine months following the closing of the Offering, subject to certain exceptions. In addition, Rani’s directors, officers and certain stockholders have entered into lock-up agreements with Rani pursuant to which each of them has agreed not to, for a period of 60 days following the date of the Purchase Agreement, offer, sell, transfer or otherwise dispose of Rani’s securities, subject to certain exceptions.</w:t>
      </w:r>
    </w:p>
    <w:p>
      <w:pPr>
        <w:spacing w:after="0" w:line="18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Rani engaged H.C. Wainwright &amp; Co., LLC to act as the lead placement agent and Chardan Capital Markets LLC as placement agent for the Offering and entered into engagement agreements dated May 10, 2026, as amended on May 25, 2026, and May 25, 2026, respectively, pursuant to which Rani has agreed (i) to pay the placement agents a cash fee equal to 6.0% of the aggregate gross proceeds generated from the Offering and (ii) to reimburse the placement agents for certain expenses incurred by the placement agents in connection with the Offering.</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Offering is being made pursuant to Rani’s registration statement on Form S-3 (No. 333-289424), as previously declared effective by the Securities and Exchange Commission on August 14, 2025, and a related base prospectus and prospectus supplement.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 copy of the form of pre-funded warrant is filed as Exhibit 4.1 hereto and the form of Purchase Agreement is filed as Exhibit 10.1 hereto. The foregoing descriptions of the terms of the Purchase Agreement and the pre-funded warrant are qualified in their entirety by reference to such exhibits. A copy of the opinion of Cooley LLP relating to the legality of the issuance and sale of the securities in the Offering is attached as Exhibit 5.1 hereto.</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101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20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Opinion of Cooley LLP</w:t>
            </w:r>
          </w:p>
        </w:tc>
        <w:tc>
          <w:tcPr>
            <w:tcW w:w="80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Form of Securities Purchase Agreement, dated May 26, 2026</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44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Consent of Cooley LLP (contained in Exhibit 5.1)</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Svai Sanford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PRE-FUNDED COMMON STOCK PURCHASE WARRANT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Original Issue Date: May 27, 2026</w:t>
      </w:r>
    </w:p>
    <w:p>
      <w:pPr>
        <w:spacing w:after="0" w:line="200" w:lineRule="exact"/>
        <w:rPr>
          <w:sz w:val="20"/>
          <w:szCs w:val="20"/>
          <w:color w:val="auto"/>
        </w:rPr>
      </w:pPr>
    </w:p>
    <w:p>
      <w:pPr>
        <w:sectPr>
          <w:pgSz w:w="11900" w:h="16838" w:orient="portrait"/>
          <w:cols w:equalWidth="0" w:num="2">
            <w:col w:w="5740" w:space="720"/>
            <w:col w:w="4560"/>
          </w:cols>
          <w:pgMar w:left="440" w:top="117" w:right="4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w:t>
      </w:r>
    </w:p>
    <w:p>
      <w:pPr>
        <w:spacing w:after="0" w:line="2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Original Issue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Class A Common Stock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May 26, 2026, among the Company and the purchasers signatory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2" w:lineRule="auto"/>
        <w:tabs>
          <w:tab w:leader="none" w:pos="10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5" w:name="page6"/>
    <w:bookmarkEnd w:id="5"/>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2" w:lineRule="exact"/>
        <w:rPr>
          <w:sz w:val="20"/>
          <w:szCs w:val="20"/>
          <w:color w:val="auto"/>
        </w:rPr>
      </w:pPr>
    </w:p>
    <w:p>
      <w:pPr>
        <w:ind w:right="40" w:firstLine="423"/>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Closing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220" w:firstLine="419"/>
        <w:spacing w:after="0" w:line="282" w:lineRule="auto"/>
        <w:tabs>
          <w:tab w:leader="none" w:pos="6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88" w:lineRule="exact"/>
        <w:rPr>
          <w:rFonts w:ascii="Times New Roman" w:cs="Times New Roman" w:eastAsia="Times New Roman" w:hAnsi="Times New Roman"/>
          <w:sz w:val="18"/>
          <w:szCs w:val="18"/>
          <w:color w:val="auto"/>
        </w:rPr>
      </w:pPr>
    </w:p>
    <w:p>
      <w:pPr>
        <w:ind w:left="1060" w:right="380" w:hanging="613"/>
        <w:spacing w:after="0" w:line="261" w:lineRule="auto"/>
        <w:tabs>
          <w:tab w:leader="none" w:pos="85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(as defined below) on the Trading Day immediately preceding the date of the applicable Notice of Exercise if such Notice of Exercise is (1) delivered pursuant to Section 2(a) hereof on a day that is not a Trading Day or</w:t>
      </w:r>
    </w:p>
    <w:p>
      <w:pPr>
        <w:ind w:left="1060" w:right="20" w:hanging="6"/>
        <w:spacing w:after="0" w:line="251" w:lineRule="auto"/>
        <w:tabs>
          <w:tab w:leader="none" w:pos="131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(“Bloomberg”) as of the time of the Holder’s execution of the applicable Notice of Exercise if such Notice of Exercise is delivered within two (2) hours thereafter (including until two (2) hours after the close of “regular trading hours” on a Trading Day) or (iii) the VWAP on the date of the applicable Notice of Exercise if the date of such Notice of Exercise is a Trading Day and such Notice of Exercise is delivered pursuant to Section 2(a) hereof following the close of “regular trading hours” on such Trading Day;</w:t>
      </w:r>
    </w:p>
    <w:p>
      <w:pPr>
        <w:spacing w:after="0" w:line="85" w:lineRule="exact"/>
        <w:rPr>
          <w:rFonts w:ascii="Times New Roman" w:cs="Times New Roman" w:eastAsia="Times New Roman" w:hAnsi="Times New Roman"/>
          <w:sz w:val="18"/>
          <w:szCs w:val="18"/>
          <w:color w:val="auto"/>
        </w:rPr>
      </w:pPr>
    </w:p>
    <w:p>
      <w:pPr>
        <w:ind w:left="860" w:hanging="413"/>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117" w:lineRule="exact"/>
        <w:rPr>
          <w:sz w:val="20"/>
          <w:szCs w:val="20"/>
          <w:color w:val="auto"/>
        </w:rPr>
      </w:pPr>
    </w:p>
    <w:p>
      <w:pPr>
        <w:ind w:left="1060" w:right="160" w:hanging="613"/>
        <w:spacing w:after="0" w:line="282" w:lineRule="auto"/>
        <w:tabs>
          <w:tab w:leader="none" w:pos="8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66" w:right="459" w:bottom="1440" w:gutter="0" w:footer="0" w:header="0"/>
        </w:sectPr>
      </w:pPr>
    </w:p>
    <w:bookmarkStart w:id="6" w:name="page7"/>
    <w:bookmarkEnd w:id="6"/>
    <w:p>
      <w:pPr>
        <w:ind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(each as defined below)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Pre-Funded Warrants then outstanding and reasonably acceptable to the Company, the fees and expenses of which shall be paid by the Company.</w:t>
      </w:r>
    </w:p>
    <w:p>
      <w:pPr>
        <w:spacing w:after="0" w:line="86"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Pre-Funded Warrants then outstanding and reasonably acceptable to the Company, the fees and expenses of which shall be paid by the Company.</w:t>
      </w:r>
    </w:p>
    <w:p>
      <w:pPr>
        <w:spacing w:after="0" w:line="86" w:lineRule="exact"/>
        <w:rPr>
          <w:sz w:val="20"/>
          <w:szCs w:val="20"/>
          <w:color w:val="auto"/>
        </w:rPr>
      </w:pPr>
    </w:p>
    <w:p>
      <w:pPr>
        <w:ind w:left="620" w:hanging="201"/>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p>
    <w:p>
      <w:pPr>
        <w:spacing w:after="0" w:line="117" w:lineRule="exact"/>
        <w:rPr>
          <w:rFonts w:ascii="Times New Roman" w:cs="Times New Roman" w:eastAsia="Times New Roman" w:hAnsi="Times New Roman"/>
          <w:sz w:val="18"/>
          <w:szCs w:val="18"/>
          <w:color w:val="auto"/>
        </w:rPr>
      </w:pPr>
    </w:p>
    <w:p>
      <w:pPr>
        <w:ind w:left="1520" w:hanging="149"/>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jc w:val="both"/>
        <w:ind w:left="98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7" w:name="page8"/>
    <w:bookmarkEnd w:id="7"/>
    <w:p>
      <w:pPr>
        <w:ind w:left="4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w:t>
      </w:r>
    </w:p>
    <w:p>
      <w:pPr>
        <w:spacing w:after="0" w:line="3" w:lineRule="exact"/>
        <w:rPr>
          <w:sz w:val="20"/>
          <w:szCs w:val="20"/>
          <w:color w:val="auto"/>
        </w:rPr>
      </w:pPr>
    </w:p>
    <w:p>
      <w:pPr>
        <w:ind w:left="420" w:firstLine="8"/>
        <w:spacing w:after="0" w:line="244"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96" w:lineRule="exact"/>
        <w:rPr>
          <w:rFonts w:ascii="Times New Roman" w:cs="Times New Roman" w:eastAsia="Times New Roman" w:hAnsi="Times New Roman"/>
          <w:sz w:val="18"/>
          <w:szCs w:val="18"/>
          <w:color w:val="auto"/>
        </w:rPr>
      </w:pPr>
    </w:p>
    <w:p>
      <w:pPr>
        <w:ind w:left="420" w:firstLine="391"/>
        <w:spacing w:after="0" w:line="261" w:lineRule="auto"/>
        <w:tabs>
          <w:tab w:leader="none" w:pos="99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40" w:top="270" w:right="459" w:bottom="1440" w:gutter="0" w:footer="0" w:header="0"/>
        </w:sectPr>
      </w:pPr>
    </w:p>
    <w:bookmarkStart w:id="8" w:name="page9"/>
    <w:bookmarkEnd w:id="8"/>
    <w:p>
      <w:pPr>
        <w:ind w:left="420" w:firstLine="391"/>
        <w:spacing w:after="0" w:line="282" w:lineRule="auto"/>
        <w:tabs>
          <w:tab w:leader="none" w:pos="10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40" w:firstLine="391"/>
        <w:spacing w:after="0" w:line="252" w:lineRule="auto"/>
        <w:tabs>
          <w:tab w:leader="none" w:pos="10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9" w:name="page10"/>
    <w:bookmarkEnd w:id="9"/>
    <w:p>
      <w:pPr>
        <w:ind w:left="440" w:firstLine="3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440" w:right="20" w:firstLine="391"/>
        <w:spacing w:after="0" w:line="254" w:lineRule="auto"/>
        <w:tabs>
          <w:tab w:leader="none" w:pos="105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440" w:right="200" w:firstLine="391"/>
        <w:spacing w:after="0" w:line="282" w:lineRule="auto"/>
        <w:tabs>
          <w:tab w:leader="none" w:pos="110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right="40" w:firstLine="408"/>
        <w:spacing w:after="0" w:line="267" w:lineRule="auto"/>
        <w:tabs>
          <w:tab w:leader="none" w:pos="58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Parties. Except as set forth in the preceding sentence, for purposes of this Section 2(e), beneficial</w:t>
      </w:r>
    </w:p>
    <w:p>
      <w:pPr>
        <w:spacing w:after="0" w:line="1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20"/>
          </w:cols>
          <w:pgMar w:left="1420" w:top="270" w:right="459" w:bottom="1440" w:gutter="0" w:footer="0" w:header="0"/>
        </w:sectPr>
      </w:pPr>
    </w:p>
    <w:bookmarkStart w:id="10" w:name="page11"/>
    <w:bookmarkEnd w:id="10"/>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3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20"/>
          </w:cols>
          <w:pgMar w:left="1420" w:top="27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9" w:lineRule="auto"/>
        <w:tabs>
          <w:tab w:leader="none" w:pos="60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3" w:lineRule="exact"/>
        <w:rPr>
          <w:rFonts w:ascii="Times New Roman" w:cs="Times New Roman" w:eastAsia="Times New Roman" w:hAnsi="Times New Roman"/>
          <w:sz w:val="17"/>
          <w:szCs w:val="17"/>
          <w:color w:val="auto"/>
        </w:rPr>
      </w:pPr>
    </w:p>
    <w:p>
      <w:pPr>
        <w:ind w:right="20" w:firstLine="419"/>
        <w:spacing w:after="0" w:line="253" w:lineRule="auto"/>
        <w:tabs>
          <w:tab w:leader="none" w:pos="6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right="40" w:firstLine="419"/>
        <w:spacing w:after="0" w:line="253" w:lineRule="auto"/>
        <w:tabs>
          <w:tab w:leader="none" w:pos="6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1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right="60" w:firstLine="419"/>
        <w:spacing w:after="0" w:line="266" w:lineRule="auto"/>
        <w:tabs>
          <w:tab w:leader="none" w:pos="6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460" w:firstLine="391"/>
        <w:spacing w:after="0" w:line="289" w:lineRule="auto"/>
        <w:tabs>
          <w:tab w:leader="none" w:pos="1503"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980" w:firstLine="391"/>
        <w:spacing w:after="0" w:line="252" w:lineRule="auto"/>
        <w:tabs>
          <w:tab w:leader="none" w:pos="155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3" w:lineRule="exact"/>
        <w:rPr>
          <w:rFonts w:ascii="Times New Roman" w:cs="Times New Roman" w:eastAsia="Times New Roman" w:hAnsi="Times New Roman"/>
          <w:sz w:val="18"/>
          <w:szCs w:val="18"/>
          <w:color w:val="auto"/>
        </w:rPr>
      </w:pPr>
    </w:p>
    <w:p>
      <w:pPr>
        <w:ind w:right="20" w:firstLine="419"/>
        <w:spacing w:after="0" w:line="256" w:lineRule="auto"/>
        <w:tabs>
          <w:tab w:leader="none" w:pos="6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61" w:lineRule="auto"/>
        <w:tabs>
          <w:tab w:leader="none" w:pos="6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this Warrant.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16" w:name="page17"/>
    <w:bookmarkEnd w:id="16"/>
    <w:p>
      <w:pPr>
        <w:ind w:right="200" w:firstLine="419"/>
        <w:spacing w:after="0" w:line="258" w:lineRule="auto"/>
        <w:tabs>
          <w:tab w:leader="none" w:pos="6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420" w:firstLine="419"/>
        <w:spacing w:after="0" w:line="312" w:lineRule="auto"/>
        <w:tabs>
          <w:tab w:leader="none" w:pos="6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firstLine="401"/>
        <w:spacing w:after="0" w:line="253" w:lineRule="auto"/>
        <w:rPr>
          <w:sz w:val="20"/>
          <w:szCs w:val="20"/>
          <w:color w:val="auto"/>
        </w:rPr>
      </w:pPr>
      <w:r>
        <w:rPr>
          <w:rFonts w:ascii="Times New Roman" w:cs="Times New Roman" w:eastAsia="Times New Roman" w:hAnsi="Times New Roman"/>
          <w:sz w:val="18"/>
          <w:szCs w:val="18"/>
          <w:color w:val="auto"/>
        </w:rPr>
        <w:t>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540" w:right="40" w:firstLine="401"/>
        <w:spacing w:after="0" w:line="274"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w:t>
      </w:r>
    </w:p>
    <w:p>
      <w:pPr>
        <w:spacing w:after="0" w:line="1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70" w:right="439" w:bottom="1440" w:gutter="0" w:footer="0" w:header="0"/>
        </w:sectPr>
      </w:pPr>
    </w:p>
    <w:bookmarkStart w:id="17" w:name="page18"/>
    <w:bookmarkEnd w:id="17"/>
    <w:p>
      <w:pPr>
        <w:ind w:left="5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72" w:lineRule="exact"/>
        <w:rPr>
          <w:sz w:val="20"/>
          <w:szCs w:val="20"/>
          <w:color w:val="auto"/>
        </w:rPr>
      </w:pPr>
    </w:p>
    <w:p>
      <w:pPr>
        <w:jc w:val="both"/>
        <w:ind w:left="540" w:right="10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340" w:firstLine="419"/>
        <w:spacing w:after="0" w:line="282" w:lineRule="auto"/>
        <w:tabs>
          <w:tab w:leader="none" w:pos="6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5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firstLine="419"/>
        <w:spacing w:after="0" w:line="256" w:lineRule="auto"/>
        <w:tabs>
          <w:tab w:leader="none" w:pos="6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79"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8" w:name="page19"/>
    <w:bookmarkEnd w:id="18"/>
    <w:p>
      <w:pPr>
        <w:ind w:firstLine="419"/>
        <w:spacing w:after="0" w:line="261" w:lineRule="auto"/>
        <w:tabs>
          <w:tab w:leader="none" w:pos="5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9" w:name="page20"/>
    <w:bookmarkEnd w:id="1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0" w:name="page21"/>
    <w:bookmarkEnd w:id="2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RANI THERAPEUTICS HOLDINGS, INC.</w:t>
      </w:r>
    </w:p>
    <w:p>
      <w:pPr>
        <w:spacing w:after="0" w:line="117" w:lineRule="exact"/>
        <w:rPr>
          <w:sz w:val="20"/>
          <w:szCs w:val="20"/>
          <w:color w:val="auto"/>
        </w:rPr>
      </w:pPr>
    </w:p>
    <w:p>
      <w:pPr>
        <w:ind w:right="220" w:firstLine="987"/>
        <w:spacing w:after="0" w:line="282"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ind w:left="1420" w:right="40" w:firstLine="8"/>
        <w:spacing w:after="0" w:line="266" w:lineRule="auto"/>
        <w:tabs>
          <w:tab w:leader="none" w:pos="152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-7620</wp:posOffset>
            </wp:positionV>
            <wp:extent cx="21996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w w:val="74"/>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Investing Entity: ____________________________________________________________________________________________________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____________________________________________________________________________________________________________________</w:t>
      </w:r>
    </w:p>
    <w:p>
      <w:pPr>
        <w:sectPr>
          <w:pgSz w:w="11900" w:h="16838" w:orient="portrait"/>
          <w:cols w:equalWidth="0" w:num="1">
            <w:col w:w="10920"/>
          </w:cols>
          <w:pgMar w:left="440" w:top="266" w:right="539" w:bottom="1440" w:gutter="0" w:footer="0" w:header="0"/>
        </w:sectPr>
      </w:pPr>
    </w:p>
    <w:bookmarkStart w:id="21" w:name="page22"/>
    <w:bookmarkEnd w:id="21"/>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7" w:lineRule="exact"/>
        <w:rPr>
          <w:sz w:val="20"/>
          <w:szCs w:val="20"/>
          <w:color w:val="auto"/>
        </w:rPr>
      </w:pPr>
    </w:p>
    <w:p>
      <w:pPr>
        <w:ind w:right="899"/>
        <w:spacing w:after="0" w:line="517"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______________________________</w:t>
      </w:r>
    </w:p>
    <w:p>
      <w:pPr>
        <w:sectPr>
          <w:pgSz w:w="11900" w:h="16838" w:orient="portrait"/>
          <w:cols w:equalWidth="0" w:num="1">
            <w:col w:w="10019"/>
          </w:cols>
          <w:pgMar w:left="440" w:top="266" w:right="1440"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65860"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John T. McKenna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+1 650 843 5059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jtmckenna@cooley.com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26,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640"/>
        <w:spacing w:after="0" w:line="278" w:lineRule="auto"/>
        <w:rPr>
          <w:sz w:val="20"/>
          <w:szCs w:val="20"/>
          <w:color w:val="auto"/>
        </w:rPr>
      </w:pPr>
      <w:r>
        <w:rPr>
          <w:rFonts w:ascii="Times New Roman" w:cs="Times New Roman" w:eastAsia="Times New Roman" w:hAnsi="Times New Roman"/>
          <w:sz w:val="17"/>
          <w:szCs w:val="17"/>
          <w:color w:val="auto"/>
        </w:rPr>
        <w:t>We have acted as counsel to Rani Therapeutics Holdings,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offering by the Company of (i) 12,476,637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its Class A common stock, par value $0.0001 per share (the “</w:t>
      </w:r>
      <w:r>
        <w:rPr>
          <w:rFonts w:ascii="Times New Roman" w:cs="Times New Roman" w:eastAsia="Times New Roman" w:hAnsi="Times New Roman"/>
          <w:sz w:val="17"/>
          <w:szCs w:val="17"/>
          <w:b w:val="1"/>
          <w:bCs w:val="1"/>
          <w:i w:val="1"/>
          <w:iCs w:val="1"/>
          <w:color w:val="auto"/>
        </w:rPr>
        <w:t>Class A Common Stock</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4" w:right="160" w:hanging="4"/>
        <w:spacing w:after="0" w:line="253"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up to 6,214,953 shares of Class A Common Stock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pursuant to a Registration Statement on Form S-3 (Registration Statement No. 333-289424)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relating to the Shares, the Warrants and the Warrant Shares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(a) Registration Statement and the Prospectus, (b) the form of the Warrants to be filed as an exhibit to a Current Report on Form 8-K,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With regard to our opinion as to the Warrants and Warrant Shares, we have assumed (i) that a sufficient number of shares of Common Stock will be available for issuance under the Company’ s certificate of incorporation at the time the Warrant Shares are issued and (ii) that the consideration received by the Company upon exercise of the Warrants will at least equal to the par value of the Warrant Shares.</w:t>
      </w:r>
    </w:p>
    <w:p>
      <w:pPr>
        <w:spacing w:after="0" w:line="176" w:lineRule="exact"/>
        <w:rPr>
          <w:sz w:val="20"/>
          <w:szCs w:val="20"/>
          <w:color w:val="auto"/>
        </w:rPr>
      </w:pPr>
    </w:p>
    <w:p>
      <w:pPr>
        <w:ind w:left="4" w:right="38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and, as to the Warrants constituting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regard to our opinion concerning the Warrants constituting binding obligations of the Company:</w:t>
      </w:r>
    </w:p>
    <w:p>
      <w:pPr>
        <w:spacing w:after="0" w:line="225" w:lineRule="exact"/>
        <w:rPr>
          <w:sz w:val="20"/>
          <w:szCs w:val="20"/>
          <w:color w:val="auto"/>
        </w:rPr>
      </w:pPr>
    </w:p>
    <w:p>
      <w:pPr>
        <w:ind w:left="4" w:right="300" w:firstLine="436"/>
        <w:spacing w:after="0" w:line="289" w:lineRule="auto"/>
        <w:tabs>
          <w:tab w:leader="none" w:pos="65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24"/>
          </w:cols>
          <w:pgMar w:left="436" w:top="117" w:right="43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Rani Therapeutics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26,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left="4" w:right="20" w:firstLine="436"/>
        <w:spacing w:after="0" w:line="266" w:lineRule="auto"/>
        <w:tabs>
          <w:tab w:leader="none" w:pos="70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w:t>
      </w:r>
    </w:p>
    <w:p>
      <w:pPr>
        <w:spacing w:after="0" w:line="175" w:lineRule="exact"/>
        <w:rPr>
          <w:rFonts w:ascii="Times New Roman" w:cs="Times New Roman" w:eastAsia="Times New Roman" w:hAnsi="Times New Roman"/>
          <w:sz w:val="18"/>
          <w:szCs w:val="18"/>
          <w:color w:val="auto"/>
        </w:rPr>
      </w:pPr>
    </w:p>
    <w:p>
      <w:pPr>
        <w:ind w:left="4" w:firstLine="436"/>
        <w:spacing w:after="0" w:line="253" w:lineRule="auto"/>
        <w:tabs>
          <w:tab w:leader="none" w:pos="75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with respect to any provision of the Warrants that: (a) relates to the subject matter jurisdiction of any federal court of the United States of America or any federal appellate court to adjudicate any controversy related to the Warrants; (b) specifies provisions may be waived in writing, to the extent that an oral agreement or implied agreement by trade practice or course of conduct has been created that modifies such provision; (c) contains a waiver of an inconvenient forum; (d) provides for liquidated damages, default interest, late charges, monetary penalties, prepayment or make-whole payments or other economic remedies; (e) relates to advance waivers of claims, defenses, rights granted by law, or notice, opportunity for hearing, evidentiary requirements, statutes of limitations, trial by jury, service of process or procedural rights; (f) restricts non-written modifications and waivers; (g) provides for the payment of legal and other professional fees where such payment is contrary to law or public policy;</w:t>
      </w:r>
    </w:p>
    <w:p>
      <w:pPr>
        <w:spacing w:after="0" w:line="2" w:lineRule="exact"/>
        <w:rPr>
          <w:rFonts w:ascii="Times New Roman" w:cs="Times New Roman" w:eastAsia="Times New Roman" w:hAnsi="Times New Roman"/>
          <w:sz w:val="18"/>
          <w:szCs w:val="18"/>
          <w:color w:val="auto"/>
        </w:rPr>
      </w:pPr>
    </w:p>
    <w:p>
      <w:pPr>
        <w:ind w:left="4" w:right="320" w:hanging="4"/>
        <w:spacing w:after="0" w:line="260"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exclusivity, election or accumulation of rights or remedies; or (i) provides that provisions of the Warrants are severable to the extent an essential part of the agreed exchange is determined to be invalid and unenforceable; and</w:t>
      </w:r>
    </w:p>
    <w:p>
      <w:pPr>
        <w:spacing w:after="0" w:line="181"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74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whether a state court outside of the State of New York or a federal court of the United States would give effect to the choice of New York law or jurisdiction provided for in the Warrants.</w:t>
      </w:r>
    </w:p>
    <w:p>
      <w:pPr>
        <w:spacing w:after="0" w:line="162"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On the basis of the foregoing, in reliance thereon and subject to the assumptions, exceptions, limitations, and qualifications set forth herein, we are of the opinion that (i) the Shares, when sold and issued against payment therefor as described in the Registration Statement and the Prospectus, will be validly issued, fully paid and nonassessable, (ii) the Warrants, when duly executed and delivered by the Company against payment therefor as provided in the Registration Statement and the Prospectus, will be binding obligations of the Company, and (iii) the Warrant Shares, when issued and paid for in accordance with the terms of the Warrants, will be validly issued, fully paid and nonassessable.</w:t>
      </w:r>
    </w:p>
    <w:p>
      <w:pPr>
        <w:spacing w:after="0" w:line="183"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84"/>
          </w:cols>
          <w:pgMar w:left="436" w:top="1080"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 “Legal Matters” in the Prospectus and to the filing of this opinion as an exhibit to a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T.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T. McKenna</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Cooley LLP   3175 Hanover Street   Palo Alto, CA   94304-1130</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0900"/>
          </w:cols>
          <w:pgMar w:left="440" w:top="1080" w:right="55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May 26, 2026, by and between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ind w:right="6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severally and not jointly, agree as follows: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have the meaning ascribed to such term in Section 2.1.</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shall have the meaning ascribed to such term in Section 3.1(mm).</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0" w:right="1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ectPr>
          <w:pgSz w:w="11900" w:h="16838" w:orient="portrait"/>
          <w:cols w:equalWidth="0" w:num="1">
            <w:col w:w="11020"/>
          </w:cols>
          <w:pgMar w:left="440" w:top="117" w:right="439" w:bottom="1440" w:gutter="0" w:footer="0" w:header="0"/>
        </w:sectPr>
      </w:pPr>
    </w:p>
    <w:bookmarkStart w:id="26" w:name="page27"/>
    <w:bookmarkEnd w:id="26"/>
    <w:p>
      <w:pPr>
        <w:ind w:firstLine="423"/>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(1st) Trading Day following the date hereof (or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3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$0.0001 per share, and any other class of securities into which such securities may hereafter be reclassified or changed.</w:t>
      </w:r>
    </w:p>
    <w:p>
      <w:pPr>
        <w:spacing w:after="0" w:line="54"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Cooley LLP, with offices located at 3175 Hanover Street Palo Alto, CA 94304-1130.</w:t>
      </w:r>
    </w:p>
    <w:p>
      <w:pPr>
        <w:spacing w:after="0" w:line="117" w:lineRule="exact"/>
        <w:rPr>
          <w:sz w:val="20"/>
          <w:szCs w:val="20"/>
          <w:color w:val="auto"/>
        </w:rPr>
      </w:pPr>
    </w:p>
    <w:p>
      <w:pPr>
        <w:ind w:right="8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Agents, and (ii) if this Agreement is signed between midnight (New York City time) and 9:00 a.m. (New York City time) on any Trading Day, no later than 9:01 a.m. (New York City time) on the date hereof, unless otherwise instructed as to an earlier time by the Placement Agents.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10105-0302.</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ascribed to such term in Section 3.1(m).</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or restricted stock units to employees, officers or directors of the Company pursuant to any equity incentive plan or employee stock purchase plan duly adopted for such purpose, by a majority of the non-employee members of the Board of Directors or a majority of the</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40"/>
          </w:cols>
          <w:pgMar w:left="880" w:top="270" w:right="479" w:bottom="1440" w:gutter="0" w:footer="0" w:header="0"/>
        </w:sectPr>
      </w:pPr>
    </w:p>
    <w:bookmarkStart w:id="27" w:name="page28"/>
    <w:bookmarkEnd w:id="2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members of a committee of non-employee directors established for such purpose for services rendered to the Company, (b) shares of Common Stock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4.10(a)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(unless such entity is a subsidiary or affiliate of an operating company or an owner of an asset in a business synergistic with the business of the Company).</w:t>
      </w:r>
    </w:p>
    <w:p>
      <w:pPr>
        <w:spacing w:after="0" w:line="7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3.1(mm).</w:t>
      </w:r>
    </w:p>
    <w:p>
      <w:pPr>
        <w:spacing w:after="0" w:line="117" w:lineRule="exact"/>
        <w:rPr>
          <w:sz w:val="20"/>
          <w:szCs w:val="20"/>
          <w:color w:val="auto"/>
        </w:rPr>
      </w:pPr>
    </w:p>
    <w:p>
      <w:pPr>
        <w:ind w:left="4" w:right="20" w:firstLine="423"/>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Representations</w:t>
      </w:r>
      <w:r>
        <w:rPr>
          <w:rFonts w:ascii="Times New Roman" w:cs="Times New Roman" w:eastAsia="Times New Roman" w:hAnsi="Times New Roman"/>
          <w:sz w:val="17"/>
          <w:szCs w:val="17"/>
          <w:color w:val="auto"/>
        </w:rPr>
        <w:t>” means the following representations and warranties made by the Company in Sections 3.1: (b) Organization and Qualification; (c) Authorization; Enforcement; (d) No Conflicts; (e) Filings, Consents and Approvals; (f) Issuance of the Securities; Registration; (g) Capitalization; (h) SEC Reports; Financial Statements; (s) Sarbanes-Oxley; Internal Accounting Controls; (t) Certain Fees;</w:t>
      </w:r>
    </w:p>
    <w:p>
      <w:pPr>
        <w:spacing w:after="0" w:line="2" w:lineRule="exact"/>
        <w:rPr>
          <w:sz w:val="20"/>
          <w:szCs w:val="20"/>
          <w:color w:val="auto"/>
        </w:rPr>
      </w:pPr>
    </w:p>
    <w:p>
      <w:pPr>
        <w:ind w:left="4" w:right="180" w:hanging="4"/>
        <w:spacing w:after="0" w:line="260"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(x) Listing and Maintenance Requirements; (z) No Integrated Offering; (ee) Acknowledgment Regarding Purchasers’ Purchase of Securities; and (gg) Regulation M Compliance.</w:t>
      </w:r>
    </w:p>
    <w:p>
      <w:pPr>
        <w:spacing w:after="0" w:line="7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ascribed to such term in Section 3.1(m).</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15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4"/>
          </w:cols>
          <w:pgMar w:left="876" w:top="270" w:right="47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shall have the meaning ascribed to such term in Section 3.1(jj).</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117" w:lineRule="exact"/>
        <w:rPr>
          <w:sz w:val="20"/>
          <w:szCs w:val="20"/>
          <w:color w:val="auto"/>
        </w:rPr>
      </w:pPr>
    </w:p>
    <w:p>
      <w:pPr>
        <w:ind w:right="1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officers, and affiliated 10% stockholders of the Company,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shall have the meaning ascribed to such term in Section 3.1(nn).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$1.07,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$0.0001.</w:t>
      </w:r>
    </w:p>
    <w:p>
      <w:pPr>
        <w:spacing w:after="0" w:line="68"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means H.C. Wainwright &amp; Co., LLC and Chardan Capital Markets LLC.</w:t>
      </w:r>
    </w:p>
    <w:p>
      <w:pPr>
        <w:spacing w:after="0" w:line="117" w:lineRule="exact"/>
        <w:rPr>
          <w:sz w:val="20"/>
          <w:szCs w:val="20"/>
          <w:color w:val="auto"/>
        </w:rPr>
      </w:pPr>
    </w:p>
    <w:p>
      <w:pPr>
        <w:ind w:right="2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the pre-funded purchase warrants to purchase Common Stock delivered to the Purchasers at the Closing in accordance with Section 2.2(a) hereof, which Pre-Funded Warrants shall be exercisable immediately upon issuance and shall expire when exercised in full,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117" w:lineRule="exact"/>
        <w:rPr>
          <w:sz w:val="20"/>
          <w:szCs w:val="20"/>
          <w:color w:val="auto"/>
        </w:rPr>
      </w:pPr>
    </w:p>
    <w:p>
      <w:pPr>
        <w:ind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29" w:name="page30"/>
    <w:bookmarkEnd w:id="2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117" w:lineRule="exact"/>
        <w:rPr>
          <w:sz w:val="20"/>
          <w:szCs w:val="20"/>
          <w:color w:val="auto"/>
        </w:rPr>
      </w:pPr>
    </w:p>
    <w:p>
      <w:pPr>
        <w:ind w:right="2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4.7.</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Qatari Business Day</w:t>
      </w:r>
      <w:r>
        <w:rPr>
          <w:rFonts w:ascii="Times New Roman" w:cs="Times New Roman" w:eastAsia="Times New Roman" w:hAnsi="Times New Roman"/>
          <w:sz w:val="18"/>
          <w:szCs w:val="18"/>
          <w:color w:val="auto"/>
        </w:rPr>
        <w:t>” shall have the meaning ascribed to such term in Section 5.4.</w:t>
      </w:r>
    </w:p>
    <w:p>
      <w:pPr>
        <w:spacing w:after="0" w:line="117"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333-289424 which registers the sale of the Shares, the Pre-Funded Warrants and the Pre-Funded Warrant Shares to the Purchasers.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117"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jc w:val="both"/>
        <w:ind w:right="5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territory that is the target of comprehensive Sanctions, including (i) as of the date of this Agreement, Cuba, Iran, North Korea, and the Crimea, Donetsk People’s Republic, and Luhansk People’s Republic regions of Ukraine and (ii) before July 1, 2025, Syria.</w:t>
      </w:r>
    </w:p>
    <w:p>
      <w:pPr>
        <w:spacing w:after="0" w:line="68"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(i) listed on any Sanctions-related list, including the list of Specially Designated Nationals and Blocked Persons, (ii) located, organized, or ordinarily resident in any Sanctioned Country, (iii) owned, directly or indirectly, individually or in the aggregate, 50% or more by, or controlled by (as the term “controlled” is defined in the relevant Sanctions), or acting on behalf of, any such Persons, or (iv) otherwise the target of Sanctions.</w:t>
      </w:r>
    </w:p>
    <w:p>
      <w:pPr>
        <w:spacing w:after="0" w:line="72"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economic, financial, or trade sanctions, embargoes, or other restrictive measures imposed, administered, or enforced from time to time by (i) the U.S. government, including OFAC, the U.S. Department of State, and the U.S. Department of Commerce, (ii) the United Nations Security Council, (iii) the European Union or any European Union member state, or (iv) the United Kingdom.</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and the Pre-Funded Warrants.</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880" w:top="270" w:right="49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 but excluding the Pre-Funded Warrant Shares.</w:t>
      </w:r>
    </w:p>
    <w:p>
      <w:pPr>
        <w:spacing w:after="0" w:line="54"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right="360" w:firstLine="423"/>
        <w:spacing w:after="0" w:line="282" w:lineRule="auto"/>
        <w:rPr>
          <w:sz w:val="20"/>
          <w:szCs w:val="20"/>
          <w:color w:val="auto"/>
        </w:rPr>
      </w:pPr>
      <w:r>
        <w:rPr>
          <w:rFonts w:ascii="Times New Roman" w:cs="Times New Roman" w:eastAsia="Times New Roman" w:hAnsi="Times New Roman"/>
          <w:sz w:val="18"/>
          <w:szCs w:val="18"/>
          <w:color w:val="auto"/>
        </w:rPr>
        <w:t>“Standard Settlement Period” means the standard settlement period, expressed in a number of Trading Days, on the Company’s primary Trading Market with respect to the Common Stock as in effect on the date of delivery of the Notice of Exercise.</w:t>
      </w:r>
    </w:p>
    <w:p>
      <w:pPr>
        <w:spacing w:after="0" w:line="54" w:lineRule="exact"/>
        <w:rPr>
          <w:sz w:val="20"/>
          <w:szCs w:val="20"/>
          <w:color w:val="auto"/>
        </w:rPr>
      </w:pPr>
    </w:p>
    <w:p>
      <w:pPr>
        <w:ind w:right="10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xml:space="preserve">” means, as to each Purchaser, the aggregate amount to be paid for Shares and Pre-Funded Warrants purchased hereunder as specified below such Purchaser’s name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spacing w:after="0" w:line="72" w:lineRule="exact"/>
        <w:rPr>
          <w:sz w:val="20"/>
          <w:szCs w:val="20"/>
          <w:color w:val="auto"/>
        </w:rPr>
      </w:pPr>
    </w:p>
    <w:p>
      <w:pPr>
        <w:jc w:val="both"/>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Exhibit 21.1 to the Company’s Annual Report on Form 10-K for the year ended December 31, 2025 and shall, where applicable, also include any direct or indirect subsidiary of the Company formed or acquired after the date hereof.</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68"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Pre-Funded Warrants, the Lock-Up Agreement, all exhibits and schedules thereto and hereto and any other documents or agreements executed in connection with the transactions contemplated hereunder.</w:t>
      </w:r>
    </w:p>
    <w:p>
      <w:pPr>
        <w:spacing w:after="0" w:line="54" w:lineRule="exact"/>
        <w:rPr>
          <w:sz w:val="20"/>
          <w:szCs w:val="20"/>
          <w:color w:val="auto"/>
        </w:rPr>
      </w:pPr>
    </w:p>
    <w:p>
      <w:pPr>
        <w:ind w:right="5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offices at 6201 15th Avenue, Brooklyn NY 11219, and any successor transfer agent of the Company.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4.10(b).</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each Purchaser, severally and not jointly, agree to purchase, the Securities subscribed for by each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be 4.99% (or, with respect to each Purchaser, at the election of such Purchaser at Closing, 9.99%) of the number of shares of Common Stock outstanding immediately after giving effect to the issuance of the Shares on the Closing Date. Each Purchaser’s Subscription Amount as set forth on the signature page hereto executed by such Purchaser shall be made available for “Delivery Versus Payment” (“DVP”) settlement with the Company or its designee. The Company shall deliver to each Purchaser its respective Shares and Pre-Funded Warrants, as applicable, as determined pursuant to Section 2.2(a), and the Company and each Purchaser shall deliver the other items set forth in Section 2.2 deliverable at the Closing. Upon satisfaction of the covenants and conditions set forth in Sections 2.2 and 2.3, the Closing shall occur at the offices of Company Counsel or such other location (including remotely by electronic transmission) or as the Company and the Placement Agent shall mutually agree.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 In the event that the Closing has not occurred within five (5) Business Days after the expected Closing Date, unless otherwise agreed by the Company and such Purchaser, the Company and/or the Placement Agents, as applicable, shall promptly (but no later than one (1) Business Day thereafter) return the previously wired Subscription Amount by wire transfer of United States dollars in immediately available funds to the account specified by such Purchaser; provided that, unless this Agreement has been terminated pursuant to Section 5.1, such return of funds shall not terminate this Agreement or relieve such Purchaser of its obligation to purchase or the Company of its obligation to issue and sell, the Securities at the Closing. Notwithstanding the foregoing, in the event that the Closing Date falls on a day that is a Business Day but is not a Qatari Business Day, the deadline for any Purchaser with residency in Qatar to deliver its Subscription Amount shall be extended to the next succeeding day that is both a Business Day and a Qatari Business Day.</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80" w:firstLine="419"/>
        <w:spacing w:after="0" w:line="282" w:lineRule="auto"/>
        <w:tabs>
          <w:tab w:leader="none" w:pos="11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specified below), the Company shall deliver or cause to be delivered to each Purchaser the following:</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980" w:right="620" w:firstLine="408"/>
        <w:spacing w:after="0" w:line="282" w:lineRule="auto"/>
        <w:tabs>
          <w:tab w:leader="none" w:pos="16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dated as of the Closing Date and directed to the Purchasers, in customary form and substance reasonably acceptable to the Purchasers,</w:t>
      </w:r>
    </w:p>
    <w:p>
      <w:pPr>
        <w:spacing w:after="0" w:line="53"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dated as of the Closing Date and directed to the Placement Agents, in customary form and substance reasonably acceptable to the Placement Agents;</w:t>
      </w:r>
    </w:p>
    <w:p>
      <w:pPr>
        <w:spacing w:after="0" w:line="53" w:lineRule="exact"/>
        <w:rPr>
          <w:rFonts w:ascii="Times New Roman" w:cs="Times New Roman" w:eastAsia="Times New Roman" w:hAnsi="Times New Roman"/>
          <w:sz w:val="18"/>
          <w:szCs w:val="18"/>
          <w:color w:val="auto"/>
        </w:rPr>
      </w:pPr>
    </w:p>
    <w:p>
      <w:pPr>
        <w:ind w:left="980" w:firstLine="408"/>
        <w:spacing w:after="0" w:line="261" w:lineRule="auto"/>
        <w:tabs>
          <w:tab w:leader="none" w:pos="168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(minus the number of shares of Common Stock issuable upon exercise of such Purchaser’s Pre-Funded Warrant, if applicable), registered in the name of such Purchaser;</w:t>
      </w:r>
    </w:p>
    <w:p>
      <w:pPr>
        <w:spacing w:after="0" w:line="71" w:lineRule="exact"/>
        <w:rPr>
          <w:rFonts w:ascii="Times New Roman" w:cs="Times New Roman" w:eastAsia="Times New Roman" w:hAnsi="Times New Roman"/>
          <w:sz w:val="18"/>
          <w:szCs w:val="18"/>
          <w:color w:val="auto"/>
        </w:rPr>
      </w:pPr>
    </w:p>
    <w:p>
      <w:pPr>
        <w:jc w:val="both"/>
        <w:ind w:left="980" w:right="560" w:firstLine="408"/>
        <w:spacing w:after="0" w:line="261" w:lineRule="auto"/>
        <w:tabs>
          <w:tab w:leader="none" w:pos="16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pursuant to Section 2.1, a Pre-Funded Warrant registered in the name of such Purchaser to purchase up to a number of Pre-Funded Warrant Shares equal to the portion of such Purchaser’s Subscription Amount applicable to the Pre-Funded Warrant divided by the Per Share Purchase Price minus $0.0001 per share of Common Stock, with an exercise price equal to $0.0001, subject to adjustment therein;</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and</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specified below), each Purchaser shall deliver or cause to be delivered to the Company the following:</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DVP settlement with the Company or its designee.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Delivery Closing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61" w:lineRule="auto"/>
        <w:tabs>
          <w:tab w:leader="none" w:pos="15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71"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each Purchaser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7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5" w:lineRule="auto"/>
        <w:tabs>
          <w:tab w:leader="none" w:pos="16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4" w:name="page35"/>
    <w:bookmarkEnd w:id="34"/>
    <w:p>
      <w:pPr>
        <w:jc w:val="both"/>
        <w:ind w:left="980" w:right="140" w:firstLine="408"/>
        <w:spacing w:after="0" w:line="266" w:lineRule="auto"/>
        <w:tabs>
          <w:tab w:leader="none" w:pos="16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giving effect to the issuance of Shares pursuant to this Agreement, on the Closing Date, no fewer than 112,389,152 shares of Common Stock of the Company will have been issued and outstanding, and all such issued and outstanding shares of Common Stock shall have been issued prior to or contemporaneously with the issuance of the Shares to the Purchasers.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(other than as to the Fundamental Representations, which are not so qualified), the Company hereby makes the following representations and warranties to each Purchaser:</w:t>
      </w:r>
    </w:p>
    <w:p>
      <w:pPr>
        <w:spacing w:after="0" w:line="54" w:lineRule="exact"/>
        <w:rPr>
          <w:sz w:val="20"/>
          <w:szCs w:val="20"/>
          <w:color w:val="auto"/>
        </w:rPr>
      </w:pPr>
    </w:p>
    <w:p>
      <w:pPr>
        <w:ind w:left="440" w:right="40" w:firstLine="419"/>
        <w:spacing w:after="0" w:line="266" w:lineRule="auto"/>
        <w:tabs>
          <w:tab w:leader="none" w:pos="11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67" w:lineRule="exact"/>
        <w:rPr>
          <w:rFonts w:ascii="Times New Roman" w:cs="Times New Roman" w:eastAsia="Times New Roman" w:hAnsi="Times New Roman"/>
          <w:sz w:val="18"/>
          <w:szCs w:val="18"/>
          <w:color w:val="auto"/>
        </w:rPr>
      </w:pPr>
    </w:p>
    <w:p>
      <w:pPr>
        <w:ind w:left="440" w:firstLine="419"/>
        <w:spacing w:after="0" w:line="252"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and each of the Subsidiaries has all necessary authorizations, approvals, orders, licenses, certificates and permits of and from all governmental regulatory officials and bodies that it needs as of the date hereof to conduct its business purpose in all material respects as described in the SEC Reports and to own or lease its properties.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35" w:name="page36"/>
    <w:bookmarkEnd w:id="35"/>
    <w:p>
      <w:pPr>
        <w:ind w:right="60" w:firstLine="419"/>
        <w:spacing w:after="0" w:line="253" w:lineRule="auto"/>
        <w:tabs>
          <w:tab w:leader="none" w:pos="6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of incorporation or,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any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any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81" w:lineRule="exact"/>
        <w:rPr>
          <w:rFonts w:ascii="Times New Roman" w:cs="Times New Roman" w:eastAsia="Times New Roman" w:hAnsi="Times New Roman"/>
          <w:sz w:val="18"/>
          <w:szCs w:val="18"/>
          <w:color w:val="auto"/>
        </w:rPr>
      </w:pPr>
    </w:p>
    <w:p>
      <w:pPr>
        <w:ind w:firstLine="419"/>
        <w:spacing w:after="0" w:line="256" w:lineRule="auto"/>
        <w:tabs>
          <w:tab w:leader="none" w:pos="6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the notice and/or application(s) to each applicable Trading Market for the listing of the Shares and Pre-Funded Warrant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36" w:name="page37"/>
    <w:bookmarkEnd w:id="36"/>
    <w:p>
      <w:pPr>
        <w:ind w:firstLine="419"/>
        <w:spacing w:after="0" w:line="252"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this Agreement, will be duly and validly issued, fully paid and nonassessable, free and clear of all Liens imposed by the Company other than restrictions on transfer provided for in the Transaction Documents. The Pre-Funded Warrant Shares, when issued in accordance with the terms of the Pre-Funded Warrants,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upon exercise of the Pre-Funded Warrants. The Company has prepared and filed the Registration Statement in conformity with the requirements of the Securities Act, which became effective on August 14, 2025,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pursuant to General Instruction I.B.1 of Form S-3.</w:t>
      </w:r>
    </w:p>
    <w:p>
      <w:pPr>
        <w:spacing w:after="0" w:line="81" w:lineRule="exact"/>
        <w:rPr>
          <w:rFonts w:ascii="Times New Roman" w:cs="Times New Roman" w:eastAsia="Times New Roman" w:hAnsi="Times New Roman"/>
          <w:sz w:val="18"/>
          <w:szCs w:val="18"/>
          <w:color w:val="auto"/>
        </w:rPr>
      </w:pPr>
    </w:p>
    <w:p>
      <w:pPr>
        <w:ind w:right="120" w:firstLine="419"/>
        <w:spacing w:after="0" w:line="254" w:lineRule="auto"/>
        <w:tabs>
          <w:tab w:leader="none" w:pos="6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As of the date hereof, the Company has 800,000,000 shares of Class A Common Stock authorized, 40,000,000 shares of Class B common stock authorized, 20,000,000 shares of Class C common stock authorized and 20,000,000 shares of preferred stock authorized. The Company has not issued any capital stock since its most recently filed periodic report under the Exchange Act, other than pursuant to the exercise of stock options or vesting and settlement of restricted stock units under the Company’s equity incentive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disclosed in the SEC Reports, there are no outstanding options, warrants, scrip rights to subscribe to, calls or commitments of any character whatsoever</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880" w:top="270" w:right="439" w:bottom="1440" w:gutter="0" w:footer="0" w:header="0"/>
        </w:sectPr>
      </w:pPr>
    </w:p>
    <w:bookmarkStart w:id="37" w:name="page38"/>
    <w:bookmarkEnd w:id="3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with any provision that adjusts the exercise, conversion, exchange or reset price of such security or instrument upon an issuance of securities by the Company. There are no outstanding securities or instruments of the Company that contain any redemption or similar provisions, and there are no contracts, commitments, understandings or arrangements by which the Company is or may become bound to redeem a security of the Company or any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Securities. There are no stockholders’ agreements, side letters, voting agreements or other similar agreements with respect to the Company’s capital stock to which the Company is a party or, to the knowledge of the Company, between or among any of the Company’s stockholders.</w:t>
      </w:r>
    </w:p>
    <w:p>
      <w:pPr>
        <w:spacing w:after="0" w:line="88" w:lineRule="exact"/>
        <w:rPr>
          <w:sz w:val="20"/>
          <w:szCs w:val="20"/>
          <w:color w:val="auto"/>
        </w:rPr>
      </w:pPr>
    </w:p>
    <w:p>
      <w:pPr>
        <w:ind w:firstLine="419"/>
        <w:spacing w:after="0" w:line="252"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38" w:name="page39"/>
    <w:bookmarkEnd w:id="38"/>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68" w:lineRule="exact"/>
        <w:rPr>
          <w:sz w:val="20"/>
          <w:szCs w:val="20"/>
          <w:color w:val="auto"/>
        </w:rPr>
      </w:pPr>
    </w:p>
    <w:p>
      <w:pPr>
        <w:ind w:firstLine="419"/>
        <w:spacing w:after="0" w:line="253" w:lineRule="auto"/>
        <w:tabs>
          <w:tab w:leader="none" w:pos="6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December 31, 2025,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or director, except pursuant to existing Company equity compensation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79" w:lineRule="exact"/>
        <w:rPr>
          <w:rFonts w:ascii="Times New Roman" w:cs="Times New Roman" w:eastAsia="Times New Roman" w:hAnsi="Times New Roman"/>
          <w:sz w:val="18"/>
          <w:szCs w:val="18"/>
          <w:color w:val="auto"/>
        </w:rPr>
      </w:pPr>
    </w:p>
    <w:p>
      <w:pPr>
        <w:ind w:right="20" w:firstLine="419"/>
        <w:spacing w:after="0" w:line="253" w:lineRule="auto"/>
        <w:tabs>
          <w:tab w:leader="none" w:pos="6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the Subsidiaries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if there were an unfavorable decision, would individually or in the aggregate, reasonably be expected to result in a Material Adverse Effect. None of the Actions adversely affects or challenges the legality, validity or enforceability of any of the Transaction Documents or the Securities or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(including the Registration Statement) filed by the Company or any Subsidiary under the Exchange Act or the Securities Act.</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39" w:name="page40"/>
    <w:bookmarkEnd w:id="39"/>
    <w:p>
      <w:pPr>
        <w:ind w:right="60" w:firstLine="419"/>
        <w:spacing w:after="0" w:line="253"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reasonably be expected to result in a Material Adverse Effect. None of the Company’s or any Subsidiary’s employees is a member of a union that relates to such employee’s relationship with the Company or any Subsidiary, and neither the Company nor any Subsidiary is a party to a collective bargaining agreement, and the Company believes that its relationships with the employees of the Company and its Subsidiaries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the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83" w:lineRule="exact"/>
        <w:rPr>
          <w:rFonts w:ascii="Times New Roman" w:cs="Times New Roman" w:eastAsia="Times New Roman" w:hAnsi="Times New Roman"/>
          <w:sz w:val="18"/>
          <w:szCs w:val="18"/>
          <w:color w:val="auto"/>
        </w:rPr>
      </w:pPr>
    </w:p>
    <w:p>
      <w:pPr>
        <w:ind w:right="140" w:firstLine="419"/>
        <w:spacing w:after="0" w:line="254" w:lineRule="auto"/>
        <w:tabs>
          <w:tab w:leader="none" w:pos="6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(i), (ii), and (iii) as would not have or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40" w:name="page41"/>
    <w:bookmarkEnd w:id="40"/>
    <w:p>
      <w:pPr>
        <w:ind w:firstLine="419"/>
        <w:spacing w:after="0" w:line="256"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Regulatory Permits</w:t>
      </w:r>
      <w:r>
        <w:rPr>
          <w:rFonts w:ascii="Times New Roman" w:cs="Times New Roman" w:eastAsia="Times New Roman" w:hAnsi="Times New Roman"/>
          <w:sz w:val="18"/>
          <w:szCs w:val="18"/>
          <w:color w:val="auto"/>
        </w:rPr>
        <w:t>. The Company and the Subsidiaries possess all certificates, authorizations, approvals, consents, registrations licenses, qualifications, certifications and permits issued by the appropriate federal, state, local or foreign regulatory authorities necessary to conduct their respective businesses as described in the SEC Reports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except where the failure to possess such permits would not reasonably be expected to result in a Material Adverse Effect, and neither the Company nor any Subsidiary has received any notice of proceedings relating to the revocation or modification of any Material Permit which, singly or in the aggregate, if the subject of an unfavorable decision, ruling or finding, would reasonably be expected to result in a Material Adverse Effect.</w:t>
      </w:r>
    </w:p>
    <w:p>
      <w:pPr>
        <w:spacing w:after="0" w:line="7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its Subsidiaries do not own any real estate. The Company and its Subsidiaries have good and</w:t>
      </w:r>
    </w:p>
    <w:p>
      <w:pPr>
        <w:spacing w:after="0" w:line="27"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81"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there is no existing infringement by another Person of any of the Intellectual Property Rights, and the Company is unaware of any facts which would form a reasonable basis for any such claim.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41" w:name="page42"/>
    <w:bookmarkEnd w:id="41"/>
    <w:p>
      <w:pPr>
        <w:ind w:right="80" w:firstLine="419"/>
        <w:spacing w:after="0" w:line="258"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75" w:lineRule="exact"/>
        <w:rPr>
          <w:rFonts w:ascii="Times New Roman" w:cs="Times New Roman" w:eastAsia="Times New Roman" w:hAnsi="Times New Roman"/>
          <w:sz w:val="18"/>
          <w:szCs w:val="18"/>
          <w:color w:val="auto"/>
        </w:rPr>
      </w:pPr>
    </w:p>
    <w:p>
      <w:pPr>
        <w:ind w:right="20" w:firstLine="419"/>
        <w:spacing w:after="0" w:line="254" w:lineRule="auto"/>
        <w:tabs>
          <w:tab w:leader="none" w:pos="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disclosed in the SEC Reports, none of the officers, directors or beneficial holders of 5% or more of any class of capital stock of the Company and, to the knowledge of the Company, none of the employees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incentive plan of the Company.</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the Subsidiaries that have materially affected, or is reasonably likely to materially affect, the internal control over financial reporting of the Company and the Subsidiaries.</w:t>
      </w:r>
    </w:p>
    <w:p>
      <w:pPr>
        <w:spacing w:after="0" w:line="75" w:lineRule="exact"/>
        <w:rPr>
          <w:sz w:val="20"/>
          <w:szCs w:val="20"/>
          <w:color w:val="auto"/>
        </w:rPr>
      </w:pPr>
    </w:p>
    <w:p>
      <w:pPr>
        <w:ind w:right="100" w:firstLine="419"/>
        <w:spacing w:after="0" w:line="258" w:lineRule="auto"/>
        <w:tabs>
          <w:tab w:leader="none" w:pos="6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Agents or as otherwise disclosed in SEC Reports,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Investment Company Act of 1940, as amended. The Company shall use its reasonable best efforts to conduct its business in a manner so that it will not become an “investment company” subject to registration under the Investment Company Act of 1940, as amended.</w:t>
      </w:r>
    </w:p>
    <w:p>
      <w:pPr>
        <w:spacing w:after="0" w:line="71" w:lineRule="exact"/>
        <w:rPr>
          <w:rFonts w:ascii="Times New Roman" w:cs="Times New Roman" w:eastAsia="Times New Roman" w:hAnsi="Times New Roman"/>
          <w:sz w:val="18"/>
          <w:szCs w:val="18"/>
          <w:color w:val="auto"/>
        </w:rPr>
      </w:pPr>
    </w:p>
    <w:p>
      <w:pPr>
        <w:ind w:right="420" w:firstLine="419"/>
        <w:spacing w:after="0" w:line="282" w:lineRule="auto"/>
        <w:tabs>
          <w:tab w:leader="none" w:pos="7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53" w:lineRule="exact"/>
        <w:rPr>
          <w:rFonts w:ascii="Times New Roman" w:cs="Times New Roman" w:eastAsia="Times New Roman" w:hAnsi="Times New Roman"/>
          <w:sz w:val="18"/>
          <w:szCs w:val="18"/>
          <w:color w:val="auto"/>
        </w:rPr>
      </w:pPr>
    </w:p>
    <w:p>
      <w:pPr>
        <w:ind w:right="60" w:firstLine="419"/>
        <w:spacing w:after="0" w:line="254"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43" w:name="page44"/>
    <w:bookmarkEnd w:id="43"/>
    <w:p>
      <w:pPr>
        <w:ind w:left="4" w:firstLine="419"/>
        <w:spacing w:after="0" w:line="253" w:lineRule="auto"/>
        <w:tabs>
          <w:tab w:leader="none" w:pos="6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or incorporated by reference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material fact or omit to state a material fact required to be stated therein or necessary in order to make the information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81"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6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75" w:lineRule="exact"/>
        <w:rPr>
          <w:sz w:val="20"/>
          <w:szCs w:val="20"/>
          <w:color w:val="auto"/>
        </w:rPr>
      </w:pPr>
    </w:p>
    <w:p>
      <w:pPr>
        <w:ind w:left="4" w:right="200" w:firstLine="419"/>
        <w:spacing w:after="0" w:line="270" w:lineRule="auto"/>
        <w:tabs>
          <w:tab w:leader="none" w:pos="75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Status</w:t>
      </w:r>
      <w:r>
        <w:rPr>
          <w:rFonts w:ascii="Times New Roman" w:cs="Times New Roman" w:eastAsia="Times New Roman" w:hAnsi="Times New Roman"/>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3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7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44" w:name="page45"/>
    <w:bookmarkEnd w:id="44"/>
    <w:p>
      <w:pPr>
        <w:ind w:right="20" w:firstLine="419"/>
        <w:spacing w:after="0" w:line="254" w:lineRule="auto"/>
        <w:tabs>
          <w:tab w:leader="none" w:pos="7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Corrupt Practices.</w:t>
      </w:r>
      <w:r>
        <w:rPr>
          <w:rFonts w:ascii="Times New Roman" w:cs="Times New Roman" w:eastAsia="Times New Roman" w:hAnsi="Times New Roman"/>
          <w:sz w:val="18"/>
          <w:szCs w:val="18"/>
          <w:color w:val="auto"/>
        </w:rPr>
        <w:t xml:space="preserve"> Neither the Company nor any Subsidiary, nor any of the Company’s directors or officers, nor to the knowledge of the Company or any Subsidiary, any director, officer, employee, agent, affiliate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Each of the Company and the Subsidiaries have taken reasonable steps to ensure that its accounting controls and procedures are sufficient to cause the Company or any Subsidiary to comply in all material respects with the FCPA.</w:t>
      </w:r>
    </w:p>
    <w:p>
      <w:pPr>
        <w:spacing w:after="0" w:line="83" w:lineRule="exact"/>
        <w:rPr>
          <w:rFonts w:ascii="Times New Roman" w:cs="Times New Roman" w:eastAsia="Times New Roman" w:hAnsi="Times New Roman"/>
          <w:sz w:val="18"/>
          <w:szCs w:val="18"/>
          <w:color w:val="auto"/>
        </w:rPr>
      </w:pPr>
    </w:p>
    <w:p>
      <w:pPr>
        <w:jc w:val="both"/>
        <w:ind w:right="140" w:firstLine="419"/>
        <w:spacing w:after="0" w:line="266" w:lineRule="auto"/>
        <w:tabs>
          <w:tab w:leader="none" w:pos="7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CBIZ CPAS P.C..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spacing w:after="0" w:line="67" w:lineRule="exact"/>
        <w:rPr>
          <w:rFonts w:ascii="Times New Roman" w:cs="Times New Roman" w:eastAsia="Times New Roman" w:hAnsi="Times New Roman"/>
          <w:sz w:val="18"/>
          <w:szCs w:val="18"/>
          <w:color w:val="auto"/>
        </w:rPr>
      </w:pPr>
    </w:p>
    <w:p>
      <w:pPr>
        <w:ind w:firstLine="419"/>
        <w:spacing w:after="0" w:line="254" w:lineRule="auto"/>
        <w:tabs>
          <w:tab w:leader="none" w:pos="7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83" w:lineRule="exact"/>
        <w:rPr>
          <w:rFonts w:ascii="Times New Roman" w:cs="Times New Roman" w:eastAsia="Times New Roman" w:hAnsi="Times New Roman"/>
          <w:sz w:val="18"/>
          <w:szCs w:val="18"/>
          <w:color w:val="auto"/>
        </w:rPr>
      </w:pPr>
    </w:p>
    <w:p>
      <w:pPr>
        <w:ind w:right="60" w:firstLine="419"/>
        <w:spacing w:after="0" w:line="253" w:lineRule="auto"/>
        <w:tabs>
          <w:tab w:leader="none" w:pos="7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xml:space="preserve"> Anything in this Agreement or elsewhere herein to the contrary notwithstanding (except for Sections 3.2(g)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Pre-Funded Warrant</w:t>
      </w:r>
    </w:p>
    <w:p>
      <w:pPr>
        <w:spacing w:after="0" w:line="1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480"/>
          </w:cols>
          <w:pgMar w:left="880" w:top="270" w:right="539" w:bottom="1440" w:gutter="0" w:footer="0" w:header="0"/>
        </w:sectPr>
      </w:pPr>
    </w:p>
    <w:bookmarkStart w:id="45" w:name="page46"/>
    <w:bookmarkEnd w:id="45"/>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68" w:lineRule="exact"/>
        <w:rPr>
          <w:sz w:val="20"/>
          <w:szCs w:val="20"/>
          <w:color w:val="auto"/>
        </w:rPr>
      </w:pPr>
    </w:p>
    <w:p>
      <w:pPr>
        <w:ind w:right="60" w:firstLine="419"/>
        <w:spacing w:after="0" w:line="258" w:lineRule="auto"/>
        <w:tabs>
          <w:tab w:leader="none" w:pos="7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Agents in connection with the placement of the Securities.</w:t>
      </w:r>
    </w:p>
    <w:p>
      <w:pPr>
        <w:spacing w:after="0" w:line="75" w:lineRule="exact"/>
        <w:rPr>
          <w:rFonts w:ascii="Times New Roman" w:cs="Times New Roman" w:eastAsia="Times New Roman" w:hAnsi="Times New Roman"/>
          <w:sz w:val="18"/>
          <w:szCs w:val="18"/>
          <w:color w:val="auto"/>
        </w:rPr>
      </w:pPr>
    </w:p>
    <w:p>
      <w:pPr>
        <w:ind w:firstLine="419"/>
        <w:spacing w:after="0" w:line="251" w:lineRule="auto"/>
        <w:tabs>
          <w:tab w:leader="none" w:pos="7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drug product or product candidate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reasonably be expected to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reasonably be expected to have a Material Adverse Effect. The properties, business and operations of the Company have been and are being conducted in all respects in accordance with all applicable laws, rules and regulations of the FDA, except where the failure to so conduct, individually or in the aggregate, would not reasonably be expected to have a Material Adverse Effect. The Company has not been informed by the FDA that the FDA will prohibit the marketing, sale, license or use in the United States of any product proposed to be developed, produced or marketed by the Company, nor to the Company’s knowledge, has the FDA expressed any concern as to approving or clearing for marketing any product being developed or proposed to be developed by the Company.</w:t>
      </w:r>
    </w:p>
    <w:p>
      <w:pPr>
        <w:spacing w:after="0" w:line="1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46" w:name="page47"/>
    <w:bookmarkEnd w:id="46"/>
    <w:p>
      <w:pPr>
        <w:ind w:left="684" w:hanging="261"/>
        <w:spacing w:after="0"/>
        <w:tabs>
          <w:tab w:leader="none" w:pos="68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individually or in the aggregate, reasonably be expected to have a Material Adverse Effect (i) there</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84" w:lineRule="exact"/>
        <w:rPr>
          <w:rFonts w:ascii="Times New Roman" w:cs="Times New Roman" w:eastAsia="Times New Roman" w:hAnsi="Times New Roman"/>
          <w:sz w:val="18"/>
          <w:szCs w:val="18"/>
          <w:color w:val="auto"/>
        </w:rPr>
      </w:pPr>
    </w:p>
    <w:p>
      <w:pPr>
        <w:jc w:val="both"/>
        <w:ind w:left="4" w:right="260" w:firstLine="419"/>
        <w:spacing w:after="0" w:line="261" w:lineRule="auto"/>
        <w:tabs>
          <w:tab w:leader="none" w:pos="7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controlled Affiliate of the Company or any Subsidiary is currently a Sanctioned Person. The Company and its Subsidiaries have implemented and maintain policies and procedures reasonably designed to promote and achieve continued compliance with applicable Sanctions.</w:t>
      </w:r>
    </w:p>
    <w:p>
      <w:pPr>
        <w:spacing w:after="0" w:line="71" w:lineRule="exact"/>
        <w:rPr>
          <w:rFonts w:ascii="Times New Roman" w:cs="Times New Roman" w:eastAsia="Times New Roman" w:hAnsi="Times New Roman"/>
          <w:sz w:val="18"/>
          <w:szCs w:val="18"/>
          <w:color w:val="auto"/>
        </w:rPr>
      </w:pPr>
    </w:p>
    <w:p>
      <w:pPr>
        <w:ind w:left="4" w:firstLine="419"/>
        <w:spacing w:after="0" w:line="254" w:lineRule="auto"/>
        <w:tabs>
          <w:tab w:leader="none" w:pos="6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 Business Practices; Intermediaries</w:t>
      </w:r>
      <w:r>
        <w:rPr>
          <w:rFonts w:ascii="Times New Roman" w:cs="Times New Roman" w:eastAsia="Times New Roman" w:hAnsi="Times New Roman"/>
          <w:sz w:val="18"/>
          <w:szCs w:val="18"/>
          <w:color w:val="auto"/>
        </w:rPr>
        <w:t>. The Company (i) has not obtained or induced, directly or indirectly, through any person and will not attempt to so obtain or induce the procurement of the Purchaser’s investment in the Securities or any contract, consent, approval, right, interest, privilege or other obligation or benefit related thereto or a favorable relationship with the Purchasers or any of their Affiliates, through any violation of law or regulation or through any corrupt or illegal business practice; and (ii) has not given or agreed to give and shall not give or agree to give to any person, directly or indirectly, any placement fee, introductory fee, arrangement fee, finder’s fee or any other fee, compensation, monetary benefit or any other benefit, gift, commission, gratuity, bribe or kickback, whether described as a consultation fee or otherwise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with the object of obtaining or inducing the procurement of the Purchaser’s investment in the Securities or any contract, right, interest, privilege or other obligation or benefit related thereto or a favorable relationship with the Purchasers or any of their Affiliates. For the avoidance of doubt, the following shall not be deemed to be Fees within the meaning of this paragraph:</w:t>
      </w:r>
    </w:p>
    <w:p>
      <w:pPr>
        <w:spacing w:after="0" w:line="121"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04"/>
          </w:cols>
          <w:pgMar w:left="876" w:top="270" w:right="519" w:bottom="1440" w:gutter="0" w:footer="0" w:header="0"/>
        </w:sectPr>
      </w:pPr>
    </w:p>
    <w:bookmarkStart w:id="47" w:name="page48"/>
    <w:bookmarkEnd w:id="47"/>
    <w:p>
      <w:pPr>
        <w:ind w:left="4" w:right="20" w:hanging="4"/>
        <w:spacing w:after="0" w:line="266" w:lineRule="auto"/>
        <w:tabs>
          <w:tab w:leader="none" w:pos="2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payments that are legitimate in the normal course of business between each party hereto pursuant to the Transaction Documents, (y) items, including refreshments, of an inconsequential or immaterial cost or value, and (z) the regular and customary compensation and benefits received by either party’s employees in the ordinary course of business and consistent with past practice.</w:t>
      </w:r>
    </w:p>
    <w:p>
      <w:pPr>
        <w:spacing w:after="0" w:line="67" w:lineRule="exact"/>
        <w:rPr>
          <w:rFonts w:ascii="Times New Roman" w:cs="Times New Roman" w:eastAsia="Times New Roman" w:hAnsi="Times New Roman"/>
          <w:sz w:val="18"/>
          <w:szCs w:val="18"/>
          <w:color w:val="auto"/>
        </w:rPr>
      </w:pPr>
    </w:p>
    <w:p>
      <w:pPr>
        <w:ind w:left="4" w:right="140" w:firstLine="419"/>
        <w:spacing w:after="0" w:line="274" w:lineRule="auto"/>
        <w:tabs>
          <w:tab w:leader="none" w:pos="87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Bank Holding Company Act</w:t>
      </w:r>
      <w:r>
        <w:rPr>
          <w:rFonts w:ascii="Times New Roman" w:cs="Times New Roman" w:eastAsia="Times New Roman" w:hAnsi="Times New Roman"/>
          <w:sz w:val="17"/>
          <w:szCs w:val="17"/>
          <w:color w:val="auto"/>
        </w:rPr>
        <w:t>. Neither the Company nor any of its Subsidiaries or controlled Affiliates is subject to the Bank Holding Company Act of 1956, as amended (the “</w:t>
      </w:r>
      <w:r>
        <w:rPr>
          <w:rFonts w:ascii="Times New Roman" w:cs="Times New Roman" w:eastAsia="Times New Roman" w:hAnsi="Times New Roman"/>
          <w:sz w:val="17"/>
          <w:szCs w:val="17"/>
          <w:u w:val="single" w:color="auto"/>
          <w:color w:val="auto"/>
        </w:rPr>
        <w:t>BHCA</w:t>
      </w:r>
      <w:r>
        <w:rPr>
          <w:rFonts w:ascii="Times New Roman" w:cs="Times New Roman" w:eastAsia="Times New Roman" w:hAnsi="Times New Roman"/>
          <w:sz w:val="17"/>
          <w:szCs w:val="17"/>
          <w:color w:val="auto"/>
        </w:rPr>
        <w:t>”) and to regulation by the Board of Governors of the Federal Reserve System (the “</w:t>
      </w:r>
      <w:r>
        <w:rPr>
          <w:rFonts w:ascii="Times New Roman" w:cs="Times New Roman" w:eastAsia="Times New Roman" w:hAnsi="Times New Roman"/>
          <w:sz w:val="17"/>
          <w:szCs w:val="17"/>
          <w:u w:val="single" w:color="auto"/>
          <w:color w:val="auto"/>
        </w:rPr>
        <w:t>Federal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Reserve</w:t>
      </w:r>
      <w:r>
        <w:rPr>
          <w:rFonts w:ascii="Times New Roman" w:cs="Times New Roman" w:eastAsia="Times New Roman" w:hAnsi="Times New Roman"/>
          <w:sz w:val="17"/>
          <w:szCs w:val="17"/>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64" w:lineRule="exact"/>
        <w:rPr>
          <w:rFonts w:ascii="Times New Roman" w:cs="Times New Roman" w:eastAsia="Times New Roman" w:hAnsi="Times New Roman"/>
          <w:sz w:val="17"/>
          <w:szCs w:val="17"/>
          <w:color w:val="auto"/>
        </w:rPr>
      </w:pPr>
    </w:p>
    <w:p>
      <w:pPr>
        <w:ind w:left="4" w:firstLine="419"/>
        <w:spacing w:after="0" w:line="258" w:lineRule="auto"/>
        <w:tabs>
          <w:tab w:leader="none" w:pos="7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75"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7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Neither the Company nor any Subsidiary (i) produces, designs, tests, manufactures, fabricates, or develops one or more “critical technologies,” as defined in 31 C.F.R. § 800.215; (ii) performs the functions as set forth in column 2 of Appendix A to 31 C.F.R. Part 800 with respect to “covered investment critical infrastructure,” as defined in 31 C.F.R. § 800.212; or (iii) maintains or collects, directly or indirectly, “sensitive personal data,” as defined in 31 C.F.R. § 800.241, of U.S. citizens; and, therefore, in turn, neither the Company nor any Subsidiary is a “TID U.S. business” within the meaning of that term in 31 C.F.R. § 800.248.</w:t>
      </w:r>
    </w:p>
    <w:p>
      <w:pPr>
        <w:spacing w:after="0" w:line="75"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7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48" w:name="page49"/>
    <w:bookmarkEnd w:id="48"/>
    <w:p>
      <w:pPr>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such amounts are required to be paid. The Company does not intend to incur debts beyond its ability to pay such debts as they mature (taking into account the timing and amounts of cash to be payable on or in respect of its debt). Other than as set forth in the SEC Reports, the Company has no knowledge of any facts or circumstances which lead it to believe that it will file for reorganization or liquidation under the bankruptcy or reorganization laws of any jurisdiction within one year from the Closing Date. Other than as disclosed in the SEC Reports, neither the Company nor any Subsidiary has any Indebtedness. For the purposes of this Agreement, “Indebtedness”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69" w:lineRule="exact"/>
        <w:rPr>
          <w:sz w:val="20"/>
          <w:szCs w:val="20"/>
          <w:color w:val="auto"/>
        </w:rPr>
      </w:pPr>
    </w:p>
    <w:p>
      <w:pPr>
        <w:ind w:left="4" w:right="60" w:firstLine="419"/>
        <w:spacing w:after="0" w:line="256" w:lineRule="auto"/>
        <w:tabs>
          <w:tab w:leader="none" w:pos="7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Grants</w:t>
      </w:r>
      <w:r>
        <w:rPr>
          <w:rFonts w:ascii="Times New Roman" w:cs="Times New Roman" w:eastAsia="Times New Roman" w:hAnsi="Times New Roman"/>
          <w:sz w:val="18"/>
          <w:szCs w:val="18"/>
          <w:color w:val="auto"/>
        </w:rPr>
        <w:t>. Each stock option granted by the Company under the Company’s equity incentive plan was granted (i) in accordance with the terms of the Company’s equity incentive plan and (ii) with an exercise price at least equal to the fair market value of the Common Stock on the date such stock option would be considered granted under GAAP and applicable law. No stock option granted under the Company’s equity incentive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79" w:lineRule="exact"/>
        <w:rPr>
          <w:rFonts w:ascii="Times New Roman" w:cs="Times New Roman" w:eastAsia="Times New Roman" w:hAnsi="Times New Roman"/>
          <w:sz w:val="18"/>
          <w:szCs w:val="18"/>
          <w:color w:val="auto"/>
        </w:rPr>
      </w:pPr>
    </w:p>
    <w:p>
      <w:pPr>
        <w:ind w:left="4" w:right="240" w:firstLine="419"/>
        <w:spacing w:after="0" w:line="282" w:lineRule="auto"/>
        <w:tabs>
          <w:tab w:leader="none" w:pos="71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53"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7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in all material respects, with all applicable state, federal and foreign data privacy and security laws and regulations,</w:t>
      </w:r>
    </w:p>
    <w:p>
      <w:pPr>
        <w:ind w:left="4"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without limitation as and to the extent applicable to the Company and the Subsidiaries,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for compliance with their policies and procedures relating to the Company’s and the Subsidiaries’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right="200" w:hanging="4"/>
        <w:spacing w:after="0" w:line="290" w:lineRule="auto"/>
        <w:tabs>
          <w:tab w:leader="none" w:pos="31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provides notice of its applicable Policies to its customers, employees, third party vendors and representatives as and to the extent required by the Privacy Laws; and (iv) publicly applicable Policies do not contain any material omissions of the Company’s then-current</w:t>
      </w:r>
    </w:p>
    <w:p>
      <w:pPr>
        <w:spacing w:after="0" w:line="90"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24"/>
          </w:cols>
          <w:pgMar w:left="876" w:top="270" w:right="499" w:bottom="1440" w:gutter="0" w:footer="0" w:header="0"/>
        </w:sectPr>
      </w:pPr>
    </w:p>
    <w:bookmarkStart w:id="49" w:name="page50"/>
    <w:bookmarkEnd w:id="49"/>
    <w:p>
      <w:pPr>
        <w:ind w:left="440" w:right="10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privacy practices, as and to the extent required by Privacy Laws.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The execution, delivery and performance of the Transaction Documents will not result in a material breach of any applicable Privacy Laws or Policies. Neither the Company nor the Subsidiaries</w:t>
      </w:r>
    </w:p>
    <w:p>
      <w:pPr>
        <w:spacing w:after="0" w:line="5" w:lineRule="exact"/>
        <w:rPr>
          <w:sz w:val="20"/>
          <w:szCs w:val="20"/>
          <w:color w:val="auto"/>
        </w:rPr>
      </w:pPr>
    </w:p>
    <w:p>
      <w:pPr>
        <w:ind w:left="440" w:right="40" w:hanging="4"/>
        <w:spacing w:after="0" w:line="253"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has received written notice of any actual or potential liability of the Company or the Subsidiaries under, or actual or potential violation by the Company or the Subsidiaries of, any applicable Privacy Laws; (ii) is currently conducting or paying for, in whole or in part, any investigation, remediation or other corrective action pursuant to any regulatory request or demand pursuant to any applicable Privacy Law; or (iii) is a party to any order, decree, or agreement by or with any court or arbitrator or governmental or regulatory authority that imposed any obligation or liability on the Company or its Subsidiaries under any applicable Privacy Law.</w:t>
      </w:r>
    </w:p>
    <w:p>
      <w:pPr>
        <w:spacing w:after="0" w:line="18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Representations and Warranties of the Purchasers</w:t>
      </w:r>
      <w:r>
        <w:rPr>
          <w:rFonts w:ascii="Times New Roman" w:cs="Times New Roman" w:eastAsia="Times New Roman" w:hAnsi="Times New Roman"/>
          <w:sz w:val="17"/>
          <w:szCs w:val="17"/>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32" w:lineRule="exact"/>
        <w:rPr>
          <w:sz w:val="20"/>
          <w:szCs w:val="20"/>
          <w:color w:val="auto"/>
        </w:rPr>
      </w:pPr>
    </w:p>
    <w:p>
      <w:pPr>
        <w:ind w:left="440" w:firstLine="419"/>
        <w:spacing w:after="0" w:line="253" w:lineRule="auto"/>
        <w:tabs>
          <w:tab w:leader="none" w:pos="110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50" w:name="page51"/>
    <w:bookmarkEnd w:id="50"/>
    <w:p>
      <w:pPr>
        <w:jc w:val="both"/>
        <w:ind w:right="20" w:firstLine="419"/>
        <w:spacing w:after="0" w:line="266" w:lineRule="auto"/>
        <w:tabs>
          <w:tab w:leader="none" w:pos="6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Pre-Funded Warrants, it will be either: (i) an “accredited investor” as defined in Rule 501(a)(1), (a)(2), (a)(3), (a)(7), (a)(8), (a)(9), (a)(12), or (a)(13) under the Securities Act or (ii) a “qualified institutional buyer” as defined in Rule 144A(a) under the Securities Act.</w:t>
      </w:r>
    </w:p>
    <w:p>
      <w:pPr>
        <w:spacing w:after="0" w:line="67"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71"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Agents nor any Affiliate of the Placement Agents has provided such Purchaser with any information or advice with respect to the Securities nor is such information or advice necessary or desired. Neither the Placement Agents nor any Affiliate has made or makes any representation as to the Company or the quality of the Securities and any Affiliate may have acquired non-public information with respect to the Company which such Purchaser agrees need not be provided to it. In connection with the issuance of the Securities to such Purchaser, neither the Placement Agents nor any of their Affiliates has acted as a financial advisor or fiduciary to such Purchaser.</w:t>
      </w:r>
    </w:p>
    <w:p>
      <w:pPr>
        <w:spacing w:after="0" w:line="81" w:lineRule="exact"/>
        <w:rPr>
          <w:rFonts w:ascii="Times New Roman" w:cs="Times New Roman" w:eastAsia="Times New Roman" w:hAnsi="Times New Roman"/>
          <w:sz w:val="18"/>
          <w:szCs w:val="18"/>
          <w:color w:val="auto"/>
        </w:rPr>
      </w:pPr>
    </w:p>
    <w:p>
      <w:pPr>
        <w:ind w:right="60" w:firstLine="419"/>
        <w:spacing w:after="0" w:line="258"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to such Purchaser’s knowledge,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0"/>
          </w:cols>
          <w:pgMar w:left="880" w:top="270" w:right="479" w:bottom="1440" w:gutter="0" w:footer="0" w:header="0"/>
        </w:sectPr>
      </w:pPr>
    </w:p>
    <w:bookmarkStart w:id="51" w:name="page52"/>
    <w:bookmarkEnd w:id="51"/>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80" w:lineRule="exact"/>
        <w:rPr>
          <w:sz w:val="20"/>
          <w:szCs w:val="20"/>
          <w:color w:val="auto"/>
        </w:rPr>
      </w:pPr>
    </w:p>
    <w:p>
      <w:pPr>
        <w:ind w:left="440" w:right="80" w:firstLine="419"/>
        <w:spacing w:after="0" w:line="256"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Such Purchaser has independently evaluated the merits of its decision to purchase Securities pursuant to the Transaction Documents, and such Purchaser confirms that it has not relied on the advice of any other Purchaser’s business and/or legal counsel in making such decision. Such Purchaser understands that nothing in this Agreement or any other materials presented by or on behalf of the Company to the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earlier of the time that (i) no Purchaser owns Securities or (ii) the Pre-Funded Warrants have expired or been fully exercised, the Company covenants to use reasonable best efforts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52" w:name="page53"/>
    <w:bookmarkEnd w:id="52"/>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53" w:name="page54"/>
    <w:bookmarkEnd w:id="53"/>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Agents, or a duty to the Company, any of its Subsidiaries or any of their respective officers, directors, employees, Affiliates or agents, including, without limitation, the Placement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4"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0" w:lineRule="exact"/>
        <w:rPr>
          <w:sz w:val="20"/>
          <w:szCs w:val="20"/>
          <w:color w:val="auto"/>
        </w:rPr>
      </w:pPr>
    </w:p>
    <w:p>
      <w:pPr>
        <w:ind w:left="4" w:right="140"/>
        <w:spacing w:after="0" w:line="267"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Indemnification of Purchasers</w:t>
      </w:r>
      <w:r>
        <w:rPr>
          <w:rFonts w:ascii="Times New Roman" w:cs="Times New Roman" w:eastAsia="Times New Roman" w:hAnsi="Times New Roman"/>
          <w:sz w:val="17"/>
          <w:szCs w:val="17"/>
          <w:color w:val="auto"/>
        </w:rPr>
        <w:t>. Subject to the provisions of this Section 4.7, the Company will indemnify, to the fullest extent permitted by applicable law, and hold each Purchaser and its directors, officers, shareholders, members, partners, investment managers,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managers,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7"/>
          <w:szCs w:val="17"/>
          <w:u w:val="single" w:color="auto"/>
          <w:color w:val="auto"/>
        </w:rPr>
        <w:t>Purchaser Party</w:t>
      </w:r>
      <w:r>
        <w:rPr>
          <w:rFonts w:ascii="Times New Roman" w:cs="Times New Roman" w:eastAsia="Times New Roman" w:hAnsi="Times New Roman"/>
          <w:sz w:val="17"/>
          <w:szCs w:val="17"/>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w:t>
      </w:r>
    </w:p>
    <w:p>
      <w:pPr>
        <w:spacing w:after="0" w:line="5" w:lineRule="exact"/>
        <w:rPr>
          <w:sz w:val="20"/>
          <w:szCs w:val="20"/>
          <w:color w:val="auto"/>
        </w:rPr>
      </w:pPr>
    </w:p>
    <w:p>
      <w:pPr>
        <w:ind w:left="4" w:hanging="4"/>
        <w:spacing w:after="0" w:line="252"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instituted against the Purchaser Parties in any capacity (including a Purchaser Party’s status as an investor), or any of them or their respective Affiliates, by the Company or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0" w:right="439" w:bottom="1440" w:gutter="0" w:footer="0" w:header="0"/>
        </w:sectPr>
      </w:pPr>
    </w:p>
    <w:bookmarkStart w:id="54" w:name="page55"/>
    <w:bookmarkEnd w:id="54"/>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reasonably acceptable to the Purchaser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4.7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reasonable best efforts to maintain the listing or quotation of the Common Stock on the Trading Market on which it is currently listed, and concurrently with the Closing, the Company shall apply to list or quote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Shares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4.10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61" w:lineRule="auto"/>
        <w:tabs>
          <w:tab w:leader="none" w:pos="11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ninety (90) days after the date of this Agreement, neither the Company nor any Subsidiary shall (i) issue, enter into any agreement to issue or announce the issuance or proposed issuance of any shares of Common Stock or Common Stock Equivalents (other than an Exempt Issuance) or (ii) file any registration statement or any amendment or supplement thereto, in each case other than the Prospectus Supplement or filing of a registration statement on Form S-8 in connection with any employee compensation plan.</w:t>
      </w:r>
    </w:p>
    <w:p>
      <w:pPr>
        <w:spacing w:after="0" w:line="71" w:lineRule="exact"/>
        <w:rPr>
          <w:rFonts w:ascii="Times New Roman" w:cs="Times New Roman" w:eastAsia="Times New Roman" w:hAnsi="Times New Roman"/>
          <w:sz w:val="18"/>
          <w:szCs w:val="18"/>
          <w:color w:val="auto"/>
        </w:rPr>
      </w:pPr>
    </w:p>
    <w:p>
      <w:pPr>
        <w:ind w:left="440" w:firstLine="419"/>
        <w:spacing w:after="0" w:line="252"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nine (9) months from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prohibition period in Section 4.10(a) herein, the entry into and/or issuance of shares of Common Stock in an “at the market” offering with H.C. Wainwright &amp; Co., LLC as sales agent shall not be deemed a Variable Rate Transaction. Any Purchaser shall be entitled to obtain injunctive relief against the Company to preclude any such issuance, which remedy shall be in addition to any right to collect damages.</w:t>
      </w:r>
    </w:p>
    <w:p>
      <w:pPr>
        <w:spacing w:after="0" w:line="89" w:lineRule="exact"/>
        <w:rPr>
          <w:rFonts w:ascii="Times New Roman" w:cs="Times New Roman" w:eastAsia="Times New Roman" w:hAnsi="Times New Roman"/>
          <w:sz w:val="18"/>
          <w:szCs w:val="18"/>
          <w:color w:val="auto"/>
        </w:rPr>
      </w:pPr>
    </w:p>
    <w:p>
      <w:pPr>
        <w:ind w:left="440" w:right="780" w:firstLine="419"/>
        <w:spacing w:after="0" w:line="282" w:lineRule="auto"/>
        <w:tabs>
          <w:tab w:leader="none" w:pos="11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4.10 shall not apply in respect of an Exempt Issuance, except that no Variable Rate Transaction shall be an Exempt Issuance.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56" w:name="page57"/>
    <w:bookmarkEnd w:id="5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Pre-Funded Warrants set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Notwithstanding anything to the contrary set forth herein, no notice required or permitted under this Agreement shall be deemed effective with respect to a Investor with residency in Qatar unless if completed by 1:30 p.m. on a day in which banks are open for business in Qatar (a “</w:t>
      </w:r>
      <w:r>
        <w:rPr>
          <w:rFonts w:ascii="Times New Roman" w:cs="Times New Roman" w:eastAsia="Times New Roman" w:hAnsi="Times New Roman"/>
          <w:sz w:val="18"/>
          <w:szCs w:val="18"/>
          <w:u w:val="single" w:color="auto"/>
          <w:color w:val="auto"/>
        </w:rPr>
        <w:t>Qatari Business Day</w:t>
      </w:r>
      <w:r>
        <w:rPr>
          <w:rFonts w:ascii="Times New Roman" w:cs="Times New Roman" w:eastAsia="Times New Roman" w:hAnsi="Times New Roman"/>
          <w:sz w:val="18"/>
          <w:szCs w:val="18"/>
          <w:color w:val="auto"/>
        </w:rPr>
        <w:t>”) or on the following Qatari Business Day if completed later.</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66" w:right="479" w:bottom="1440" w:gutter="0" w:footer="0" w:header="0"/>
        </w:sectPr>
      </w:pPr>
    </w:p>
    <w:bookmarkStart w:id="58" w:name="page59"/>
    <w:bookmarkEnd w:id="5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disproportionately impacted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each Purchaser and holder of Securities and the Company.</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Agents shall be the third party beneficiaries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4.7 and this Section 5.8.</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59" w:name="page60"/>
    <w:bookmarkEnd w:id="59"/>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signature page were an original thereof.</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unless such rescission or</w:t>
      </w:r>
      <w:r>
        <w:rPr>
          <w:rFonts w:ascii="Times New Roman" w:cs="Times New Roman" w:eastAsia="Times New Roman" w:hAnsi="Times New Roman"/>
          <w:sz w:val="18"/>
          <w:szCs w:val="18"/>
          <w:color w:val="auto"/>
        </w:rPr>
        <w:t xml:space="preserve"> withdrawal would materially prejudice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60" w:name="page61"/>
    <w:bookmarkEnd w:id="6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 xml:space="preserve">5.16 </w:t>
      </w:r>
      <w:r>
        <w:rPr>
          <w:rFonts w:ascii="Times New Roman" w:cs="Times New Roman" w:eastAsia="Times New Roman" w:hAnsi="Times New Roman"/>
          <w:sz w:val="17"/>
          <w:szCs w:val="17"/>
          <w:u w:val="single" w:color="auto"/>
          <w:color w:val="auto"/>
        </w:rPr>
        <w:t>Payment Set Aside</w:t>
      </w:r>
      <w:r>
        <w:rPr>
          <w:rFonts w:ascii="Times New Roman" w:cs="Times New Roman" w:eastAsia="Times New Roman" w:hAnsi="Times New Roman"/>
          <w:sz w:val="17"/>
          <w:szCs w:val="17"/>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certain Purchasers and their respective counsel have chosen to communicate with the Company through EGS. EGS does not represent any of the Purchasers and only represents the Placement Agents.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61" w:name="page62"/>
    <w:bookmarkEnd w:id="6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5.18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60"/>
          </w:cols>
          <w:pgMar w:left="440" w:top="270" w:right="599" w:bottom="1440" w:gutter="0" w:footer="0" w:header="0"/>
        </w:sectPr>
      </w:pPr>
    </w:p>
    <w:bookmarkStart w:id="62" w:name="page63"/>
    <w:bookmarkEnd w:id="6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c>
          <w:tcPr>
            <w:tcW w:w="70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45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191"/>
        </w:trPr>
        <w:tc>
          <w:tcPr>
            <w:tcW w:w="320" w:type="dxa"/>
            <w:vAlign w:val="bottom"/>
          </w:tcPr>
          <w:p>
            <w:pPr>
              <w:spacing w:after="0"/>
              <w:rPr>
                <w:sz w:val="16"/>
                <w:szCs w:val="16"/>
                <w:color w:val="auto"/>
              </w:rPr>
            </w:pPr>
          </w:p>
        </w:tc>
        <w:tc>
          <w:tcPr>
            <w:tcW w:w="47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Talat Imran</w:t>
            </w: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9"/>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Cooley LLP</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3175 Hanover Street</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Palo Alto, CA 94304-1130</w:t>
            </w: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John T. McKenna</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80"/>
          </w:cols>
          <w:pgMar w:left="440" w:top="270" w:right="879" w:bottom="1440" w:gutter="0" w:footer="0" w:header="0"/>
        </w:sectPr>
      </w:pPr>
    </w:p>
    <w:bookmarkStart w:id="63" w:name="page64"/>
    <w:bookmarkEnd w:id="6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17145</wp:posOffset>
            </wp:positionV>
            <wp:extent cx="60864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18415</wp:posOffset>
            </wp:positionV>
            <wp:extent cx="47491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17145</wp:posOffset>
            </wp:positionV>
            <wp:extent cx="5520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17145</wp:posOffset>
            </wp:positionV>
            <wp:extent cx="55892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5100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Addresses for Notices: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20"/>
          </w:cols>
          <w:pgMar w:left="440" w:top="270" w:right="639" w:bottom="1440" w:gutter="0" w:footer="0" w:header="0"/>
        </w:sectPr>
      </w:pPr>
    </w:p>
    <w:bookmarkStart w:id="64" w:name="page65"/>
    <w:bookmarkEnd w:id="64"/>
    <w:p>
      <w:pPr>
        <w:jc w:val="center"/>
        <w:ind w:righ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7"/>
          <w:szCs w:val="17"/>
          <w:color w:val="auto"/>
        </w:rPr>
        <w:t>PURCHASER PRICING INFORMATION</w:t>
      </w:r>
    </w:p>
    <w:p>
      <w:pPr>
        <w:spacing w:after="0" w:line="2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ind w:left="4"/>
        <w:spacing w:after="0" w:line="299" w:lineRule="exact"/>
        <w:rPr>
          <w:sz w:val="20"/>
          <w:szCs w:val="20"/>
          <w:color w:val="auto"/>
        </w:rPr>
      </w:pPr>
      <w:r>
        <w:rPr>
          <w:rFonts w:ascii="Times New Roman" w:cs="Times New Roman" w:eastAsia="Times New Roman" w:hAnsi="Times New Roman"/>
          <w:sz w:val="18"/>
          <w:szCs w:val="18"/>
          <w:color w:val="auto"/>
        </w:rPr>
        <w:t>Pre-Funded Warrants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1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Price Per Share: </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Price Per Pre-Funded Warrant: </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24" w:right="3959" w:hanging="5424"/>
        <w:spacing w:after="0"/>
        <w:tabs>
          <w:tab w:leader="none" w:pos="438" w:val="left"/>
        </w:tabs>
        <w:numPr>
          <w:ilvl w:val="0"/>
          <w:numId w:val="5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Price Per Pre-Funded Warrant is equal to the Price Per Share less $0.0001 40</w:t>
      </w:r>
    </w:p>
    <w:p>
      <w:pPr>
        <w:sectPr>
          <w:pgSz w:w="11900" w:h="16838" w:orient="portrait"/>
          <w:cols w:equalWidth="0" w:num="1">
            <w:col w:w="10023"/>
          </w:cols>
          <w:pgMar w:left="436" w:top="270"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019"/>
          </w:cols>
          <w:pgMar w:left="1440" w:top="270"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019"/>
          </w:cols>
          <w:pgMar w:left="1440" w:top="270"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26, 2026</w:t>
      </w:r>
    </w:p>
    <w:p>
      <w:pPr>
        <w:spacing w:after="0" w:line="252" w:lineRule="exact"/>
        <w:rPr>
          <w:sz w:val="20"/>
          <w:szCs w:val="20"/>
          <w:color w:val="auto"/>
        </w:rPr>
      </w:pPr>
    </w:p>
    <w:p>
      <w:pPr>
        <w:ind w:left="960" w:right="34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Re:</w:t>
        <w:tab/>
        <w:t>Securities Purchase Agreement, dated as of May 26,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between Rani Therapeutics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purchasers signatory thereto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Capitalized terms not otherwise defined in this letter agreement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shall have the meanings set forth in the Purchase Agreement. Pursuant to Section 2.2(a) of the Purchase Agreement and in satisfaction of a condition of the Company’s obligations under the Purchase Agreement, the undersigned irrevocably agrees with the Company that, for a period commencing on the Closing Date (as defined in the Purchase Agreement) and ending on the date that is sixty (60) days following the date of the Purchase Agreement (such period, the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respect to, any shares of Common Stock of the Company or securities convertible, exchangeable or exercisable into, shares of Common Stock of the Company beneficially owned, held or hereafter acquired by the undersigned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Beneficial ownership shall be calculated in accordance with Section 13(d) of the Exchange Act.</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Securities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Commission in accordance with the Exchange Act and no report of such transfer shall be made voluntarily (other than a filing on a Form 5 made after the expiration of the Restriction Period), and (4) neither the undersigned nor any donee, trustee, distributee or transferee, as the case may be, otherwise voluntarily effects any public filing or report regarding such transfers, with respect to transfer:</w:t>
      </w:r>
    </w:p>
    <w:p>
      <w:pPr>
        <w:spacing w:after="0" w:line="91" w:lineRule="exact"/>
        <w:rPr>
          <w:sz w:val="20"/>
          <w:szCs w:val="20"/>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6" w:right="459" w:bottom="1440" w:gutter="0" w:footer="0" w:header="0"/>
        </w:sectPr>
      </w:pPr>
    </w:p>
    <w:bookmarkStart w:id="68" w:name="page69"/>
    <w:bookmarkEnd w:id="68"/>
    <w:p>
      <w:pPr>
        <w:ind w:left="540" w:right="700" w:hanging="532"/>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corporation, partnership, limited liability company, or other business entity all of the equity holders of which consist of the undersigned and/or the immediate family of the undersigned;</w:t>
      </w:r>
    </w:p>
    <w:p>
      <w:pPr>
        <w:spacing w:after="0" w:line="67" w:lineRule="exact"/>
        <w:rPr>
          <w:rFonts w:ascii="Times New Roman" w:cs="Times New Roman" w:eastAsia="Times New Roman" w:hAnsi="Times New Roman"/>
          <w:sz w:val="18"/>
          <w:szCs w:val="18"/>
          <w:color w:val="auto"/>
        </w:rPr>
      </w:pPr>
    </w:p>
    <w:p>
      <w:pPr>
        <w:ind w:left="540" w:right="680" w:hanging="532"/>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to the trustor, trustee or beneficiary of such trust;</w:t>
      </w:r>
    </w:p>
    <w:p>
      <w:pPr>
        <w:spacing w:after="0" w:line="130" w:lineRule="exact"/>
        <w:rPr>
          <w:rFonts w:ascii="Times New Roman" w:cs="Times New Roman" w:eastAsia="Times New Roman" w:hAnsi="Times New Roman"/>
          <w:sz w:val="18"/>
          <w:szCs w:val="18"/>
          <w:color w:val="auto"/>
        </w:rPr>
      </w:pPr>
    </w:p>
    <w:p>
      <w:pPr>
        <w:ind w:left="540" w:right="300" w:hanging="532"/>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to the legal representative, heir, beneficiary or a member of the immediate family of the undersigned;</w:t>
      </w:r>
    </w:p>
    <w:p>
      <w:pPr>
        <w:spacing w:after="0" w:line="67"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domestic order or negotiated divorce settlement, provided that any filing made pursuant to this clause (vii) shall be pursuant to such domestic order or divorce settlement;</w:t>
      </w:r>
    </w:p>
    <w:p>
      <w:pPr>
        <w:spacing w:after="0" w:line="67" w:lineRule="exact"/>
        <w:rPr>
          <w:rFonts w:ascii="Times New Roman" w:cs="Times New Roman" w:eastAsia="Times New Roman" w:hAnsi="Times New Roman"/>
          <w:sz w:val="18"/>
          <w:szCs w:val="18"/>
          <w:color w:val="auto"/>
        </w:rPr>
      </w:pPr>
    </w:p>
    <w:p>
      <w:pPr>
        <w:ind w:left="540" w:right="40" w:hanging="532"/>
        <w:spacing w:after="0" w:line="254"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Rani Therapeutics, LLC (“</w:t>
      </w:r>
      <w:r>
        <w:rPr>
          <w:rFonts w:ascii="Times New Roman" w:cs="Times New Roman" w:eastAsia="Times New Roman" w:hAnsi="Times New Roman"/>
          <w:sz w:val="18"/>
          <w:szCs w:val="18"/>
          <w:u w:val="single" w:color="auto"/>
          <w:color w:val="auto"/>
        </w:rPr>
        <w:t>Rani LLC</w:t>
      </w:r>
      <w:r>
        <w:rPr>
          <w:rFonts w:ascii="Times New Roman" w:cs="Times New Roman" w:eastAsia="Times New Roman" w:hAnsi="Times New Roman"/>
          <w:sz w:val="18"/>
          <w:szCs w:val="18"/>
          <w:color w:val="auto"/>
        </w:rPr>
        <w:t xml:space="preserve">”) to cover taxes due upon or the consideration required in connection with the vesting, conversion or exercise of securities issued under an equity incentive plan or stock purchase plan of the Company or Rani LLC, including through the withholding of shares by, or surrender of shares to, the Company or Rani LLC pursuant to a “net” or “cashless” exercise or settlement feature,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any shares of Common Stock received by the undersigned upon any such exercise or vesting will be subject to the terms of this Letter Agreement and (B) in the case of any transfer to the Company or Rani LLC pursuant to this clause (viii), any filing under Section 16(a) of the Exchange Act made during the Restriction Period shall state in the footnotes that such transfer to the Company relates to a “cashless” or “net” exercise of stock options or a tax withholding in connection with the exercise of stock options or a tax withholding in connection with the vesting of restricted stock;</w:t>
      </w:r>
    </w:p>
    <w:p>
      <w:pPr>
        <w:spacing w:after="0" w:line="97" w:lineRule="exact"/>
        <w:rPr>
          <w:rFonts w:ascii="Times New Roman" w:cs="Times New Roman" w:eastAsia="Times New Roman" w:hAnsi="Times New Roman"/>
          <w:sz w:val="18"/>
          <w:szCs w:val="18"/>
          <w:color w:val="auto"/>
        </w:rPr>
      </w:pPr>
    </w:p>
    <w:p>
      <w:pPr>
        <w:jc w:val="both"/>
        <w:ind w:left="540" w:right="340" w:hanging="532"/>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exchanges of limited liability company interests in Rani LLC for shares of Common Stock pursuant to that certain Fifth Amended and Restated Limited Liability Company Agreement of Rani LLC dated as of August 3, 2021;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shares of Common Stock received by the undersigned upon any such exchange will be subject to the terms of this Letter Agreement; or</w:t>
      </w:r>
    </w:p>
    <w:p>
      <w:pPr>
        <w:spacing w:after="0" w:line="81"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 sale of shares of Common Stock underlying restricted stock units held by the undersigned that will vest during the Restriction Period and settle during the Restriction Period, but solely to the extent necessary to satisfy income tax withholding and remittance obligations in connection with the vesting or settlement of such restricted stock units that are outstanding as of the date 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remaining shares of Common Stock issued upon vesting of such restricted stock units shall be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Agreement and provided further no public disclosure or filing reporting</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860" w:top="270" w:right="479" w:bottom="1440" w:gutter="0" w:footer="0" w:header="0"/>
        </w:sectPr>
      </w:pPr>
    </w:p>
    <w:bookmarkStart w:id="69" w:name="page70"/>
    <w:bookmarkEnd w:id="69"/>
    <w:p>
      <w:pPr>
        <w:ind w:left="984"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reduction in beneficial ownership of shares of Common Stock shall be made voluntarily during the Restriction Period, and if the undersigned is required to file a report under Section 16 of the Exchange Act reporting a reduction in beneficial ownership of shares of Common Stock during the Restriction Period, the undersigned shall include a statement in such report to the effect that such transfer relates to the circumstances described in this clause.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addition, notwithstanding the foregoing, this Letter Agreement shall not restrict the delivery of shares of Common Stock to the undersigned upon</w:t>
      </w:r>
    </w:p>
    <w:p>
      <w:pPr>
        <w:spacing w:after="0" w:line="27" w:lineRule="exact"/>
        <w:rPr>
          <w:sz w:val="20"/>
          <w:szCs w:val="20"/>
          <w:color w:val="auto"/>
        </w:rPr>
      </w:pPr>
    </w:p>
    <w:p>
      <w:pPr>
        <w:ind w:left="4" w:right="120" w:hanging="4"/>
        <w:spacing w:after="0" w:line="253" w:lineRule="auto"/>
        <w:tabs>
          <w:tab w:leader="none" w:pos="2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any awards granted under any employee benefit plan of the Company; provided that any shares of Common Stock or Securities acquired in connection with any such exercise will be subject to the restrictions set forth in this Letter Agreement, or (ii) the exercise of warrants; provided that such shares of Common Stock delivered to the undersigned in connection with such exercise are subject to the restrictions set forth in this Letter Agreement.</w:t>
      </w:r>
    </w:p>
    <w:p>
      <w:pPr>
        <w:spacing w:after="0" w:line="189"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Furthermore, the undersigned may enter into any new plan established in compliance with Rule 10b5-1 of the Exchange Act; provided that (i) any filing under Section 16(a) or Section 13 of the Exchange Act, or other public filing, report or announcement shall indicate that such trading plan is subject to the terms of this Letter Agreement and (ii) no sale of shares of Common Stock are made pursuant to such plan during the Restriction Period.</w:t>
      </w:r>
    </w:p>
    <w:p>
      <w:pPr>
        <w:spacing w:after="0" w:line="176"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Furthermore, no provision in this Letter Agreement shall be deemed to restrict or prohibit (1) the transfer of the undersigned’s Securities to the Company in connection with the termination of the undersigned’s employment or service with the Company or pursuant to contractual arrangements under which the Company has the option to repurchase such shares or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public filing, report or announcement shall be voluntarily made, and if any filing under Section 16(a) or Section 13 of the Exchange Act, or other public filing, report or announcement reporting a reduction in beneficial ownership of shares of Common Stock in connection with such transfer or distribution shall be legally required, such filing, report or announcement shall clearly indicate in the footnotes thereto the nature and conditions of such transfer, (2) the exercise, vesting or settlement (including sell-to-cover for taxes associated with the exercise or vesting), as applicable, by the undersigned of any option to purchase any shares of Common Stock or other equity awards pursuant to any stock incentive plan or stock purchase plan of the Company described in the Company’s public filings,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remaining underlying shares of Common Stock shall continue to be subject to the restrictions on transfer set forth in this Letter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filing under Section 16(a) or Section 13 of the Exchange Act made during the Restriction Period related to a sell-to-cover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associated with the exercise or vesting shall specify in the footnotes of the filing as such, or (3) the transfer of shares of Securities pursuant to a bona fide third-party tender offer for securities of the Company, made to all holders of the Company’s capital stock involving a change of control (as defined below), provided that all of the undersigned’s Securities subject to this Letter Agreement that are not so transferred, sold, tendered or otherwise disposed of remain subject to this Letter Agreement, and provided, further, that it shall be a condition of the transfer that if the tender offer, merger, consolidation or other such transaction is not completed, the undersigned’s Securities subject to this Letter Agreement shall remain subject to the restrictions herein. For purposes of this Letter Agreement, “change of control” means any bona fide third party tender offer, merger, consolidation or other</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70" w:name="page71"/>
    <w:bookmarkEnd w:id="7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similar transaction, in one transaction or a series of related transactions approved by the board of directors of the Company, the result of which is that any “person” (as defined in Section 13(d)(3) of the Exchange Act), or group of affiliated persons, other than the Company, becomes the beneficial owner (as defined in Rules 13d-3 and 13d-5 of the Exchange Act) of at least a majority of the total outstanding voting power of the voting stock of the Company (or the surviving entity).</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undersigned acknowledges that the execution, delivery and performance of this Letter Agreement is a material inducement to the Company to complete the transactions contemplated by the Purchase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Purchase Agreement.</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Purchase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spacing w:after="0" w:line="187" w:lineRule="exact"/>
        <w:rPr>
          <w:sz w:val="20"/>
          <w:szCs w:val="20"/>
          <w:color w:val="auto"/>
        </w:rPr>
      </w:pPr>
    </w:p>
    <w:p>
      <w:pPr>
        <w:ind w:right="540" w:firstLine="440"/>
        <w:spacing w:after="0" w:line="312" w:lineRule="auto"/>
        <w:rPr>
          <w:sz w:val="20"/>
          <w:szCs w:val="20"/>
          <w:color w:val="auto"/>
        </w:rPr>
      </w:pPr>
      <w:r>
        <w:rPr>
          <w:rFonts w:ascii="Times New Roman" w:cs="Times New Roman" w:eastAsia="Times New Roman" w:hAnsi="Times New Roman"/>
          <w:sz w:val="17"/>
          <w:szCs w:val="17"/>
          <w:color w:val="auto"/>
        </w:rPr>
        <w:t>Notwithstanding anything to the contrary contained herein, this Letter Agreement shall not be binding upon entities affiliated with Samsara BioCapital, LLC, including, without limitation, Samsara BioCapital, L.P. and Samsara Opportunity Fund, L.P., and Anomaly Ventures, LLC.</w:t>
      </w:r>
    </w:p>
    <w:p>
      <w:pPr>
        <w:spacing w:after="0" w:line="14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This Letter Agreement shall be binding on successors and assigns of the undersigned with respect to the Securities and any such successor or assign shall enter into a similar agreement for the benefit of the Company. This Letter Agreement is intended for the benefit of the parties hereto and their respective successors and permitted assigns and is not for the benefit of, nor may any provision hereof be enforced by, any other Person.</w:t>
      </w:r>
    </w:p>
    <w:p>
      <w:pPr>
        <w:spacing w:after="0" w:line="176" w:lineRule="exact"/>
        <w:rPr>
          <w:sz w:val="20"/>
          <w:szCs w:val="20"/>
          <w:color w:val="auto"/>
        </w:rPr>
      </w:pPr>
    </w:p>
    <w:p>
      <w:pPr>
        <w:ind w:left="5420" w:right="4000" w:hanging="1405"/>
        <w:spacing w:after="0" w:line="454" w:lineRule="auto"/>
        <w:tabs>
          <w:tab w:leader="none" w:pos="43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 FOLLOWS*** 46</w:t>
      </w:r>
    </w:p>
    <w:p>
      <w:pPr>
        <w:sectPr>
          <w:pgSz w:w="11900" w:h="16838" w:orient="portrait"/>
          <w:cols w:equalWidth="0" w:num="1">
            <w:col w:w="11000"/>
          </w:cols>
          <w:pgMar w:left="440" w:top="270"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may be executed in two or more counterparts, all of which when taken together may be considered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in Company,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565785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By signing below, the Company agrees to enforce the restrictions on transfer set forth in this Letter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Letter"/>
      <w:start w:val="1"/>
    </w:lvl>
  </w:abstractNum>
  <w:abstractNum w:abstractNumId="2">
    <w:nsid w:val="8138641"/>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2"/>
    </w:lvl>
  </w:abstractNum>
  <w:abstractNum w:abstractNumId="3">
    <w:nsid w:val="1E7FF521"/>
    <w:multiLevelType w:val="hybridMultilevel"/>
    <w:lvl w:ilvl="0">
      <w:lvlJc w:val="left"/>
      <w:lvlText w:val="(%1)"/>
      <w:numFmt w:val="upperLetter"/>
      <w:start w:val="24"/>
    </w:lvl>
  </w:abstractNum>
  <w:abstractNum w:abstractNumId="4">
    <w:nsid w:val="7C3DBD3D"/>
    <w:multiLevelType w:val="hybridMultilevel"/>
    <w:lvl w:ilvl="0">
      <w:lvlJc w:val="left"/>
      <w:lvlText w:val="%1)"/>
      <w:numFmt w:val="lowerLetter"/>
      <w:start w:val="4"/>
    </w:lvl>
    <w:lvl w:ilvl="1">
      <w:lvlJc w:val="left"/>
      <w:lvlText w:val="%2."/>
      <w:numFmt w:val="lowerRoman"/>
      <w:start w:val="1"/>
    </w:lvl>
  </w:abstractNum>
  <w:abstractNum w:abstractNumId="5">
    <w:nsid w:val="737B8DDC"/>
    <w:multiLevelType w:val="hybridMultilevel"/>
    <w:lvl w:ilvl="0">
      <w:lvlJc w:val="left"/>
      <w:lvlText w:val="(%1)"/>
      <w:numFmt w:val="lowerRoman"/>
      <w:start w:val="2"/>
    </w:lvl>
    <w:lvl w:ilvl="1">
      <w:lvlJc w:val="left"/>
      <w:lvlText w:val="%2."/>
      <w:numFmt w:val="lowerRoman"/>
      <w:start w:val="2"/>
    </w:lvl>
  </w:abstractNum>
  <w:abstractNum w:abstractNumId="6">
    <w:nsid w:val="6CEAF087"/>
    <w:multiLevelType w:val="hybridMultilevel"/>
    <w:lvl w:ilvl="0">
      <w:lvlJc w:val="left"/>
      <w:lvlText w:val="%1."/>
      <w:numFmt w:val="lowerRoman"/>
      <w:start w:val="3"/>
    </w:lvl>
  </w:abstractNum>
  <w:abstractNum w:abstractNumId="7">
    <w:nsid w:val="22221A70"/>
    <w:multiLevelType w:val="hybridMultilevel"/>
    <w:lvl w:ilvl="0">
      <w:lvlJc w:val="left"/>
      <w:lvlText w:val="%1"/>
      <w:numFmt w:val="lowerLetter"/>
      <w:start w:val="1"/>
    </w:lvl>
    <w:lvl w:ilvl="1">
      <w:lvlJc w:val="left"/>
      <w:lvlText w:val="%2."/>
      <w:numFmt w:val="lowerRoman"/>
      <w:start w:val="6"/>
    </w:lvl>
  </w:abstractNum>
  <w:abstractNum w:abstractNumId="8">
    <w:nsid w:val="4516DDE9"/>
    <w:multiLevelType w:val="hybridMultilevel"/>
    <w:lvl w:ilvl="0">
      <w:lvlJc w:val="left"/>
      <w:lvlText w:val="%1)"/>
      <w:numFmt w:val="lowerLetter"/>
      <w:start w:val="5"/>
    </w:lvl>
    <w:lvl w:ilvl="1">
      <w:lvlJc w:val="left"/>
      <w:lvlText w:val="%2"/>
      <w:numFmt w:val="lowerRoman"/>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lowerLetter"/>
      <w:start w:val="3"/>
    </w:lvl>
  </w:abstractNum>
  <w:abstractNum w:abstractNumId="11">
    <w:nsid w:val="419AC241"/>
    <w:multiLevelType w:val="hybridMultilevel"/>
    <w:lvl w:ilvl="0">
      <w:lvlJc w:val="left"/>
      <w:lvlText w:val="%1)"/>
      <w:numFmt w:val="lowerLetter"/>
      <w:start w:val="5"/>
    </w:lvl>
    <w:lvl w:ilvl="1">
      <w:lvlJc w:val="left"/>
      <w:lvlText w:val="%2."/>
      <w:numFmt w:val="lowerRoman"/>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lowerLetter"/>
      <w:start w:val="2"/>
    </w:lvl>
  </w:abstractNum>
  <w:abstractNum w:abstractNumId="15">
    <w:nsid w:val="3804823E"/>
    <w:multiLevelType w:val="hybridMultilevel"/>
    <w:lvl w:ilvl="0">
      <w:lvlJc w:val="left"/>
      <w:lvlText w:val="%1)"/>
      <w:numFmt w:val="lowerLetter"/>
      <w:start w:val="5"/>
    </w:lvl>
  </w:abstractNum>
  <w:abstractNum w:abstractNumId="16">
    <w:nsid w:val="77465F01"/>
    <w:multiLevelType w:val="hybridMultilevel"/>
    <w:lvl w:ilvl="0">
      <w:lvlJc w:val="left"/>
      <w:lvlText w:val="%1)"/>
      <w:numFmt w:val="lowerLetter"/>
      <w:start w:val="10"/>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2"/>
    </w:lvl>
    <w:lvl w:ilvl="1">
      <w:lvlJc w:val="left"/>
      <w:lvlText w:val="["/>
      <w:numFmt w:val="bullet"/>
      <w:start w:val="1"/>
    </w:lvl>
  </w:abstractNum>
  <w:abstractNum w:abstractNumId="19">
    <w:nsid w:val="2463B9EA"/>
    <w:multiLevelType w:val="hybridMultilevel"/>
    <w:lvl w:ilvl="0">
      <w:lvlJc w:val="left"/>
      <w:lvlText w:val="(%1)"/>
      <w:numFmt w:val="lowerRoman"/>
      <w:start w:val="2"/>
    </w:lvl>
  </w:abstractNum>
  <w:abstractNum w:abstractNumId="20">
    <w:nsid w:val="5E884ADC"/>
    <w:multiLevelType w:val="hybridMultilevel"/>
    <w:lvl w:ilvl="0">
      <w:lvlJc w:val="left"/>
      <w:lvlText w:val="(%1)"/>
      <w:numFmt w:val="lowerRoman"/>
      <w:start w:val="1"/>
    </w:lvl>
  </w:abstractNum>
  <w:abstractNum w:abstractNumId="21">
    <w:nsid w:val="51EAD36B"/>
    <w:multiLevelType w:val="hybridMultilevel"/>
    <w:lvl w:ilvl="0">
      <w:lvlJc w:val="left"/>
      <w:lvlText w:val="%1"/>
      <w:numFmt w:val="lowerLetter"/>
      <w:start w:val="1"/>
    </w:lvl>
    <w:lvl w:ilvl="1">
      <w:lvlJc w:val="left"/>
      <w:lvlText w:val="(%2)"/>
      <w:numFmt w:val="lowerRoman"/>
      <w:start w:val="2"/>
    </w:lvl>
  </w:abstractNum>
  <w:abstractNum w:abstractNumId="22">
    <w:nsid w:val="2D517796"/>
    <w:multiLevelType w:val="hybridMultilevel"/>
    <w:lvl w:ilvl="0">
      <w:lvlJc w:val="left"/>
      <w:lvlText w:val="(%1)"/>
      <w:numFmt w:val="lowerLetter"/>
      <w:start w:val="8"/>
    </w:lvl>
    <w:lvl w:ilvl="1">
      <w:lvlJc w:val="left"/>
      <w:lvlText w:val="(%2)"/>
      <w:numFmt w:val="lowerRoman"/>
      <w:start w:val="4"/>
    </w:lvl>
  </w:abstractNum>
  <w:abstractNum w:abstractNumId="23">
    <w:nsid w:val="580BD78F"/>
    <w:multiLevelType w:val="hybridMultilevel"/>
    <w:lvl w:ilvl="0">
      <w:lvlJc w:val="left"/>
      <w:lvlText w:val="(%1)"/>
      <w:numFmt w:val="lowerRoman"/>
      <w:start w:val="5"/>
    </w:lvl>
  </w:abstractNum>
  <w:abstractNum w:abstractNumId="24">
    <w:nsid w:val="153EA438"/>
    <w:multiLevelType w:val="hybridMultilevel"/>
    <w:lvl w:ilvl="0">
      <w:lvlJc w:val="left"/>
      <w:lvlText w:val="(%1)"/>
      <w:numFmt w:val="lowerLetter"/>
      <w:start w:val="1"/>
    </w:lvl>
    <w:lvl w:ilvl="1">
      <w:lvlJc w:val="left"/>
      <w:lvlText w:val="(%2)"/>
      <w:numFmt w:val="lowerRoman"/>
      <w:start w:val="1"/>
    </w:lvl>
  </w:abstractNum>
  <w:abstractNum w:abstractNumId="25">
    <w:nsid w:val="3855585C"/>
    <w:multiLevelType w:val="hybridMultilevel"/>
    <w:lvl w:ilvl="0">
      <w:lvlJc w:val="left"/>
      <w:lvlText w:val="(%1)"/>
      <w:numFmt w:val="lowerLetter"/>
      <w:start w:val="1"/>
    </w:lvl>
    <w:lvl w:ilvl="1">
      <w:lvlJc w:val="left"/>
      <w:lvlText w:val="(%2)"/>
      <w:numFmt w:val="lowerRoman"/>
      <w:start w:val="1"/>
    </w:lvl>
  </w:abstractNum>
  <w:abstractNum w:abstractNumId="26">
    <w:nsid w:val="70A64E2A"/>
    <w:multiLevelType w:val="hybridMultilevel"/>
    <w:lvl w:ilvl="0">
      <w:lvlJc w:val="left"/>
      <w:lvlText w:val="(%1)"/>
      <w:numFmt w:val="lowerRoman"/>
      <w:start w:val="6"/>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3"/>
    </w:lvl>
  </w:abstractNum>
  <w:abstractNum w:abstractNumId="29">
    <w:nsid w:val="1D4ED43B"/>
    <w:multiLevelType w:val="hybridMultilevel"/>
    <w:lvl w:ilvl="0">
      <w:lvlJc w:val="left"/>
      <w:lvlText w:val="(%1)"/>
      <w:numFmt w:val="lowerLetter"/>
      <w:start w:val="6"/>
    </w:lvl>
  </w:abstractNum>
  <w:abstractNum w:abstractNumId="30">
    <w:nsid w:val="725A06FB"/>
    <w:multiLevelType w:val="hybridMultilevel"/>
    <w:lvl w:ilvl="0">
      <w:lvlJc w:val="left"/>
      <w:lvlText w:val="(%1)"/>
      <w:numFmt w:val="lowerLetter"/>
      <w:start w:val="8"/>
    </w:lvl>
  </w:abstractNum>
  <w:abstractNum w:abstractNumId="31">
    <w:nsid w:val="2CD89A32"/>
    <w:multiLevelType w:val="hybridMultilevel"/>
    <w:lvl w:ilvl="0">
      <w:lvlJc w:val="left"/>
      <w:lvlText w:val="(%1)"/>
      <w:numFmt w:val="lowerLetter"/>
      <w:start w:val="9"/>
    </w:lvl>
  </w:abstractNum>
  <w:abstractNum w:abstractNumId="32">
    <w:nsid w:val="57E4CCAF"/>
    <w:multiLevelType w:val="hybridMultilevel"/>
    <w:lvl w:ilvl="0">
      <w:lvlJc w:val="left"/>
      <w:lvlText w:val="(%1)"/>
      <w:numFmt w:val="lowerLetter"/>
      <w:start w:val="11"/>
    </w:lvl>
  </w:abstractNum>
  <w:abstractNum w:abstractNumId="33">
    <w:nsid w:val="7A6D8D3C"/>
    <w:multiLevelType w:val="hybridMultilevel"/>
    <w:lvl w:ilvl="0">
      <w:lvlJc w:val="left"/>
      <w:lvlText w:val="(%1)"/>
      <w:numFmt w:val="lowerLetter"/>
      <w:start w:val="14"/>
    </w:lvl>
  </w:abstractNum>
  <w:abstractNum w:abstractNumId="34">
    <w:nsid w:val="4B588F54"/>
    <w:multiLevelType w:val="hybridMultilevel"/>
    <w:lvl w:ilvl="0">
      <w:lvlJc w:val="left"/>
      <w:lvlText w:val="(%1)"/>
      <w:numFmt w:val="lowerLetter"/>
      <w:start w:val="17"/>
    </w:lvl>
  </w:abstractNum>
  <w:abstractNum w:abstractNumId="35">
    <w:nsid w:val="542289EC"/>
    <w:multiLevelType w:val="hybridMultilevel"/>
    <w:lvl w:ilvl="0">
      <w:lvlJc w:val="left"/>
      <w:lvlText w:val="(%1)"/>
      <w:numFmt w:val="lowerLetter"/>
      <w:start w:val="20"/>
    </w:lvl>
  </w:abstractNum>
  <w:abstractNum w:abstractNumId="36">
    <w:nsid w:val="6DE91B18"/>
    <w:multiLevelType w:val="hybridMultilevel"/>
    <w:lvl w:ilvl="0">
      <w:lvlJc w:val="left"/>
      <w:lvlText w:val="(%1)"/>
      <w:numFmt w:val="lowerLetter"/>
      <w:start w:val="25"/>
    </w:lvl>
  </w:abstractNum>
  <w:abstractNum w:abstractNumId="37">
    <w:nsid w:val="38437FDB"/>
    <w:multiLevelType w:val="hybridMultilevel"/>
    <w:lvl w:ilvl="0">
      <w:lvlJc w:val="left"/>
      <w:lvlText w:val="%1"/>
      <w:numFmt w:val="lowerLetter"/>
      <w:start w:val="1"/>
    </w:lvl>
    <w:lvl w:ilvl="1">
      <w:lvlJc w:val="left"/>
      <w:lvlText w:val="(%2)"/>
      <w:numFmt w:val="lowerLetter"/>
      <w:start w:val="27"/>
    </w:lvl>
  </w:abstractNum>
  <w:abstractNum w:abstractNumId="38">
    <w:nsid w:val="7644A45C"/>
    <w:multiLevelType w:val="hybridMultilevel"/>
    <w:lvl w:ilvl="0">
      <w:lvlJc w:val="left"/>
      <w:lvlText w:val="(%1)"/>
      <w:numFmt w:val="lowerLetter"/>
      <w:start w:val="61"/>
    </w:lvl>
    <w:lvl w:ilvl="1">
      <w:lvlJc w:val="left"/>
      <w:lvlText w:val="(%2)"/>
      <w:numFmt w:val="lowerLetter"/>
      <w:start w:val="28"/>
    </w:lvl>
  </w:abstractNum>
  <w:abstractNum w:abstractNumId="39">
    <w:nsid w:val="32FFF902"/>
    <w:multiLevelType w:val="hybridMultilevel"/>
    <w:lvl w:ilvl="0">
      <w:lvlJc w:val="left"/>
      <w:lvlText w:val="(%1)"/>
      <w:numFmt w:val="lowerLetter"/>
      <w:start w:val="29"/>
    </w:lvl>
  </w:abstractNum>
  <w:abstractNum w:abstractNumId="40">
    <w:nsid w:val="684A481A"/>
    <w:multiLevelType w:val="hybridMultilevel"/>
    <w:lvl w:ilvl="0">
      <w:lvlJc w:val="left"/>
      <w:lvlText w:val="(%1)"/>
      <w:numFmt w:val="lowerLetter"/>
      <w:start w:val="33"/>
    </w:lvl>
  </w:abstractNum>
  <w:abstractNum w:abstractNumId="41">
    <w:nsid w:val="579478FE"/>
    <w:multiLevelType w:val="hybridMultilevel"/>
    <w:lvl w:ilvl="0">
      <w:lvlJc w:val="left"/>
      <w:lvlText w:val="%1"/>
      <w:numFmt w:val="lowerLetter"/>
      <w:start w:val="1"/>
    </w:lvl>
    <w:lvl w:ilvl="1">
      <w:lvlJc w:val="left"/>
      <w:lvlText w:val="(%2)"/>
      <w:numFmt w:val="lowerLetter"/>
      <w:start w:val="35"/>
    </w:lvl>
  </w:abstractNum>
  <w:abstractNum w:abstractNumId="42">
    <w:nsid w:val="749ABB43"/>
    <w:multiLevelType w:val="hybridMultilevel"/>
    <w:lvl w:ilvl="0">
      <w:lvlJc w:val="left"/>
      <w:lvlText w:val="(%1)"/>
      <w:numFmt w:val="lowerLetter"/>
      <w:start w:val="24"/>
    </w:lvl>
    <w:lvl w:ilvl="1">
      <w:lvlJc w:val="left"/>
      <w:lvlText w:val="(%2)"/>
      <w:numFmt w:val="lowerLetter"/>
      <w:start w:val="37"/>
    </w:lvl>
  </w:abstractNum>
  <w:abstractNum w:abstractNumId="43">
    <w:nsid w:val="3DC240FB"/>
    <w:multiLevelType w:val="hybridMultilevel"/>
    <w:lvl w:ilvl="0">
      <w:lvlJc w:val="left"/>
      <w:lvlText w:val="(%1)"/>
      <w:numFmt w:val="lowerLetter"/>
      <w:start w:val="24"/>
    </w:lvl>
    <w:lvl w:ilvl="1">
      <w:lvlJc w:val="left"/>
      <w:lvlText w:val="(%2)"/>
      <w:numFmt w:val="lowerLetter"/>
      <w:start w:val="39"/>
    </w:lvl>
  </w:abstractNum>
  <w:abstractNum w:abstractNumId="44">
    <w:nsid w:val="1BA026FA"/>
    <w:multiLevelType w:val="hybridMultilevel"/>
    <w:lvl w:ilvl="0">
      <w:lvlJc w:val="left"/>
      <w:lvlText w:val="%1"/>
      <w:numFmt w:val="lowerLetter"/>
      <w:start w:val="1"/>
    </w:lvl>
    <w:lvl w:ilvl="1">
      <w:lvlJc w:val="left"/>
      <w:lvlText w:val="(%2)"/>
      <w:numFmt w:val="lowerLetter"/>
      <w:start w:val="43"/>
    </w:lvl>
  </w:abstractNum>
  <w:abstractNum w:abstractNumId="45">
    <w:nsid w:val="79A1DEAA"/>
    <w:multiLevelType w:val="hybridMultilevel"/>
    <w:lvl w:ilvl="0">
      <w:lvlJc w:val="left"/>
      <w:lvlText w:val="(%1)"/>
      <w:numFmt w:val="lowerLetter"/>
      <w:start w:val="61"/>
    </w:lvl>
    <w:lvl w:ilvl="1">
      <w:lvlJc w:val="left"/>
      <w:lvlText w:val="%2"/>
      <w:numFmt w:val="lowerLetter"/>
      <w:start w:val="1"/>
    </w:lvl>
  </w:abstractNum>
  <w:abstractNum w:abstractNumId="46">
    <w:nsid w:val="75C6C33A"/>
    <w:multiLevelType w:val="hybridMultilevel"/>
    <w:lvl w:ilvl="0">
      <w:lvlJc w:val="left"/>
      <w:lvlText w:val="(%1)"/>
      <w:numFmt w:val="lowerRoman"/>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3"/>
    </w:lvl>
  </w:abstractNum>
  <w:abstractNum w:abstractNumId="49">
    <w:nsid w:val="520EEDD1"/>
    <w:multiLevelType w:val="hybridMultilevel"/>
    <w:lvl w:ilvl="0">
      <w:lvlJc w:val="left"/>
      <w:lvlText w:val="(%1)"/>
      <w:numFmt w:val="lowerLetter"/>
      <w:start w:val="8"/>
    </w:lvl>
  </w:abstractNum>
  <w:abstractNum w:abstractNumId="50">
    <w:nsid w:val="374A3FE6"/>
    <w:multiLevelType w:val="hybridMultilevel"/>
    <w:lvl w:ilvl="0">
      <w:lvlJc w:val="left"/>
      <w:lvlText w:val="(%1)"/>
      <w:numFmt w:val="lowerLetter"/>
      <w:start w:val="2"/>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bullet"/>
      <w:start w:val="1"/>
    </w:lvl>
  </w:abstractNum>
  <w:abstractNum w:abstractNumId="53">
    <w:nsid w:val="649BB77C"/>
    <w:multiLevelType w:val="hybridMultilevel"/>
    <w:lvl w:ilvl="0">
      <w:lvlJc w:val="left"/>
      <w:lvlText w:val="%1)"/>
      <w:numFmt w:val="lowerRoman"/>
      <w:start w:val="1"/>
    </w:lvl>
  </w:abstractNum>
  <w:abstractNum w:abstractNumId="54">
    <w:nsid w:val="275AC794"/>
    <w:multiLevelType w:val="hybridMultilevel"/>
    <w:lvl w:ilvl="0">
      <w:lvlJc w:val="left"/>
      <w:lvlText w:val="%1)"/>
      <w:numFmt w:val="lowerRoman"/>
      <w:start w:val="3"/>
    </w:lvl>
  </w:abstractNum>
  <w:abstractNum w:abstractNumId="55">
    <w:nsid w:val="39386575"/>
    <w:multiLevelType w:val="hybridMultilevel"/>
    <w:lvl w:ilvl="0">
      <w:lvlJc w:val="left"/>
      <w:lvlText w:val="(%1)"/>
      <w:numFmt w:val="lowerRoman"/>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2026-05-27T05:21:20Z</dcterms:created>
  <dcterms:modified xsi:type="dcterms:W3CDTF">2026-05-27T05:21:20Z</dcterms:modified>
</cp:coreProperties>
</file>