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rani-20260715.htm"/>
      <w:bookmarkStart w:id="1" w:name="ksrani20260715"/>
      <w:bookmarkEnd w:id="0"/>
      <w:bookmarkEnd w:id="1"/>
      <w:r>
        <w:rPr>
          <w:rFonts w:ascii="Times New Roman" w:hAnsi="Times New Roman"/>
          <w:b/>
          <w:color w:val="000000"/>
          <w:sz w:val="20"/>
        </w:rPr>
        <w:t>As filed with the U.S. Securities and Exchange Commission on July 15, 2026</w:t>
      </w:r>
    </w:p>
    <w:p>
      <w:pPr>
        <w:pStyle w:val="TextBody"/>
        <w:bidi w:val="0"/>
        <w:jc w:val="center"/>
        <w:rPr/>
      </w:pPr>
      <w:r>
        <w:rPr/>
        <w:t> </w:t>
      </w:r>
    </w:p>
    <w:p>
      <w:pPr>
        <w:pStyle w:val="TextBody"/>
        <w:pBdr>
          <w:bottom w:val="double" w:sz="4" w:space="1" w:color="000000"/>
        </w:pBdr>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S-8</w:t>
      </w:r>
    </w:p>
    <w:p>
      <w:pPr>
        <w:pStyle w:val="TextBody"/>
        <w:bidi w:val="0"/>
        <w:jc w:val="center"/>
        <w:rPr>
          <w:rFonts w:ascii="Times New Roman" w:hAnsi="Times New Roman"/>
          <w:b/>
          <w:color w:val="000000"/>
          <w:sz w:val="32"/>
        </w:rPr>
      </w:pPr>
      <w:r>
        <w:rPr>
          <w:rFonts w:ascii="Times New Roman" w:hAnsi="Times New Roman"/>
          <w:b/>
          <w:color w:val="000000"/>
          <w:sz w:val="32"/>
        </w:rPr>
        <w:t>REGISTRATION STATEMENT</w:t>
      </w:r>
    </w:p>
    <w:p>
      <w:pPr>
        <w:pStyle w:val="TextBody"/>
        <w:bidi w:val="0"/>
        <w:jc w:val="center"/>
        <w:rPr>
          <w:rFonts w:ascii="Times New Roman" w:hAnsi="Times New Roman"/>
          <w:b/>
          <w:i/>
          <w:color w:val="000000"/>
          <w:sz w:val="24"/>
        </w:rPr>
      </w:pPr>
      <w:r>
        <w:rPr>
          <w:rFonts w:ascii="Times New Roman" w:hAnsi="Times New Roman"/>
          <w:b/>
          <w:i/>
          <w:color w:val="000000"/>
          <w:sz w:val="24"/>
        </w:rPr>
        <w:t>UNDER</w:t>
      </w:r>
    </w:p>
    <w:p>
      <w:pPr>
        <w:pStyle w:val="TextBody"/>
        <w:bidi w:val="0"/>
        <w:jc w:val="center"/>
        <w:rPr>
          <w:rFonts w:ascii="Times New Roman" w:hAnsi="Times New Roman"/>
          <w:b/>
          <w:i/>
          <w:color w:val="000000"/>
          <w:sz w:val="24"/>
        </w:rPr>
      </w:pPr>
      <w:r>
        <w:rPr>
          <w:rFonts w:ascii="Times New Roman" w:hAnsi="Times New Roman"/>
          <w:b/>
          <w:i/>
          <w:color w:val="000000"/>
          <w:sz w:val="24"/>
        </w:rPr>
        <w:t>THE SECURITIES ACT OF 1933</w:t>
      </w:r>
    </w:p>
    <w:p>
      <w:pPr>
        <w:pStyle w:val="TextBody"/>
        <w:pBdr>
          <w:bottom w:val="single" w:sz="6"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pBdr>
          <w:top w:val="single" w:sz="6" w:space="1" w:color="000000"/>
        </w:pBdr>
        <w:bidi w:val="0"/>
        <w:jc w:val="center"/>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2051 Ringwood Avenue</w:t>
      </w:r>
    </w:p>
    <w:p>
      <w:pPr>
        <w:pStyle w:val="TextBody"/>
        <w:bidi w:val="0"/>
        <w:jc w:val="center"/>
        <w:rPr>
          <w:rFonts w:ascii="Times New Roman" w:hAnsi="Times New Roman"/>
          <w:b/>
          <w:color w:val="000000"/>
          <w:sz w:val="20"/>
        </w:rPr>
      </w:pPr>
      <w:r>
        <w:rPr>
          <w:rFonts w:ascii="Times New Roman" w:hAnsi="Times New Roman"/>
          <w:b/>
          <w:color w:val="000000"/>
          <w:sz w:val="20"/>
        </w:rPr>
        <w:t>San Jose, California 95131</w:t>
      </w:r>
    </w:p>
    <w:p>
      <w:pPr>
        <w:pStyle w:val="TextBody"/>
        <w:bidi w:val="0"/>
        <w:jc w:val="center"/>
        <w:rPr>
          <w:rFonts w:ascii="Times New Roman" w:hAnsi="Times New Roman"/>
          <w:color w:val="000000"/>
          <w:sz w:val="20"/>
        </w:rPr>
      </w:pPr>
      <w:r>
        <w:rPr>
          <w:rFonts w:ascii="Times New Roman" w:hAnsi="Times New Roman"/>
          <w:color w:val="000000"/>
          <w:sz w:val="20"/>
        </w:rPr>
        <w:t xml:space="preserve">(Address of Principal Executive Offices) (Zip code)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 2026 Equity Inducement Plan</w:t>
      </w:r>
    </w:p>
    <w:p>
      <w:pPr>
        <w:pStyle w:val="TextBody"/>
        <w:bidi w:val="0"/>
        <w:jc w:val="center"/>
        <w:rPr>
          <w:rFonts w:ascii="Times New Roman" w:hAnsi="Times New Roman"/>
          <w:color w:val="000000"/>
          <w:sz w:val="20"/>
        </w:rPr>
      </w:pPr>
      <w:r>
        <w:rPr>
          <w:rFonts w:ascii="Times New Roman" w:hAnsi="Times New Roman"/>
          <w:color w:val="000000"/>
          <w:sz w:val="20"/>
        </w:rPr>
        <w:t>(Full titles of the plans)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Talat Imran</w:t>
      </w:r>
    </w:p>
    <w:p>
      <w:pPr>
        <w:pStyle w:val="TextBody"/>
        <w:bidi w:val="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Rani Therapeutics Holdings, Inc.</w:t>
      </w:r>
    </w:p>
    <w:p>
      <w:pPr>
        <w:pStyle w:val="TextBody"/>
        <w:bidi w:val="0"/>
        <w:jc w:val="center"/>
        <w:rPr>
          <w:rFonts w:ascii="Times New Roman" w:hAnsi="Times New Roman"/>
          <w:b/>
          <w:color w:val="000000"/>
          <w:sz w:val="20"/>
        </w:rPr>
      </w:pPr>
      <w:r>
        <w:rPr>
          <w:rFonts w:ascii="Times New Roman" w:hAnsi="Times New Roman"/>
          <w:b/>
          <w:color w:val="000000"/>
          <w:sz w:val="20"/>
        </w:rPr>
        <w:t>2051 Ringwood Avenue</w:t>
      </w:r>
    </w:p>
    <w:p>
      <w:pPr>
        <w:pStyle w:val="TextBody"/>
        <w:bidi w:val="0"/>
        <w:jc w:val="center"/>
        <w:rPr>
          <w:rFonts w:ascii="Times New Roman" w:hAnsi="Times New Roman"/>
          <w:b/>
          <w:color w:val="000000"/>
          <w:sz w:val="20"/>
        </w:rPr>
      </w:pPr>
      <w:r>
        <w:rPr>
          <w:rFonts w:ascii="Times New Roman" w:hAnsi="Times New Roman"/>
          <w:b/>
          <w:color w:val="000000"/>
          <w:sz w:val="20"/>
        </w:rPr>
        <w:t>San Jose, California 95131</w:t>
      </w:r>
    </w:p>
    <w:p>
      <w:pPr>
        <w:pStyle w:val="TextBody"/>
        <w:bidi w:val="0"/>
        <w:jc w:val="center"/>
        <w:rPr>
          <w:rFonts w:ascii="Times New Roman" w:hAnsi="Times New Roman"/>
          <w:b/>
          <w:color w:val="000000"/>
          <w:sz w:val="20"/>
        </w:rPr>
      </w:pPr>
      <w:r>
        <w:rPr>
          <w:rFonts w:ascii="Times New Roman" w:hAnsi="Times New Roman"/>
          <w:b/>
          <w:color w:val="000000"/>
          <w:sz w:val="20"/>
        </w:rPr>
        <w:t>(408) 457-3700</w:t>
      </w:r>
    </w:p>
    <w:p>
      <w:pPr>
        <w:pStyle w:val="TextBody"/>
        <w:bidi w:val="0"/>
        <w:jc w:val="center"/>
        <w:rPr>
          <w:rFonts w:ascii="Times New Roman" w:hAnsi="Times New Roman"/>
          <w:b/>
          <w:color w:val="000000"/>
          <w:sz w:val="16"/>
        </w:rPr>
      </w:pPr>
      <w:r>
        <w:rPr>
          <w:rFonts w:ascii="Times New Roman" w:hAnsi="Times New Roman"/>
          <w:b/>
          <w:color w:val="000000"/>
          <w:sz w:val="16"/>
        </w:rPr>
        <w:t>(Name and address of agent for service) (Telephone number, including area code, of agent for service)</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John McKenna</w:t>
            </w:r>
          </w:p>
          <w:p>
            <w:pPr>
              <w:pStyle w:val="TableContents"/>
              <w:bidi w:val="0"/>
              <w:jc w:val="center"/>
              <w:rPr>
                <w:rFonts w:ascii="Times New Roman" w:hAnsi="Times New Roman"/>
                <w:b/>
                <w:color w:val="000000"/>
                <w:sz w:val="20"/>
              </w:rPr>
            </w:pPr>
            <w:r>
              <w:rPr>
                <w:rFonts w:ascii="Times New Roman" w:hAnsi="Times New Roman"/>
                <w:b/>
                <w:color w:val="000000"/>
                <w:sz w:val="20"/>
              </w:rPr>
              <w:t>Cooley LLP</w:t>
            </w:r>
          </w:p>
          <w:p>
            <w:pPr>
              <w:pStyle w:val="TableContents"/>
              <w:bidi w:val="0"/>
              <w:jc w:val="center"/>
              <w:rPr>
                <w:rFonts w:ascii="Times New Roman" w:hAnsi="Times New Roman"/>
                <w:b/>
                <w:color w:val="000000"/>
                <w:sz w:val="20"/>
              </w:rPr>
            </w:pPr>
            <w:r>
              <w:rPr>
                <w:rFonts w:ascii="Times New Roman" w:hAnsi="Times New Roman"/>
                <w:b/>
                <w:color w:val="000000"/>
                <w:sz w:val="20"/>
              </w:rPr>
              <w:t>3175 Hanover Street</w:t>
            </w:r>
          </w:p>
          <w:p>
            <w:pPr>
              <w:pStyle w:val="TableContents"/>
              <w:bidi w:val="0"/>
              <w:jc w:val="center"/>
              <w:rPr>
                <w:rFonts w:ascii="Times New Roman" w:hAnsi="Times New Roman"/>
                <w:b/>
                <w:color w:val="000000"/>
                <w:sz w:val="20"/>
              </w:rPr>
            </w:pPr>
            <w:r>
              <w:rPr>
                <w:rFonts w:ascii="Times New Roman" w:hAnsi="Times New Roman"/>
                <w:b/>
                <w:color w:val="000000"/>
                <w:sz w:val="20"/>
              </w:rPr>
              <w:t>Palo Alto, California 94304</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843-5000</w:t>
            </w:r>
          </w:p>
        </w:tc>
      </w:tr>
    </w:tbl>
    <w:p>
      <w:pPr>
        <w:pStyle w:val="TextBody"/>
        <w:pBdr>
          <w:bottom w:val="single" w:sz="6" w:space="1" w:color="000000"/>
        </w:pBdr>
        <w:bidi w:val="0"/>
        <w:jc w:val="center"/>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7" w:type="dxa"/>
        <w:jc w:val="left"/>
        <w:tblInd w:w="0" w:type="dxa"/>
        <w:tblLayout w:type="fixed"/>
        <w:tblCellMar>
          <w:top w:w="28" w:type="dxa"/>
          <w:left w:w="28" w:type="dxa"/>
          <w:bottom w:w="28" w:type="dxa"/>
          <w:right w:w="28" w:type="dxa"/>
        </w:tblCellMar>
      </w:tblPr>
      <w:tblGrid>
        <w:gridCol w:w="2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both"/>
              <w:rPr/>
            </w:pPr>
            <w:r>
              <w:rPr/>
              <w:t> </w:t>
            </w:r>
          </w:p>
        </w:tc>
        <w:tc>
          <w:tcPr>
            <w:tcW w:w="25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40"/>
        <w:jc w:val="both"/>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40"/>
        <w:jc w:val="left"/>
        <w:rPr>
          <w:rFonts w:ascii="Times New Roman" w:hAnsi="Times New Roman"/>
          <w:sz w:val="20"/>
        </w:rPr>
      </w:pPr>
      <w:r>
        <w:rPr>
          <w:rFonts w:ascii="Times New Roman" w:hAnsi="Times New Roman"/>
          <w:color w:val="000000"/>
          <w:sz w:val="20"/>
        </w:rPr>
        <w:t>Rani Therapeutics Holdings, Inc. (the “</w:t>
      </w:r>
      <w:r>
        <w:rPr>
          <w:rFonts w:ascii="Times New Roman" w:hAnsi="Times New Roman"/>
          <w:b/>
          <w:color w:val="000000"/>
          <w:sz w:val="20"/>
        </w:rPr>
        <w:t>Registrant</w:t>
      </w:r>
      <w:r>
        <w:rPr>
          <w:rFonts w:ascii="Times New Roman" w:hAnsi="Times New Roman"/>
          <w:color w:val="000000"/>
          <w:sz w:val="20"/>
        </w:rPr>
        <w:t>”) is filing this Registration Statement on Form S-8 with the Securities and Exchange (the “</w:t>
      </w:r>
      <w:r>
        <w:rPr>
          <w:rFonts w:ascii="Times New Roman" w:hAnsi="Times New Roman"/>
          <w:b/>
          <w:color w:val="000000"/>
          <w:sz w:val="20"/>
        </w:rPr>
        <w:t>SEC</w:t>
      </w:r>
      <w:r>
        <w:rPr>
          <w:rFonts w:ascii="Times New Roman" w:hAnsi="Times New Roman"/>
          <w:color w:val="000000"/>
          <w:sz w:val="20"/>
        </w:rPr>
        <w:t>”) for the purpose of registering 5,500,000 shares of Class A common stock to be issued pursuant to the Rani Therapeutics Holdings, Inc. 2026 Equity Inducement Plan (the “</w:t>
      </w:r>
      <w:r>
        <w:rPr>
          <w:rFonts w:ascii="Times New Roman" w:hAnsi="Times New Roman"/>
          <w:b/>
          <w:color w:val="000000"/>
          <w:sz w:val="20"/>
        </w:rPr>
        <w:t>2026 Plan</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left"/>
        <w:rPr>
          <w:rFonts w:ascii="Times New Roman" w:hAnsi="Times New Roman"/>
          <w:color w:val="000000"/>
          <w:sz w:val="20"/>
        </w:rPr>
      </w:pPr>
      <w:r>
        <w:rPr>
          <w:rFonts w:ascii="Times New Roman" w:hAnsi="Times New Roman"/>
          <w:color w:val="000000"/>
          <w:sz w:val="20"/>
        </w:rPr>
        <w:t>As permitted by the rules of the Commission, this Registration Statement omits the information specified in Part I of Form S-8. The documents containing the information specified in Part I will be delivered to the participants in the 2026 Plan, as required by Rule 428(b)(1) under the Securities Act of 1933, as amended.</w:t>
      </w:r>
    </w:p>
    <w:p>
      <w:pPr>
        <w:pStyle w:val="TextBody"/>
        <w:bidi w:val="0"/>
        <w:jc w:val="left"/>
        <w:rPr/>
      </w:pPr>
      <w:r>
        <w:rPr/>
        <w:t> </w:t>
      </w:r>
    </w:p>
    <w:p>
      <w:pPr>
        <w:pStyle w:val="TextBody"/>
        <w:bidi w:val="0"/>
        <w:jc w:val="left"/>
        <w:rPr/>
      </w:pPr>
      <w:r>
        <w:rPr/>
        <w:t> </w:t>
      </w:r>
    </w:p>
    <w:p>
      <w:pPr>
        <w:pStyle w:val="TextBody"/>
        <w:bidi w:val="0"/>
        <w:spacing w:before="0" w:after="24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40"/>
        <w:jc w:val="both"/>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3. Incorporation Of Certain Documents By Reference.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documents filed by the Registrant with the SEC are incorporated by reference into this Registration Statement: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(a)</w:t>
      </w:r>
    </w:p>
    <w:p>
      <w:pPr>
        <w:pStyle w:val="TextBody"/>
        <w:bidi w:val="0"/>
        <w:spacing w:before="0" w:after="120"/>
        <w:jc w:val="left"/>
        <w:rPr/>
      </w:pPr>
      <w:r>
        <w:rPr>
          <w:rFonts w:ascii="Times New Roman" w:hAnsi="Times New Roman"/>
          <w:color w:val="000000"/>
          <w:sz w:val="20"/>
        </w:rPr>
        <w:t xml:space="preserve">The Registrant’s Annual Report on </w:t>
      </w:r>
      <w:hyperlink r:id="rId2">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 xml:space="preserve">for the year ended December 31, 2025, filed with the SEC on March 26, 2026;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(b)</w:t>
      </w:r>
    </w:p>
    <w:p>
      <w:pPr>
        <w:pStyle w:val="TextBody"/>
        <w:bidi w:val="0"/>
        <w:spacing w:before="0" w:after="240"/>
        <w:jc w:val="left"/>
        <w:rPr/>
      </w:pPr>
      <w:r>
        <w:rPr>
          <w:rFonts w:ascii="Times New Roman" w:hAnsi="Times New Roman"/>
          <w:color w:val="000000"/>
          <w:sz w:val="20"/>
        </w:rPr>
        <w:t xml:space="preserve">our Quarterly Report on </w:t>
      </w:r>
      <w:hyperlink r:id="rId3">
        <w:r>
          <w:rPr>
            <w:rStyle w:val="InternetLink"/>
            <w:rFonts w:ascii="Times New Roman" w:hAnsi="Times New Roman"/>
            <w:color w:val="0000FF"/>
            <w:sz w:val="20"/>
            <w:u w:val="single"/>
          </w:rPr>
          <w:t>Form 10-Q</w:t>
        </w:r>
      </w:hyperlink>
      <w:r>
        <w:rPr>
          <w:color w:val="000000"/>
        </w:rPr>
        <w:t xml:space="preserve"> </w:t>
      </w:r>
      <w:r>
        <w:rPr>
          <w:rFonts w:ascii="Times New Roman" w:hAnsi="Times New Roman"/>
          <w:color w:val="000000"/>
          <w:sz w:val="20"/>
        </w:rPr>
        <w:t>for the quarterly period ended March 31, 2026, filed with the SEC on May 15,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w:t>
      </w:r>
    </w:p>
    <w:p>
      <w:pPr>
        <w:pStyle w:val="TextBody"/>
        <w:bidi w:val="0"/>
        <w:spacing w:before="0" w:after="240"/>
        <w:jc w:val="left"/>
        <w:rPr/>
      </w:pPr>
      <w:r>
        <w:rPr>
          <w:rFonts w:ascii="Times New Roman" w:hAnsi="Times New Roman"/>
          <w:color w:val="000000"/>
          <w:sz w:val="20"/>
        </w:rPr>
        <w:t xml:space="preserve">the information specifically incorporated by reference into our Annual Report on </w:t>
      </w:r>
      <w:hyperlink r:id="rId4">
        <w:r>
          <w:rPr>
            <w:rStyle w:val="InternetLink"/>
            <w:rFonts w:ascii="Times New Roman" w:hAnsi="Times New Roman"/>
            <w:color w:val="0000FF"/>
            <w:sz w:val="20"/>
            <w:u w:val="single"/>
          </w:rPr>
          <w:t>Form 10-K</w:t>
        </w:r>
      </w:hyperlink>
      <w:r>
        <w:rPr>
          <w:color w:val="000000"/>
        </w:rPr>
        <w:t xml:space="preserve"> </w:t>
      </w:r>
      <w:r>
        <w:rPr>
          <w:rFonts w:ascii="Times New Roman" w:hAnsi="Times New Roman"/>
          <w:color w:val="000000"/>
          <w:sz w:val="20"/>
        </w:rPr>
        <w:t xml:space="preserve">for the year ended December 31, 2025 form our Definitive Proxy Statement on </w:t>
      </w:r>
      <w:hyperlink r:id="rId5">
        <w:r>
          <w:rPr>
            <w:rStyle w:val="InternetLink"/>
            <w:rFonts w:ascii="Times New Roman" w:hAnsi="Times New Roman"/>
            <w:color w:val="0000FF"/>
            <w:sz w:val="20"/>
            <w:u w:val="single"/>
          </w:rPr>
          <w:t>Schedule 14A</w:t>
        </w:r>
      </w:hyperlink>
      <w:r>
        <w:rPr>
          <w:rFonts w:ascii="Times New Roman" w:hAnsi="Times New Roman"/>
          <w:color w:val="000000"/>
          <w:sz w:val="20"/>
        </w:rPr>
        <w:t>, filed with the SEC on April 16, 2026;</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w:t>
      </w:r>
    </w:p>
    <w:p>
      <w:pPr>
        <w:pStyle w:val="TextBody"/>
        <w:bidi w:val="0"/>
        <w:spacing w:before="0" w:after="240"/>
        <w:jc w:val="left"/>
        <w:rPr/>
      </w:pPr>
      <w:r>
        <w:rPr>
          <w:rFonts w:ascii="Times New Roman" w:hAnsi="Times New Roman"/>
          <w:color w:val="000000"/>
          <w:sz w:val="20"/>
        </w:rPr>
        <w:t xml:space="preserve">Our Current Reports on Form 8-K filed with the SEC on </w:t>
      </w:r>
      <w:hyperlink r:id="rId6">
        <w:r>
          <w:rPr>
            <w:rStyle w:val="InternetLink"/>
            <w:rFonts w:ascii="Times New Roman" w:hAnsi="Times New Roman"/>
            <w:color w:val="0000FF"/>
            <w:sz w:val="20"/>
            <w:u w:val="single"/>
          </w:rPr>
          <w:t>January 2,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May 15,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May 27,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29, 2026</w:t>
        </w:r>
      </w:hyperlink>
      <w:r>
        <w:rPr>
          <w:color w:val="000000"/>
        </w:rPr>
        <w:t xml:space="preserve"> </w:t>
      </w:r>
      <w:r>
        <w:rPr>
          <w:rFonts w:ascii="Times New Roman" w:hAnsi="Times New Roman"/>
          <w:color w:val="000000"/>
          <w:sz w:val="20"/>
        </w:rPr>
        <w:t xml:space="preserve">and </w:t>
      </w:r>
      <w:hyperlink r:id="rId10">
        <w:r>
          <w:rPr>
            <w:rStyle w:val="InternetLink"/>
            <w:rFonts w:ascii="Times New Roman" w:hAnsi="Times New Roman"/>
            <w:color w:val="0000FF"/>
            <w:sz w:val="20"/>
            <w:u w:val="single"/>
          </w:rPr>
          <w:t>June 30, 2026</w:t>
        </w:r>
      </w:hyperlink>
      <w:r>
        <w:rPr>
          <w:rFonts w:ascii="Times New Roman" w:hAnsi="Times New Roman"/>
          <w:color w:val="000000"/>
          <w:sz w:val="20"/>
        </w:rPr>
        <w:t xml:space="preserve">; and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(e)</w:t>
      </w:r>
    </w:p>
    <w:p>
      <w:pPr>
        <w:pStyle w:val="TextBody"/>
        <w:bidi w:val="0"/>
        <w:spacing w:before="0" w:after="240"/>
        <w:jc w:val="left"/>
        <w:rPr/>
      </w:pPr>
      <w:r>
        <w:rPr>
          <w:rFonts w:ascii="Times New Roman" w:hAnsi="Times New Roman"/>
          <w:color w:val="000000"/>
          <w:sz w:val="20"/>
        </w:rPr>
        <w:t xml:space="preserve">The description of the Registrant’s Class A common stock which is contained in </w:t>
      </w:r>
      <w:hyperlink r:id="rId11">
        <w:r>
          <w:rPr>
            <w:rStyle w:val="InternetLink"/>
            <w:rFonts w:ascii="Times New Roman" w:hAnsi="Times New Roman"/>
            <w:color w:val="0000FF"/>
            <w:sz w:val="20"/>
            <w:u w:val="single"/>
          </w:rPr>
          <w:t>Exhibit 4.2</w:t>
        </w:r>
      </w:hyperlink>
      <w:r>
        <w:rPr>
          <w:color w:val="000000"/>
        </w:rPr>
        <w:t xml:space="preserve"> </w:t>
      </w:r>
      <w:r>
        <w:rPr>
          <w:rFonts w:ascii="Times New Roman" w:hAnsi="Times New Roman"/>
          <w:color w:val="000000"/>
          <w:sz w:val="20"/>
        </w:rPr>
        <w:t>to our Annual Report on Form 10-K for the year ended December 31, 2025 filed with the SEC on March 26, 2026.</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other reports and documents subsequently filed with the Commission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both"/>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5228"/>
        <w:gridCol w:w="146"/>
        <w:gridCol w:w="796"/>
        <w:gridCol w:w="146"/>
        <w:gridCol w:w="943"/>
        <w:gridCol w:w="146"/>
        <w:gridCol w:w="676"/>
        <w:gridCol w:w="146"/>
        <w:gridCol w:w="1066"/>
      </w:tblGrid>
      <w:tr>
        <w:trPr/>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22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2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7" w:type="dxa"/>
            <w:gridSpan w:val="5"/>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Incorporated by Reference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w:t>
              <w:br/>
              <w:t>Number</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pPr>
            <w:r>
              <w:rPr/>
              <w:t> </w:t>
            </w:r>
          </w:p>
        </w:tc>
        <w:tc>
          <w:tcPr>
            <w:tcW w:w="5228"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146" w:type="dxa"/>
            <w:tcBorders>
              <w:bottom w:val="single" w:sz="4" w:space="0" w:color="000000"/>
            </w:tcBorders>
            <w:tcMar>
              <w:top w:w="0" w:type="dxa"/>
              <w:left w:w="0" w:type="dxa"/>
              <w:bottom w:w="29"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Schedule</w:t>
              <w:br/>
              <w:t>Form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File Number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8"/>
                  <w:u w:val="single"/>
                </w:rPr>
                <w:t>Amended and Restated Certificate of Incorporation of the Registrant,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001-40672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 2, 2026</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8"/>
                  <w:u w:val="single"/>
                </w:rPr>
                <w:t>Amended and Restated Bylaws of the Registrant, as currently in effect.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001-40672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January 2, 2026</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Specimen Class A common stock certificate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333-257809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July 26, 2021</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5.1*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w:anchor="rani-ex5_1.htm">
              <w:r>
                <w:rPr>
                  <w:rStyle w:val="InternetLink"/>
                  <w:rFonts w:ascii="Times New Roman" w:hAnsi="Times New Roman"/>
                  <w:color w:val="0000FF"/>
                  <w:sz w:val="18"/>
                  <w:u w:val="single"/>
                </w:rPr>
                <w:t xml:space="preserve">Opinion of Cooley </w:t>
              </w:r>
            </w:hyperlink>
            <w:hyperlink w:anchor="rani-ex5_1.htm">
              <w:r>
                <w:rPr>
                  <w:rStyle w:val="InternetLink"/>
                  <w:rFonts w:ascii="Times New Roman" w:hAnsi="Times New Roman"/>
                  <w:smallCaps/>
                  <w:color w:val="0000FF"/>
                  <w:sz w:val="18"/>
                  <w:u w:val="single"/>
                </w:rPr>
                <w:t>LLP.</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w:anchor="rani-ex5_1.htm">
              <w:r>
                <w:rPr>
                  <w:rStyle w:val="InternetLink"/>
                  <w:rFonts w:ascii="Times New Roman" w:hAnsi="Times New Roman"/>
                  <w:color w:val="0000FF"/>
                  <w:sz w:val="18"/>
                  <w:u w:val="single"/>
                </w:rPr>
                <w:t>Consent of Cooley LLP (included in Exhibit 5.1).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w:anchor="rani-ex23_2.htm">
              <w:r>
                <w:rPr>
                  <w:rStyle w:val="InternetLink"/>
                  <w:rFonts w:ascii="Times New Roman" w:hAnsi="Times New Roman"/>
                  <w:color w:val="0000FF"/>
                  <w:sz w:val="18"/>
                  <w:u w:val="single"/>
                </w:rPr>
                <w:t>Consent of Marcum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w:anchor="rani-ex23_3.htm">
              <w:r>
                <w:rPr>
                  <w:rStyle w:val="InternetLink"/>
                  <w:rFonts w:ascii="Times New Roman" w:hAnsi="Times New Roman"/>
                  <w:color w:val="0000FF"/>
                  <w:sz w:val="18"/>
                  <w:u w:val="single"/>
                </w:rPr>
                <w:t>Consent of CBIZ CPAs P.C.,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18"/>
                  <w:u w:val="single"/>
                </w:rPr>
                <w:t>Power of Attorney (included on the signature page of this registration statement).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99.1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8"/>
                  <w:u w:val="single"/>
                </w:rPr>
                <w:t>Rani Therapeutics Holdings, Inc. 2026 Equity Inducement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001-40672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30, 2026</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Forms of Stock Option Agreement under the Rani Therapeutics Holdings, Inc. 2026 Equity Inducement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001-40672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 30, 2026</w:t>
            </w:r>
          </w:p>
        </w:tc>
      </w:tr>
      <w:tr>
        <w:trPr/>
        <w:tc>
          <w:tcPr>
            <w:tcW w:w="7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228" w:type="dxa"/>
            <w:tcBorders/>
            <w:tcMar>
              <w:top w:w="0" w:type="dxa"/>
              <w:left w:w="0" w:type="dxa"/>
              <w:bottom w:w="0" w:type="dxa"/>
              <w:right w:w="0" w:type="dxa"/>
            </w:tcMar>
            <w:vAlign w:val="center"/>
          </w:tcPr>
          <w:p>
            <w:pPr>
              <w:pStyle w:val="TableContents"/>
              <w:bidi w:val="0"/>
              <w:spacing w:before="0" w:after="283"/>
              <w:jc w:val="left"/>
              <w:rPr/>
            </w:pPr>
            <w:hyperlink w:anchor="rani-exfiling_fees.htm">
              <w:r>
                <w:rPr>
                  <w:rStyle w:val="InternetLink"/>
                  <w:rFonts w:ascii="Times New Roman" w:hAnsi="Times New Roman"/>
                  <w:color w:val="0000FF"/>
                  <w:sz w:val="18"/>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both"/>
        <w:rPr/>
      </w:pPr>
      <w:r>
        <w:rPr/>
        <w:t> </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0" w:after="1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July 15, 2026.</w:t>
      </w:r>
    </w:p>
    <w:p>
      <w:pPr>
        <w:pStyle w:val="TextBody"/>
        <w:bidi w:val="0"/>
        <w:jc w:val="both"/>
        <w:rPr/>
      </w:pPr>
      <w:r>
        <w:rPr/>
        <w:t> </w:t>
      </w:r>
    </w:p>
    <w:tbl>
      <w:tblPr>
        <w:tblW w:w="3521" w:type="dxa"/>
        <w:jc w:val="left"/>
        <w:tblInd w:w="0" w:type="dxa"/>
        <w:tblLayout w:type="fixed"/>
        <w:tblCellMar>
          <w:top w:w="28" w:type="dxa"/>
          <w:left w:w="28" w:type="dxa"/>
          <w:bottom w:w="28" w:type="dxa"/>
          <w:right w:w="28" w:type="dxa"/>
        </w:tblCellMar>
      </w:tblPr>
      <w:tblGrid>
        <w:gridCol w:w="161"/>
        <w:gridCol w:w="550"/>
        <w:gridCol w:w="2810"/>
      </w:tblGrid>
      <w:tr>
        <w:trPr/>
        <w:tc>
          <w:tcPr>
            <w:tcW w:w="16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smallCaps/>
                <w:color w:val="000000"/>
                <w:sz w:val="20"/>
              </w:rPr>
            </w:pPr>
            <w:r>
              <w:rPr>
                <w:rFonts w:ascii="Times New Roman" w:hAnsi="Times New Roman"/>
                <w:b/>
                <w:smallCaps/>
                <w:color w:val="000000"/>
                <w:sz w:val="20"/>
              </w:rPr>
              <w:t>Rani Therapeutics Holdings,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pPr>
            <w:r>
              <w:rPr/>
              <w:t> </w:t>
            </w:r>
          </w:p>
        </w:tc>
        <w:tc>
          <w:tcPr>
            <w:tcW w:w="281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1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pPr>
            <w:r>
              <w:rPr/>
              <w:t> </w:t>
            </w:r>
          </w:p>
        </w:tc>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left"/>
              <w:rPr/>
            </w:pPr>
            <w:r>
              <w:rPr/>
              <w:t> </w:t>
            </w:r>
          </w:p>
        </w:tc>
        <w:tc>
          <w:tcPr>
            <w:tcW w:w="28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spacing w:before="0" w:after="240"/>
        <w:jc w:val="center"/>
        <w:rPr>
          <w:rFonts w:ascii="Times New Roman" w:hAnsi="Times New Roman"/>
          <w:b/>
          <w:color w:val="000000"/>
          <w:sz w:val="20"/>
        </w:rPr>
      </w:pPr>
      <w:bookmarkStart w:id="2" w:name="power_of_attorney"/>
      <w:bookmarkEnd w:id="2"/>
      <w:r>
        <w:rPr>
          <w:rFonts w:ascii="Times New Roman" w:hAnsi="Times New Roman"/>
          <w:b/>
          <w:color w:val="000000"/>
          <w:sz w:val="20"/>
        </w:rPr>
        <w:t>POWER OF ATTORNEY</w:t>
      </w:r>
    </w:p>
    <w:p>
      <w:pPr>
        <w:pStyle w:val="TextBody"/>
        <w:bidi w:val="0"/>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constitutes and appoints Talat Imran and Nicholas M. Maestas, and each or any one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substitutes or substitute, may lawfully do or cause to be done by virtue 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this Registration Statement has been signed by the following persons in the capacities and on the dates indicated. </w:t>
      </w:r>
    </w:p>
    <w:p>
      <w:pPr>
        <w:pStyle w:val="TextBody"/>
        <w:bidi w:val="0"/>
        <w:jc w:val="left"/>
        <w:rPr/>
      </w:pPr>
      <w:r>
        <w:rPr/>
        <w:t> </w:t>
      </w:r>
    </w:p>
    <w:p>
      <w:pPr>
        <w:pStyle w:val="TextBody"/>
        <w:bidi w:val="0"/>
        <w:jc w:val="left"/>
        <w:rPr/>
      </w:pPr>
      <w:r>
        <w:rPr/>
        <w:t> </w:t>
      </w:r>
    </w:p>
    <w:tbl>
      <w:tblPr>
        <w:tblW w:w="7435" w:type="dxa"/>
        <w:jc w:val="left"/>
        <w:tblInd w:w="0" w:type="dxa"/>
        <w:tblLayout w:type="fixed"/>
        <w:tblCellMar>
          <w:top w:w="28" w:type="dxa"/>
          <w:left w:w="28" w:type="dxa"/>
          <w:bottom w:w="28" w:type="dxa"/>
          <w:right w:w="28" w:type="dxa"/>
        </w:tblCellMar>
      </w:tblPr>
      <w:tblGrid>
        <w:gridCol w:w="2056"/>
        <w:gridCol w:w="146"/>
        <w:gridCol w:w="3826"/>
        <w:gridCol w:w="146"/>
        <w:gridCol w:w="1261"/>
      </w:tblGrid>
      <w:tr>
        <w:trPr/>
        <w:tc>
          <w:tcPr>
            <w:tcW w:w="20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pBdr>
                <w:bottom w:val="single" w:sz="2"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pBdr>
                <w:bottom w:val="single" w:sz="2"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tcMar>
              <w:top w:w="0" w:type="dxa"/>
              <w:left w:w="0" w:type="dxa"/>
              <w:bottom w:w="0" w:type="dxa"/>
              <w:right w:w="0" w:type="dxa"/>
            </w:tcMar>
            <w:vAlign w:val="center"/>
          </w:tcPr>
          <w:p>
            <w:pPr>
              <w:pStyle w:val="TableContents"/>
              <w:pBdr>
                <w:bottom w:val="single" w:sz="2" w:space="1" w:color="000000"/>
              </w:pBdr>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Talat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Talat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Nicholas M. Maestas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Nicholas M. Maestas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Mir Imran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Mir Imran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Dennis Ausiello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Dennis Ausiello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Jean-Luc Butel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Jean-Luc Butel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Abraham Bassan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Abraham Bassan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Vasudev Bailey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Vasudev Bailey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Lisa Rometty</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15, 2026</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Lisa Rometty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rani-ex5_1.htm"/>
      <w:bookmarkStart w:id="4" w:name="ksraniex5_1"/>
      <w:bookmarkEnd w:id="3"/>
      <w:bookmarkEnd w:id="4"/>
      <w:r>
        <w:rPr>
          <w:rFonts w:ascii="Times New Roman" w:hAnsi="Times New Roman"/>
          <w:b/>
          <w:color w:val="000000"/>
          <w:sz w:val="20"/>
        </w:rPr>
        <w:t>Exhibit 5.1</w:t>
      </w:r>
      <w:r>
        <w:br w:type="page"/>
      </w:r>
    </w:p>
    <w:p>
      <w:pPr>
        <w:pStyle w:val="TextBody"/>
        <w:bidi w:val="0"/>
        <w:spacing w:before="0" w:after="400"/>
        <w:jc w:val="left"/>
        <w:rPr/>
      </w:pPr>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1295400" cy="428625"/>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John McKenna</w:t>
      </w:r>
    </w:p>
    <w:p>
      <w:pPr>
        <w:pStyle w:val="TextBody"/>
        <w:bidi w:val="0"/>
        <w:jc w:val="left"/>
        <w:rPr>
          <w:rFonts w:ascii="Times New Roman" w:hAnsi="Times New Roman"/>
          <w:sz w:val="20"/>
        </w:rPr>
      </w:pPr>
      <w:r>
        <w:rPr>
          <w:rFonts w:ascii="Arial" w:hAnsi="Arial"/>
          <w:color w:val="000000"/>
          <w:sz w:val="20"/>
        </w:rPr>
        <w:t>+</w:t>
      </w:r>
      <w:r>
        <w:rPr>
          <w:rFonts w:ascii="Arial" w:hAnsi="Arial"/>
          <w:color w:val="2B2420"/>
          <w:sz w:val="20"/>
        </w:rPr>
        <w:t>1 650 843 5059</w:t>
      </w:r>
    </w:p>
    <w:p>
      <w:pPr>
        <w:pStyle w:val="TextBody"/>
        <w:bidi w:val="0"/>
        <w:spacing w:before="0" w:after="400"/>
        <w:jc w:val="left"/>
        <w:rPr>
          <w:rFonts w:ascii="Arial" w:hAnsi="Arial"/>
          <w:color w:val="000000"/>
          <w:sz w:val="20"/>
        </w:rPr>
      </w:pPr>
      <w:r>
        <w:rPr>
          <w:rFonts w:ascii="Arial" w:hAnsi="Arial"/>
          <w:color w:val="000000"/>
          <w:sz w:val="20"/>
        </w:rPr>
        <w:t>jmckenna@cooley.com</w:t>
      </w:r>
    </w:p>
    <w:p>
      <w:pPr>
        <w:pStyle w:val="TextBody"/>
        <w:bidi w:val="0"/>
        <w:spacing w:before="240" w:after="283"/>
        <w:jc w:val="left"/>
        <w:rPr>
          <w:rFonts w:ascii="Arial" w:hAnsi="Arial"/>
          <w:color w:val="000000"/>
          <w:sz w:val="20"/>
        </w:rPr>
      </w:pPr>
      <w:r>
        <w:rPr>
          <w:rFonts w:ascii="Arial" w:hAnsi="Arial"/>
          <w:color w:val="000000"/>
          <w:sz w:val="20"/>
        </w:rPr>
        <w:t>July 15, 2026</w:t>
      </w:r>
    </w:p>
    <w:p>
      <w:pPr>
        <w:pStyle w:val="TextBody"/>
        <w:bidi w:val="0"/>
        <w:spacing w:before="240" w:after="283"/>
        <w:jc w:val="left"/>
        <w:rPr>
          <w:rFonts w:ascii="Arial" w:hAnsi="Arial"/>
          <w:color w:val="000000"/>
          <w:sz w:val="20"/>
        </w:rPr>
      </w:pPr>
      <w:r>
        <w:rPr>
          <w:rFonts w:ascii="Arial" w:hAnsi="Arial"/>
          <w:color w:val="000000"/>
          <w:sz w:val="20"/>
        </w:rPr>
        <w:t>Rani Therapeutics Holdings, Inc.</w:t>
      </w:r>
    </w:p>
    <w:p>
      <w:pPr>
        <w:pStyle w:val="TextBody"/>
        <w:bidi w:val="0"/>
        <w:jc w:val="left"/>
        <w:rPr>
          <w:rFonts w:ascii="Arial" w:hAnsi="Arial"/>
          <w:color w:val="000000"/>
          <w:sz w:val="20"/>
        </w:rPr>
      </w:pPr>
      <w:r>
        <w:rPr>
          <w:rFonts w:ascii="Arial" w:hAnsi="Arial"/>
          <w:color w:val="000000"/>
          <w:sz w:val="20"/>
        </w:rPr>
        <w:t>2051 Ringwood Avenue</w:t>
      </w:r>
    </w:p>
    <w:p>
      <w:pPr>
        <w:pStyle w:val="TextBody"/>
        <w:bidi w:val="0"/>
        <w:jc w:val="left"/>
        <w:rPr>
          <w:rFonts w:ascii="Arial" w:hAnsi="Arial"/>
          <w:color w:val="000000"/>
          <w:sz w:val="20"/>
        </w:rPr>
      </w:pPr>
      <w:r>
        <w:rPr>
          <w:rFonts w:ascii="Arial" w:hAnsi="Arial"/>
          <w:color w:val="000000"/>
          <w:sz w:val="20"/>
        </w:rPr>
        <w:t>San Jose, California 95131</w:t>
      </w:r>
    </w:p>
    <w:p>
      <w:pPr>
        <w:pStyle w:val="TextBody"/>
        <w:bidi w:val="0"/>
        <w:spacing w:before="240" w:after="283"/>
        <w:jc w:val="left"/>
        <w:rPr>
          <w:rFonts w:ascii="Arial" w:hAnsi="Arial"/>
          <w:b/>
          <w:color w:val="000000"/>
          <w:sz w:val="20"/>
        </w:rPr>
      </w:pPr>
      <w:r>
        <w:rPr>
          <w:rFonts w:ascii="Arial" w:hAnsi="Arial"/>
          <w:b/>
          <w:color w:val="000000"/>
          <w:sz w:val="20"/>
        </w:rPr>
        <w:t>Re: Registration Statement on Form S-8</w:t>
      </w:r>
    </w:p>
    <w:p>
      <w:pPr>
        <w:pStyle w:val="TextBody"/>
        <w:bidi w:val="0"/>
        <w:spacing w:before="240" w:after="283"/>
        <w:jc w:val="left"/>
        <w:rPr>
          <w:rFonts w:ascii="Arial" w:hAnsi="Arial"/>
          <w:color w:val="000000"/>
          <w:sz w:val="20"/>
        </w:rPr>
      </w:pPr>
      <w:r>
        <w:rPr>
          <w:rFonts w:ascii="Arial" w:hAnsi="Arial"/>
          <w:color w:val="000000"/>
          <w:sz w:val="20"/>
        </w:rPr>
        <w:t>Ladies and Gentlemen:</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We have acted as counsel to Rani Therapeutics Holdings, Inc., a Delaware corporation (the “</w:t>
      </w:r>
      <w:r>
        <w:rPr>
          <w:rFonts w:ascii="Times New Roman" w:hAnsi="Times New Roman"/>
          <w:b/>
          <w:i/>
          <w:color w:val="000000"/>
          <w:sz w:val="20"/>
        </w:rPr>
        <w:t>Company</w:t>
      </w:r>
      <w:r>
        <w:rPr>
          <w:rFonts w:ascii="Times New Roman" w:hAnsi="Times New Roman"/>
          <w:color w:val="000000"/>
          <w:sz w:val="20"/>
        </w:rPr>
        <w:t>”), in connection with the filing by the Company of a Registration Statement on Form S-8 (the “</w:t>
      </w:r>
      <w:r>
        <w:rPr>
          <w:rFonts w:ascii="Times New Roman" w:hAnsi="Times New Roman"/>
          <w:b/>
          <w:i/>
          <w:color w:val="000000"/>
          <w:sz w:val="20"/>
        </w:rPr>
        <w:t>Registration Statement</w:t>
      </w:r>
      <w:r>
        <w:rPr>
          <w:rFonts w:ascii="Times New Roman" w:hAnsi="Times New Roman"/>
          <w:color w:val="000000"/>
          <w:sz w:val="20"/>
        </w:rPr>
        <w:t>”) with the Securities and Exchange Commission (the “</w:t>
      </w:r>
      <w:r>
        <w:rPr>
          <w:rFonts w:ascii="Times New Roman" w:hAnsi="Times New Roman"/>
          <w:b/>
          <w:i/>
          <w:color w:val="000000"/>
          <w:sz w:val="20"/>
        </w:rPr>
        <w:t>Commission</w:t>
      </w:r>
      <w:r>
        <w:rPr>
          <w:rFonts w:ascii="Times New Roman" w:hAnsi="Times New Roman"/>
          <w:color w:val="000000"/>
          <w:sz w:val="20"/>
        </w:rPr>
        <w:t>”) covering the offering of up to 5,500,000 shares (the “</w:t>
      </w:r>
      <w:r>
        <w:rPr>
          <w:rFonts w:ascii="Times New Roman" w:hAnsi="Times New Roman"/>
          <w:b/>
          <w:i/>
          <w:color w:val="000000"/>
          <w:sz w:val="20"/>
        </w:rPr>
        <w:t>Shares</w:t>
      </w:r>
      <w:r>
        <w:rPr>
          <w:rFonts w:ascii="Times New Roman" w:hAnsi="Times New Roman"/>
          <w:color w:val="000000"/>
          <w:sz w:val="20"/>
        </w:rPr>
        <w:t>”) of its Class A common stock, par value $0.0001 per share (“</w:t>
      </w:r>
      <w:r>
        <w:rPr>
          <w:rFonts w:ascii="Times New Roman" w:hAnsi="Times New Roman"/>
          <w:b/>
          <w:i/>
          <w:color w:val="000000"/>
          <w:sz w:val="20"/>
        </w:rPr>
        <w:t>Common Stock</w:t>
      </w:r>
      <w:r>
        <w:rPr>
          <w:rFonts w:ascii="Times New Roman" w:hAnsi="Times New Roman"/>
          <w:color w:val="000000"/>
          <w:sz w:val="20"/>
        </w:rPr>
        <w:t>”), issuable pursuant to the Company’s 2026 Equity Inducement Plan (the “</w:t>
      </w:r>
      <w:r>
        <w:rPr>
          <w:rFonts w:ascii="Times New Roman" w:hAnsi="Times New Roman"/>
          <w:b/>
          <w:i/>
          <w:color w:val="000000"/>
          <w:sz w:val="20"/>
        </w:rPr>
        <w:t>Plan</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connection with this opinion, we have examined and relied upon (a) the Registration Statement and the related prospectuses, (b) the Plan, (c) the Company’s certificate of incorporation and bylaws, each as currently in effect, and (d)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the basis of the foregoing, and in reliance thereon, we are of the opinion that the Shares, when sold and issued in accordance with the Plan, the Registration Statement and the related prospectus, will be validly issued, fully paid, and nonassessable (except as to shares issued pursuant to deferred payment arrangements, which will be fully paid and nonassessable when such deferred payments are made in full).</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4"/>
        </w:rPr>
      </w:pPr>
      <w:r>
        <w:rPr>
          <w:rFonts w:ascii="Arial" w:hAnsi="Arial"/>
          <w:color w:val="000000"/>
          <w:sz w:val="14"/>
        </w:rPr>
        <w:t>Cooley LLP 3175 Hanover Street Palo Alto, CA 94304-1130</w:t>
      </w:r>
    </w:p>
    <w:p>
      <w:pPr>
        <w:pStyle w:val="TextBody"/>
        <w:bidi w:val="0"/>
        <w:spacing w:before="60" w:after="283"/>
        <w:jc w:val="center"/>
        <w:rPr>
          <w:rFonts w:ascii="Arial" w:hAnsi="Arial"/>
          <w:color w:val="000000"/>
          <w:sz w:val="14"/>
        </w:rPr>
      </w:pPr>
      <w:r>
        <w:rPr>
          <w:rFonts w:ascii="Arial" w:hAnsi="Arial"/>
          <w:color w:val="000000"/>
          <w:sz w:val="14"/>
        </w:rPr>
        <w:t>t: (650) 843-5000 f: (650) 849-7400 cooley.com</w:t>
      </w:r>
    </w:p>
    <w:p>
      <w:pPr>
        <w:pStyle w:val="HorizontalLine"/>
        <w:pBdr>
          <w:bottom w:val="double" w:sz="2" w:space="0" w:color="808080"/>
        </w:pBdr>
        <w:bidi w:val="0"/>
        <w:spacing w:before="0" w:after="283"/>
        <w:jc w:val="left"/>
        <w:rPr/>
      </w:pPr>
      <w:r>
        <w:rPr/>
      </w:r>
    </w:p>
    <w:p>
      <w:pPr>
        <w:pStyle w:val="TextBody"/>
        <w:bidi w:val="0"/>
        <w:spacing w:before="0" w:after="400"/>
        <w:jc w:val="left"/>
        <w:rPr/>
      </w:pPr>
      <w:r>
        <w:rPr/>
        <w:drawing>
          <wp:inline distT="0" distB="0" distL="0" distR="0">
            <wp:extent cx="129540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295400" cy="428625"/>
                    </a:xfrm>
                    <a:prstGeom prst="rect">
                      <a:avLst/>
                    </a:prstGeom>
                  </pic:spPr>
                </pic:pic>
              </a:graphicData>
            </a:graphic>
          </wp:inline>
        </w:drawing>
      </w:r>
    </w:p>
    <w:p>
      <w:pPr>
        <w:pStyle w:val="TextBody"/>
        <w:bidi w:val="0"/>
        <w:jc w:val="left"/>
        <w:rPr>
          <w:rFonts w:ascii="Arial" w:hAnsi="Arial"/>
          <w:color w:val="000000"/>
          <w:sz w:val="20"/>
        </w:rPr>
      </w:pPr>
      <w:r>
        <w:rPr>
          <w:rFonts w:ascii="Arial" w:hAnsi="Arial"/>
          <w:color w:val="000000"/>
          <w:sz w:val="20"/>
        </w:rPr>
        <w:t>Rani Therapeutics Holdings, Inc.</w:t>
      </w:r>
    </w:p>
    <w:p>
      <w:pPr>
        <w:pStyle w:val="TextBody"/>
        <w:bidi w:val="0"/>
        <w:jc w:val="left"/>
        <w:rPr>
          <w:rFonts w:ascii="Arial" w:hAnsi="Arial"/>
          <w:color w:val="000000"/>
          <w:sz w:val="20"/>
        </w:rPr>
      </w:pPr>
      <w:r>
        <w:rPr>
          <w:rFonts w:ascii="Arial" w:hAnsi="Arial"/>
          <w:color w:val="000000"/>
          <w:sz w:val="20"/>
        </w:rPr>
        <w:t>July 15, 2026</w:t>
      </w:r>
    </w:p>
    <w:p>
      <w:pPr>
        <w:pStyle w:val="TextBody"/>
        <w:bidi w:val="0"/>
        <w:spacing w:before="0" w:after="400"/>
        <w:jc w:val="left"/>
        <w:rPr>
          <w:rFonts w:ascii="Arial" w:hAnsi="Arial"/>
          <w:color w:val="000000"/>
          <w:sz w:val="20"/>
        </w:rPr>
      </w:pPr>
      <w:r>
        <w:rPr>
          <w:rFonts w:ascii="Arial" w:hAnsi="Arial"/>
          <w:color w:val="000000"/>
          <w:sz w:val="20"/>
        </w:rPr>
        <w:t>Page Two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 </w:t>
      </w:r>
    </w:p>
    <w:p>
      <w:pPr>
        <w:pStyle w:val="TextBody"/>
        <w:bidi w:val="0"/>
        <w:spacing w:before="0" w:after="240"/>
        <w:jc w:val="both"/>
        <w:rPr/>
      </w:pPr>
      <w:r>
        <w:rPr/>
        <w:t> </w:t>
      </w:r>
    </w:p>
    <w:p>
      <w:pPr>
        <w:pStyle w:val="TextBody"/>
        <w:bidi w:val="0"/>
        <w:jc w:val="left"/>
        <w:rPr/>
      </w:pPr>
      <w:r>
        <w:rPr/>
        <w:t> </w:t>
      </w:r>
    </w:p>
    <w:tbl>
      <w:tblPr>
        <w:tblW w:w="2161" w:type="dxa"/>
        <w:jc w:val="left"/>
        <w:tblInd w:w="0" w:type="dxa"/>
        <w:tblLayout w:type="fixed"/>
        <w:tblCellMar>
          <w:top w:w="28" w:type="dxa"/>
          <w:left w:w="28" w:type="dxa"/>
          <w:bottom w:w="28" w:type="dxa"/>
          <w:right w:w="28" w:type="dxa"/>
        </w:tblCellMar>
      </w:tblPr>
      <w:tblGrid>
        <w:gridCol w:w="421"/>
        <w:gridCol w:w="158"/>
        <w:gridCol w:w="1582"/>
      </w:tblGrid>
      <w:tr>
        <w:trPr/>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Sincerely,</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5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Cooley LLP</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5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74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John McKenna</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left"/>
              <w:rPr/>
            </w:pPr>
            <w:r>
              <w:rPr/>
              <w:t> </w:t>
            </w:r>
          </w:p>
        </w:tc>
        <w:tc>
          <w:tcPr>
            <w:tcW w:w="158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McKenna</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14"/>
        </w:rPr>
      </w:pPr>
      <w:r>
        <w:rPr>
          <w:rFonts w:ascii="Arial" w:hAnsi="Arial"/>
          <w:color w:val="000000"/>
          <w:sz w:val="14"/>
        </w:rPr>
        <w:t>Cooley LLP 3175 Hanover Street Palo Alto, CA 94304-1130</w:t>
      </w:r>
    </w:p>
    <w:p>
      <w:pPr>
        <w:pStyle w:val="TextBody"/>
        <w:bidi w:val="0"/>
        <w:spacing w:before="60" w:after="283"/>
        <w:jc w:val="center"/>
        <w:rPr>
          <w:rFonts w:ascii="Arial" w:hAnsi="Arial"/>
          <w:color w:val="000000"/>
          <w:sz w:val="14"/>
        </w:rPr>
      </w:pPr>
      <w:r>
        <w:rPr>
          <w:rFonts w:ascii="Arial" w:hAnsi="Arial"/>
          <w:color w:val="000000"/>
          <w:sz w:val="14"/>
        </w:rPr>
        <w:t>t: (650) 843-5000 f: (650) 849-7400 cooley.com</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 w:name="rani-ex23_2.htm"/>
      <w:bookmarkStart w:id="6" w:name="ksraniex23_2"/>
      <w:bookmarkEnd w:id="5"/>
      <w:bookmarkEnd w:id="6"/>
      <w:r>
        <w:rPr>
          <w:rFonts w:ascii="Times New Roman" w:hAnsi="Times New Roman"/>
          <w:b/>
          <w:color w:val="000000"/>
          <w:sz w:val="20"/>
        </w:rPr>
        <w:t>Exhibit 23.2</w:t>
      </w:r>
      <w:r>
        <w:br w:type="page"/>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CONSENT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consent to the incorporation by reference in this Registration Statement on Form S-8 of our report dated March 31, 2025, with respect to the consolidated financial statements of Rani Therapeutics Holdings, Inc. included in the Annual Report on Form 10-K for the year ended December 31, 2025.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 Marcum LLP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 xml:space="preserve">July 15,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rani-ex23_3.htm"/>
      <w:bookmarkStart w:id="8" w:name="ksraniex23_3"/>
      <w:bookmarkEnd w:id="7"/>
      <w:bookmarkEnd w:id="8"/>
      <w:r>
        <w:rPr>
          <w:rFonts w:ascii="Times New Roman" w:hAnsi="Times New Roman"/>
          <w:b/>
          <w:color w:val="000000"/>
          <w:sz w:val="20"/>
        </w:rPr>
        <w:t>Exhibit 23.3</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this Registration Statement on Form S-8 of our report dated March 26, 2026, with respect to the consolidated financial statements of Rani Therapeutics Holdings, Inc. included in the Annual Report on Form 10-K for the year ended December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CBIZ CPAs P.C.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San Jose, California </w:t>
      </w:r>
    </w:p>
    <w:p>
      <w:pPr>
        <w:pStyle w:val="TextBody"/>
        <w:bidi w:val="0"/>
        <w:jc w:val="left"/>
        <w:rPr>
          <w:rFonts w:ascii="Times New Roman" w:hAnsi="Times New Roman"/>
          <w:color w:val="000000"/>
          <w:sz w:val="20"/>
        </w:rPr>
      </w:pPr>
      <w:r>
        <w:rPr>
          <w:rFonts w:ascii="Times New Roman" w:hAnsi="Times New Roman"/>
          <w:color w:val="000000"/>
          <w:sz w:val="20"/>
        </w:rPr>
        <w:t xml:space="preserve">July 15, 2026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9" w:name="rani-exfiling_fees.htm"/>
      <w:bookmarkStart w:id="10" w:name="ksraniexfiling_fees"/>
      <w:bookmarkStart w:id="11" w:name="rani-exfiling_fees.htm"/>
      <w:bookmarkStart w:id="12" w:name="ksraniexfiling_fees"/>
      <w:bookmarkEnd w:id="11"/>
      <w:bookmarkEnd w:id="12"/>
      <w:r>
        <w:br w:type="page"/>
      </w:r>
    </w:p>
    <w:tbl>
      <w:tblPr>
        <w:tblW w:w="3695" w:type="dxa"/>
        <w:jc w:val="left"/>
        <w:tblInd w:w="0" w:type="dxa"/>
        <w:tblLayout w:type="fixed"/>
        <w:tblCellMar>
          <w:top w:w="28" w:type="dxa"/>
          <w:left w:w="28" w:type="dxa"/>
          <w:bottom w:w="28" w:type="dxa"/>
          <w:right w:w="28" w:type="dxa"/>
        </w:tblCellMar>
      </w:tblPr>
      <w:tblGrid>
        <w:gridCol w:w="3541"/>
        <w:gridCol w:w="154"/>
      </w:tblGrid>
      <w:tr>
        <w:trPr/>
        <w:tc>
          <w:tcPr>
            <w:tcW w:w="369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4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before="0" w:after="283"/>
              <w:jc w:val="left"/>
              <w:rPr>
                <w:b/>
              </w:rPr>
            </w:pPr>
            <w:r>
              <w:rPr>
                <w:b/>
              </w:rPr>
              <w:t xml:space="preserve">Rani Therapeutics Holdings,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49"/>
        <w:gridCol w:w="1274"/>
        <w:gridCol w:w="1281"/>
        <w:gridCol w:w="1191"/>
        <w:gridCol w:w="1175"/>
        <w:gridCol w:w="1558"/>
        <w:gridCol w:w="1126"/>
        <w:gridCol w:w="1410"/>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9"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74"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75"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58"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0"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9" w:type="dxa"/>
            <w:tcBorders/>
            <w:shd w:fill="E7E7E2" w:val="clear"/>
            <w:vAlign w:val="center"/>
          </w:tcPr>
          <w:p>
            <w:pPr>
              <w:pStyle w:val="TableContents"/>
              <w:bidi w:val="0"/>
              <w:spacing w:before="0" w:after="283"/>
              <w:jc w:val="left"/>
              <w:rPr/>
            </w:pPr>
            <w:r>
              <w:rPr/>
              <w:t xml:space="preserve">Equity </w:t>
            </w:r>
          </w:p>
        </w:tc>
        <w:tc>
          <w:tcPr>
            <w:tcW w:w="1274" w:type="dxa"/>
            <w:tcBorders/>
            <w:shd w:fill="E7E7E2" w:val="clear"/>
            <w:vAlign w:val="center"/>
          </w:tcPr>
          <w:p>
            <w:pPr>
              <w:pStyle w:val="TableContents"/>
              <w:bidi w:val="0"/>
              <w:spacing w:before="0" w:after="283"/>
              <w:jc w:val="left"/>
              <w:rPr/>
            </w:pPr>
            <w:r>
              <w:rPr/>
              <w:t xml:space="preserve">Class A Common Stock, $0.0001 par value per share, reserved for issuance pursuant to the 2026 Equity Inducement Plan </w:t>
            </w:r>
          </w:p>
        </w:tc>
        <w:tc>
          <w:tcPr>
            <w:tcW w:w="1281" w:type="dxa"/>
            <w:tcBorders/>
            <w:shd w:fill="E7E7E2" w:val="clear"/>
            <w:vAlign w:val="center"/>
          </w:tcPr>
          <w:p>
            <w:pPr>
              <w:pStyle w:val="TableContents"/>
              <w:bidi w:val="0"/>
              <w:spacing w:before="0" w:after="283"/>
              <w:jc w:val="center"/>
              <w:rPr/>
            </w:pPr>
            <w:r>
              <w:rPr/>
              <w:t xml:space="preserve">Other </w:t>
            </w:r>
          </w:p>
        </w:tc>
        <w:tc>
          <w:tcPr>
            <w:tcW w:w="1191" w:type="dxa"/>
            <w:tcBorders/>
            <w:shd w:fill="E7E7E2" w:val="clear"/>
            <w:vAlign w:val="center"/>
          </w:tcPr>
          <w:p>
            <w:pPr>
              <w:pStyle w:val="TableContents"/>
              <w:bidi w:val="0"/>
              <w:spacing w:before="0" w:after="283"/>
              <w:jc w:val="right"/>
              <w:rPr/>
            </w:pPr>
            <w:r>
              <w:rPr/>
              <w:t xml:space="preserve">5,500,000 </w:t>
            </w:r>
          </w:p>
        </w:tc>
        <w:tc>
          <w:tcPr>
            <w:tcW w:w="1175" w:type="dxa"/>
            <w:tcBorders/>
            <w:shd w:fill="E7E7E2" w:val="clear"/>
            <w:vAlign w:val="center"/>
          </w:tcPr>
          <w:p>
            <w:pPr>
              <w:pStyle w:val="TableContents"/>
              <w:bidi w:val="0"/>
              <w:spacing w:before="0" w:after="283"/>
              <w:jc w:val="right"/>
              <w:rPr/>
            </w:pPr>
            <w:r>
              <w:rPr/>
              <w:t xml:space="preserve">$ 0.69 </w:t>
            </w:r>
          </w:p>
        </w:tc>
        <w:tc>
          <w:tcPr>
            <w:tcW w:w="1558" w:type="dxa"/>
            <w:tcBorders/>
            <w:shd w:fill="E7E7E2" w:val="clear"/>
            <w:vAlign w:val="center"/>
          </w:tcPr>
          <w:p>
            <w:pPr>
              <w:pStyle w:val="TableContents"/>
              <w:bidi w:val="0"/>
              <w:spacing w:before="0" w:after="283"/>
              <w:jc w:val="right"/>
              <w:rPr/>
            </w:pPr>
            <w:r>
              <w:rPr/>
              <w:t xml:space="preserve">$ 3,795,000.00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0" w:type="dxa"/>
            <w:tcBorders/>
            <w:shd w:fill="E7E7E2" w:val="clear"/>
            <w:vAlign w:val="center"/>
          </w:tcPr>
          <w:p>
            <w:pPr>
              <w:pStyle w:val="TableContents"/>
              <w:bidi w:val="0"/>
              <w:spacing w:before="0" w:after="283"/>
              <w:jc w:val="right"/>
              <w:rPr/>
            </w:pPr>
            <w:r>
              <w:rPr/>
              <w:t xml:space="preserve">$ 524.09 </w:t>
            </w:r>
          </w:p>
        </w:tc>
      </w:tr>
      <w:tr>
        <w:trPr/>
        <w:tc>
          <w:tcPr>
            <w:tcW w:w="4936" w:type="dxa"/>
            <w:gridSpan w:val="5"/>
            <w:tcBorders/>
            <w:vAlign w:val="center"/>
          </w:tcPr>
          <w:p>
            <w:pPr>
              <w:pStyle w:val="TableContents"/>
              <w:bidi w:val="0"/>
              <w:spacing w:before="0" w:after="0"/>
              <w:ind w:left="0" w:right="0" w:hanging="0"/>
              <w:jc w:val="right"/>
              <w:rPr/>
            </w:pPr>
            <w:r>
              <w:rPr/>
              <w:t>Total Offering Amounts:</w:t>
            </w:r>
          </w:p>
        </w:tc>
        <w:tc>
          <w:tcPr>
            <w:tcW w:w="117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0"/>
              <w:ind w:left="0" w:right="0" w:hanging="0"/>
              <w:jc w:val="right"/>
              <w:rPr/>
            </w:pPr>
            <w:bookmarkStart w:id="13" w:name="MaxAggtOfferingPrice"/>
            <w:bookmarkEnd w:id="13"/>
            <w:r>
              <w:rPr/>
              <w:t xml:space="preserve">$ 3,795,000.00 </w:t>
            </w:r>
          </w:p>
        </w:tc>
        <w:tc>
          <w:tcPr>
            <w:tcW w:w="1126" w:type="dxa"/>
            <w:tcBorders/>
            <w:vAlign w:val="center"/>
          </w:tcPr>
          <w:p>
            <w:pPr>
              <w:pStyle w:val="TableContents"/>
              <w:bidi w:val="0"/>
              <w:spacing w:before="0" w:after="283"/>
              <w:jc w:val="left"/>
              <w:rPr>
                <w:sz w:val="4"/>
                <w:szCs w:val="4"/>
              </w:rPr>
            </w:pPr>
            <w:r>
              <w:rPr>
                <w:sz w:val="4"/>
                <w:szCs w:val="4"/>
              </w:rPr>
            </w:r>
          </w:p>
        </w:tc>
        <w:tc>
          <w:tcPr>
            <w:tcW w:w="1410"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$ 524.09 </w:t>
            </w:r>
          </w:p>
        </w:tc>
      </w:tr>
      <w:tr>
        <w:trPr/>
        <w:tc>
          <w:tcPr>
            <w:tcW w:w="4936" w:type="dxa"/>
            <w:gridSpan w:val="5"/>
            <w:tcBorders/>
            <w:vAlign w:val="center"/>
          </w:tcPr>
          <w:p>
            <w:pPr>
              <w:pStyle w:val="TableContents"/>
              <w:bidi w:val="0"/>
              <w:spacing w:before="0" w:after="0"/>
              <w:ind w:left="0" w:right="0" w:hanging="0"/>
              <w:jc w:val="right"/>
              <w:rPr/>
            </w:pPr>
            <w:r>
              <w:rPr/>
              <w:t xml:space="preserve">Total Fee Offsets: </w:t>
            </w:r>
          </w:p>
        </w:tc>
        <w:tc>
          <w:tcPr>
            <w:tcW w:w="117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0"/>
              <w:ind w:left="0" w:right="0" w:hanging="0"/>
              <w:jc w:val="right"/>
              <w:rPr/>
            </w:pPr>
            <w:bookmarkStart w:id="15" w:name="TotalOffsetAmt"/>
            <w:bookmarkEnd w:id="15"/>
            <w:r>
              <w:rPr/>
              <w:t xml:space="preserve">$ 0.00 </w:t>
            </w:r>
          </w:p>
        </w:tc>
      </w:tr>
      <w:tr>
        <w:trPr/>
        <w:tc>
          <w:tcPr>
            <w:tcW w:w="4936" w:type="dxa"/>
            <w:gridSpan w:val="5"/>
            <w:tcBorders/>
            <w:vAlign w:val="center"/>
          </w:tcPr>
          <w:p>
            <w:pPr>
              <w:pStyle w:val="TableContents"/>
              <w:bidi w:val="0"/>
              <w:spacing w:before="0" w:after="0"/>
              <w:ind w:left="0" w:right="0" w:hanging="0"/>
              <w:jc w:val="right"/>
              <w:rPr/>
            </w:pPr>
            <w:r>
              <w:rPr/>
              <w:t xml:space="preserve">Net Fee Due: </w:t>
            </w:r>
          </w:p>
        </w:tc>
        <w:tc>
          <w:tcPr>
            <w:tcW w:w="1175"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0"/>
              <w:ind w:left="0" w:right="0" w:hanging="0"/>
              <w:jc w:val="right"/>
              <w:rPr/>
            </w:pPr>
            <w:bookmarkStart w:id="16" w:name="NetFeeAmt"/>
            <w:bookmarkEnd w:id="16"/>
            <w:r>
              <w:rPr/>
              <w:t xml:space="preserve">$ 524.09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6"/>
        <w:gridCol w:w="8708"/>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416(a) promulgated under the Securities Act of 1933, as amended (the "Securities Act"), this Registration Statement shall also cover any additional shares of Class A common stock that become issuable under the Rani Therapeutics Holdings, Inc. 2026 Equity Inducement Plan by reason of any stock dividend, stock split, recapitalization, or other similar transaction effected that results in an increase to the number of outstanding shares of Rani Therapeutics Holdings, Inc.'s Class A common stock, as applicable. (2) Estimated pursuant to Rules 457(c) and 457(h) under the Securities Act, solely for the purposes of calculating the registration fee and based on the average of the high and low prices of the Rani Therapeutics Holdings, Inc.'s Class A common stock as reported on The Nasdaq Global Market on July 9, 2026, rounded up to the nearest cent, which date is within five business days prior to the filing of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6725/000119312526126417/rani-20251231.htm" TargetMode="External"/><Relationship Id="rId3" Type="http://schemas.openxmlformats.org/officeDocument/2006/relationships/hyperlink" Target="https://www.sec.gov/Archives/edgar/data/1856725/000119312526226703/rani-20260331.htm" TargetMode="External"/><Relationship Id="rId4" Type="http://schemas.openxmlformats.org/officeDocument/2006/relationships/hyperlink" Target="https://www.sec.gov/Archives/edgar/data/1856725/000119312526126417/rani-20251231.htm" TargetMode="External"/><Relationship Id="rId5" Type="http://schemas.openxmlformats.org/officeDocument/2006/relationships/hyperlink" Target="https://www.sec.gov/Archives/edgar/data/1856725/000114036126015157/ny20067253x1_def14a.htm" TargetMode="External"/><Relationship Id="rId6" Type="http://schemas.openxmlformats.org/officeDocument/2006/relationships/hyperlink" Target="https://www.sec.gov/Archives/edgar/data/1856725/000119312526001098/d848686d8k.htm" TargetMode="External"/><Relationship Id="rId7" Type="http://schemas.openxmlformats.org/officeDocument/2006/relationships/hyperlink" Target="https://www.sec.gov/Archives/edgar/data/1856725/000119312526226691/rani-20260511.htm" TargetMode="External"/><Relationship Id="rId8" Type="http://schemas.openxmlformats.org/officeDocument/2006/relationships/hyperlink" Target="https://www.sec.gov/Archives/edgar/data/1856725/000119312526239977/d312913d8k.htm" TargetMode="External"/><Relationship Id="rId9" Type="http://schemas.openxmlformats.org/officeDocument/2006/relationships/hyperlink" Target="https://www.sec.gov/Archives/edgar/data/1856725/000119312526245636/rani-20260528.htm" TargetMode="External"/><Relationship Id="rId10" Type="http://schemas.openxmlformats.org/officeDocument/2006/relationships/hyperlink" Target="https://www.sec.gov/Archives/edgar/data/1856725/000185672526000003/rani-20260624.htm" TargetMode="External"/><Relationship Id="rId11" Type="http://schemas.openxmlformats.org/officeDocument/2006/relationships/hyperlink" Target="https://www.sec.gov/Archives/edgar/data/1856725/000119312526126417/rani-ex4_2.htm" TargetMode="External"/><Relationship Id="rId12" Type="http://schemas.openxmlformats.org/officeDocument/2006/relationships/hyperlink" Target="https://www.sec.gov/Archives/edgar/data/1856725/000119312521223596/d151628dex31.htm" TargetMode="External"/><Relationship Id="rId13" Type="http://schemas.openxmlformats.org/officeDocument/2006/relationships/hyperlink" Target="https://www.sec.gov/Archives/edgar/data/1856725/000119312526001098/d848686dex32.htm" TargetMode="External"/><Relationship Id="rId14" Type="http://schemas.openxmlformats.org/officeDocument/2006/relationships/hyperlink" Target="https://www.sec.gov/Archives/edgar/data/1856725/000119312521223596/d151628dex41.htm" TargetMode="External"/><Relationship Id="rId15" Type="http://schemas.openxmlformats.org/officeDocument/2006/relationships/hyperlink" Target="https://www.sec.gov/Archives/edgar/data/1856725/000185672526000003/rani-ex10_2.htm" TargetMode="External"/><Relationship Id="rId16" Type="http://schemas.openxmlformats.org/officeDocument/2006/relationships/hyperlink" Target="https://www.sec.gov/Archives/edgar/data/1856725/000185672526000003/rani-ex10_3.htm" TargetMode="External"/><Relationship Id="rId17" Type="http://schemas.openxmlformats.org/officeDocument/2006/relationships/image" Target="media/image1.gif"/><Relationship Id="rId18" Type="http://schemas.openxmlformats.org/officeDocument/2006/relationships/image" Target="media/image1.gif"/><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2303</Words>
  <Characters>12148</Characters>
  <CharactersWithSpaces>14512</CharactersWithSpaces>
  <Paragraphs>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