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5242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24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IMRAN MIR 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RANI THERAPEUTICS LLC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2051 RINGWOOD AVE.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1"/>
        <w:spacing w:after="0"/>
        <w:tabs>
          <w:tab w:leader="none" w:pos="173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1938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9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95131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10/23/2025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2,083,334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0.605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2,083,334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74,139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B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22,660,053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gridSpan w:val="1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2,083,334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2,083,334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2,083,334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-1806575</wp:posOffset>
            </wp:positionV>
            <wp:extent cx="28575" cy="1812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1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purchased these shares in a PIPE offering conducted by the Issuer.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hanging="2"/>
        <w:spacing w:after="0" w:line="234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General Partner of InCube Ventures II, L.P. and Rani Investment Corp. InCube Labs, L.L.C. is wholly-owned by the Reporting Person and his family. Represents 52,781 shares of Class A Common Stock of the Issuer held by InCube Ventures II, L.P., 13,664 shares of Class A Common Stock of the Issuer held by InCube Labs, L.L.C., and 7,694 Class A Shares held by Rani Investment Corp. The Reporting Person disclaims beneficial ownership of these securities except to the extent of his pecuniary interest therein.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hanging="2"/>
        <w:spacing w:after="0" w:line="243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General Partner of InCube Ventures II, L.P., and InCube Labs, LLC is wholly-owned by the Reporting Person and his family. Represents 22,411,124 Class B Shares held by InCube Labs, LLC and 248,929 Class B Shares held by InCube Ventures II, L.P. The Reporting Person disclaims beneficial ownership of these securities except to the extent of his pecuniary interest therein.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warrants shall be exercisable upon stockholder approval and have a term of exercise equal to five years from the date of such stockholder approval.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Svai Sanford,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Fact for Mir A Imran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31686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2025-10-27T18:27:36Z</dcterms:created>
  <dcterms:modified xsi:type="dcterms:W3CDTF">2025-10-27T18:27:36Z</dcterms:modified>
</cp:coreProperties>
</file>