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26414d1_sc13da.htm"/>
      <w:bookmarkStart w:id="1" w:name="kstm2426414d1_sc13d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br/>
        <w:t>(Amendment No. 4)*</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Rani Therapeutics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Issuer)</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$0.0001 per share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753018 100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Luis Felipe Correa González</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Lake One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Avenida Presidente Riesco 5711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Oficina 1603,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Condes, Santiago, Chile</w:t>
      </w:r>
    </w:p>
    <w:p>
      <w:pPr>
        <w:pStyle w:val="TextBody"/>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 22 798-9600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Person Authorized</w:t>
        <w:br/>
        <w:t>to Receive Notices and Communications)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15, 2024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Schedules filed in paper format shall include a signed original and five copies of the schedule, including all exhibits. See § 240.13d-7(b) for other parties to whom copies are to be 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15" w:type="dxa"/>
          <w:left w:w="115" w:type="dxa"/>
          <w:bottom w:w="115" w:type="dxa"/>
          <w:right w:w="115" w:type="dxa"/>
        </w:tblCellMar>
      </w:tblPr>
      <w:tblGrid>
        <w:gridCol w:w="245"/>
        <w:gridCol w:w="1440"/>
        <w:gridCol w:w="4367"/>
        <w:gridCol w:w="1223"/>
        <w:gridCol w:w="962"/>
        <w:gridCol w:w="1968"/>
      </w:tblGrid>
      <w:tr>
        <w:trPr/>
        <w:tc>
          <w:tcPr>
            <w:tcW w:w="2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960" w:type="dxa"/>
            <w:gridSpan w:val="5"/>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Cone Investments Limited Partnership</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7992" w:type="dxa"/>
            <w:gridSpan w:val="4"/>
            <w:tcBorders/>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c>
          <w:tcPr>
            <w:tcW w:w="1968"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9960" w:type="dxa"/>
            <w:gridSpan w:val="5"/>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168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caps w:val="false"/>
                <w:smallCaps w:val="false"/>
              </w:rPr>
            </w:pPr>
            <w:r>
              <w:rPr>
                <w:caps w:val="false"/>
                <w:smallCaps w:val="false"/>
              </w:rPr>
              <w:t> </w:t>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8,302,194</w:t>
            </w:r>
          </w:p>
        </w:tc>
      </w:tr>
      <w:tr>
        <w:trPr/>
        <w:tc>
          <w:tcPr>
            <w:tcW w:w="168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68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8,302,194</w:t>
            </w:r>
          </w:p>
        </w:tc>
      </w:tr>
      <w:tr>
        <w:trPr/>
        <w:tc>
          <w:tcPr>
            <w:tcW w:w="168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8,302,194</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w:t>
            </w:r>
          </w:p>
        </w:tc>
        <w:tc>
          <w:tcPr>
            <w:tcW w:w="293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r>
              <w:rPr>
                <w:rFonts w:ascii="Times New Roman;Times;Serif" w:hAnsi="Times New Roman;Times;Serif"/>
                <w:b w:val="false"/>
                <w:i w:val="false"/>
                <w:caps w:val="false"/>
                <w:smallCaps w:val="false"/>
                <w:position w:val="7"/>
                <w:sz w:val="16"/>
                <w:sz w:val="20"/>
              </w:rPr>
              <w:t>(1)</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r>
        <w:trPr/>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jc w:val="left"/>
              <w:rPr/>
            </w:pPr>
            <w:r>
              <w:rPr/>
              <w:t> </w:t>
            </w:r>
          </w:p>
        </w:tc>
        <w:tc>
          <w:tcPr>
            <w:tcW w:w="4367"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283"/>
              <w:jc w:val="both"/>
              <w:rPr/>
            </w:pPr>
            <w:r>
              <w:rPr/>
              <w:t>The percentage calculation is based on 29,489,484 shares of Class A Common Stock of the Issuer issued and outstanding as October 15, 2024, as reported by the Issuer on a prospectus supplement, dated October 15, 2024, filed with the Securities and Exchange Commission (“SEC”) on October 16,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15" w:type="dxa"/>
          <w:left w:w="115" w:type="dxa"/>
          <w:bottom w:w="115" w:type="dxa"/>
          <w:right w:w="115" w:type="dxa"/>
        </w:tblCellMar>
      </w:tblPr>
      <w:tblGrid>
        <w:gridCol w:w="245"/>
        <w:gridCol w:w="1440"/>
        <w:gridCol w:w="4367"/>
        <w:gridCol w:w="1223"/>
        <w:gridCol w:w="962"/>
        <w:gridCol w:w="1968"/>
      </w:tblGrid>
      <w:tr>
        <w:trPr/>
        <w:tc>
          <w:tcPr>
            <w:tcW w:w="2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960" w:type="dxa"/>
            <w:gridSpan w:val="5"/>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Lake One LLC</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7992" w:type="dxa"/>
            <w:gridSpan w:val="4"/>
            <w:tcBorders/>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c>
          <w:tcPr>
            <w:tcW w:w="1968"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9960" w:type="dxa"/>
            <w:gridSpan w:val="5"/>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68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caps w:val="false"/>
                <w:smallCaps w:val="false"/>
              </w:rPr>
            </w:pPr>
            <w:r>
              <w:rPr>
                <w:caps w:val="false"/>
                <w:smallCaps w:val="false"/>
              </w:rPr>
              <w:t> </w:t>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8,302,194</w:t>
            </w:r>
          </w:p>
        </w:tc>
      </w:tr>
      <w:tr>
        <w:trPr/>
        <w:tc>
          <w:tcPr>
            <w:tcW w:w="168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68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8,302,194</w:t>
            </w:r>
          </w:p>
        </w:tc>
      </w:tr>
      <w:tr>
        <w:trPr/>
        <w:tc>
          <w:tcPr>
            <w:tcW w:w="168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8,302,194</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w:t>
            </w:r>
          </w:p>
        </w:tc>
        <w:tc>
          <w:tcPr>
            <w:tcW w:w="293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r>
              <w:rPr>
                <w:rFonts w:ascii="Times New Roman;Times;Serif" w:hAnsi="Times New Roman;Times;Serif"/>
                <w:b w:val="false"/>
                <w:i w:val="false"/>
                <w:caps w:val="false"/>
                <w:smallCaps w:val="false"/>
                <w:position w:val="7"/>
                <w:sz w:val="16"/>
                <w:sz w:val="20"/>
              </w:rPr>
              <w:t>(2)</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jc w:val="left"/>
              <w:rPr/>
            </w:pPr>
            <w:r>
              <w:rPr/>
              <w:t> </w:t>
            </w:r>
          </w:p>
        </w:tc>
        <w:tc>
          <w:tcPr>
            <w:tcW w:w="4367"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283"/>
              <w:jc w:val="both"/>
              <w:rPr/>
            </w:pPr>
            <w:r>
              <w:rPr/>
              <w:t>The percentage calculation is based on 29,489,484 shares of Class A Common Stock of the Issuer issued and outstanding as October 15, 2024, as reported by the Issuer on a prospectus supplement, dated October 15, 2024, filed with the SEC on October 16,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15" w:type="dxa"/>
          <w:left w:w="115" w:type="dxa"/>
          <w:bottom w:w="115" w:type="dxa"/>
          <w:right w:w="115" w:type="dxa"/>
        </w:tblCellMar>
      </w:tblPr>
      <w:tblGrid>
        <w:gridCol w:w="245"/>
        <w:gridCol w:w="1440"/>
        <w:gridCol w:w="4367"/>
        <w:gridCol w:w="1223"/>
        <w:gridCol w:w="962"/>
        <w:gridCol w:w="1968"/>
      </w:tblGrid>
      <w:tr>
        <w:trPr/>
        <w:tc>
          <w:tcPr>
            <w:tcW w:w="2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960" w:type="dxa"/>
            <w:gridSpan w:val="5"/>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Lake Management LLC</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7992" w:type="dxa"/>
            <w:gridSpan w:val="4"/>
            <w:tcBorders/>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c>
          <w:tcPr>
            <w:tcW w:w="1968"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9960" w:type="dxa"/>
            <w:gridSpan w:val="5"/>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68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caps w:val="false"/>
                <w:smallCaps w:val="false"/>
              </w:rPr>
            </w:pPr>
            <w:r>
              <w:rPr>
                <w:caps w:val="false"/>
                <w:smallCaps w:val="false"/>
              </w:rPr>
              <w:t> </w:t>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8,302,194</w:t>
            </w:r>
          </w:p>
        </w:tc>
      </w:tr>
      <w:tr>
        <w:trPr/>
        <w:tc>
          <w:tcPr>
            <w:tcW w:w="168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68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8,302,194</w:t>
            </w:r>
          </w:p>
        </w:tc>
      </w:tr>
      <w:tr>
        <w:trPr/>
        <w:tc>
          <w:tcPr>
            <w:tcW w:w="168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415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8,302,194</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7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w:t>
            </w:r>
          </w:p>
        </w:tc>
        <w:tc>
          <w:tcPr>
            <w:tcW w:w="293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r>
              <w:rPr>
                <w:rFonts w:ascii="Times New Roman;Times;Serif" w:hAnsi="Times New Roman;Times;Serif"/>
                <w:b w:val="false"/>
                <w:i w:val="false"/>
                <w:caps w:val="false"/>
                <w:smallCaps w:val="false"/>
                <w:position w:val="7"/>
                <w:sz w:val="16"/>
                <w:sz w:val="20"/>
              </w:rPr>
              <w:t>(3)</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9960"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jc w:val="left"/>
              <w:rPr/>
            </w:pPr>
            <w:r>
              <w:rPr/>
              <w:t> </w:t>
            </w:r>
          </w:p>
        </w:tc>
        <w:tc>
          <w:tcPr>
            <w:tcW w:w="4367"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both"/>
              <w:rPr/>
            </w:pPr>
            <w:r>
              <w:rPr/>
              <w:t>The percentage calculation is based on 29,489,484 shares of Class A Common Stock of the Issuer issued and outstanding as October 15, 2024, as reported by the Issuer on a prospectus supplement, dated October 15, 2024, filed with the SEC on October 16,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4 (“</w:t>
      </w:r>
      <w:r>
        <w:rPr>
          <w:rFonts w:ascii="Times New Roman;Times;Serif" w:hAnsi="Times New Roman;Times;Serif"/>
          <w:b w:val="false"/>
          <w:i w:val="false"/>
          <w:caps w:val="false"/>
          <w:smallCaps w:val="false"/>
          <w:sz w:val="20"/>
          <w:u w:val="single"/>
        </w:rPr>
        <w:t>Amendment No. 4</w:t>
      </w:r>
      <w:r>
        <w:rPr>
          <w:rFonts w:ascii="Times New Roman;Times;Serif" w:hAnsi="Times New Roman;Times;Serif"/>
          <w:b w:val="false"/>
          <w:i w:val="false"/>
          <w:caps w:val="false"/>
          <w:smallCaps w:val="false"/>
          <w:sz w:val="20"/>
        </w:rPr>
        <w:t>”), supplements and amends the Statement on Schedule 13D filed on August 9, 2021, as amended by Amendment No. 1 filed on February 1, 2022, and as further amended by Amendment No. 2 filed on March 15, 2023, and as further amended by Amendment No. 3 filed on December 8, 2023 (collectively, the “</w:t>
      </w:r>
      <w:r>
        <w:rPr>
          <w:rFonts w:ascii="Times New Roman;Times;Serif" w:hAnsi="Times New Roman;Times;Serif"/>
          <w:b w:val="false"/>
          <w:i w:val="false"/>
          <w:caps w:val="false"/>
          <w:smallCaps w:val="false"/>
          <w:sz w:val="20"/>
          <w:u w:val="single"/>
        </w:rPr>
        <w:t>Prior 13D Filings</w:t>
      </w:r>
      <w:r>
        <w:rPr>
          <w:rFonts w:ascii="Times New Roman;Times;Serif" w:hAnsi="Times New Roman;Times;Serif"/>
          <w:b w:val="false"/>
          <w:i w:val="false"/>
          <w:caps w:val="false"/>
          <w:smallCaps w:val="false"/>
          <w:sz w:val="20"/>
        </w:rPr>
        <w:t>”), relating to the beneficial ownership of certain shares of Class A common stock, $0.0001 par value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of Rani Therapeutics Holdings, Inc.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a Delaware corporation. Information reported in the Prior 13D Filings remains in effect except to the extent that it is amended, restated or superseded by information contained in this Amendment No. 4. Unless otherwise indicated, capitalized terms used but not otherwise defined herein shall have the meaning assigned to such terms in the Prior 13D Filings. Responses to each item of this Amendment No. 4 are incorporated by reference into the response to each other item, as applicable.</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620"/>
        <w:gridCol w:w="453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4535" w:type="dxa"/>
            <w:tcBorders/>
            <w:vAlign w:val="center"/>
          </w:tcPr>
          <w:p>
            <w:pPr>
              <w:pStyle w:val="TableContents"/>
              <w:bidi w:val="0"/>
              <w:spacing w:before="0" w:after="283"/>
              <w:jc w:val="left"/>
              <w:rPr>
                <w:b/>
                <w:sz w:val="20"/>
              </w:rPr>
            </w:pPr>
            <w:r>
              <w:rPr>
                <w:b/>
                <w:sz w:val="20"/>
              </w:rPr>
              <w:t>Source and Amount of Funds or Other Consideration.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Prior 13D Filings, on October 15, 2024, South Lake One sold an aggregate of 3,829,360 shares of Class A Common Stock for an aggregate sale price of approximately $10.1 million through multiple open-market sales made through a broker-dealer at a weighted average sale price of $2.6484 per share of Class A Common Stock. These sales were timely reported on a Form 4 filed with the SEC.</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620"/>
        <w:gridCol w:w="236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360" w:type="dxa"/>
            <w:tcBorders/>
            <w:vAlign w:val="center"/>
          </w:tcPr>
          <w:p>
            <w:pPr>
              <w:pStyle w:val="TableContents"/>
              <w:bidi w:val="0"/>
              <w:spacing w:before="0" w:after="283"/>
              <w:jc w:val="left"/>
              <w:rPr>
                <w:b/>
                <w:sz w:val="20"/>
              </w:rPr>
            </w:pPr>
            <w:r>
              <w:rPr>
                <w:b/>
                <w:sz w:val="20"/>
              </w:rPr>
              <w:t>Purpose of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above in Item 3 of this Amendment No. 4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acquired and hold the shares of Class A Common Stock reported herein for investment purposes. The Reporting Persons intend to review their investment on a regular basis and, as a result thereof, may at any time or from time to time determine to, directly or indirectly (a) acquire additional securities of the Issuer, through open market purchases, privately negotiated transactions or otherwise, (b) dispose of all or a portion of the securities of the Issuer owned by it in the open market, in privately negotiated transactions or otherwise, (c) enter into privately negotiated derivative transactions with institutional counterparties to hedge the market risk of some or all of its positions in the securities of the Issuer or (d) take any other available course of action, which could involve one or more of the types of transactions or have one or more of the results described in clauses (a) through (j) of Item 4 of Schedule 13D.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its course of action (as well as to the specific elements thereof), the Reporting Persons currently expect that it would take into consideration a variety of factors, including, but not limited to, the following: (i) the Issuer’s business and prospects; (ii) other developments concerning the Issuer and its businesses generally; (iii) other business opportunities available to the Reporting Persons; (iv) changes in law and government regulations; (v) general economic conditions; and (vi) financial and stock market conditions, including the market price of the securities of the Issuer. Except as set forth herein or in the Prior 13D Filings, the Reporting Persons have no present plans or proposals that relate to or that would result in any of the actions specified in clauses (a) through (j) of Item 4 of Schedule 13D.</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620"/>
        <w:gridCol w:w="287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2870" w:type="dxa"/>
            <w:tcBorders/>
            <w:vAlign w:val="center"/>
          </w:tcPr>
          <w:p>
            <w:pPr>
              <w:pStyle w:val="TableContents"/>
              <w:bidi w:val="0"/>
              <w:spacing w:before="0" w:after="283"/>
              <w:jc w:val="left"/>
              <w:rPr>
                <w:b/>
                <w:sz w:val="20"/>
              </w:rPr>
            </w:pPr>
            <w:r>
              <w:rPr>
                <w:b/>
                <w:sz w:val="20"/>
              </w:rPr>
              <w:t>Interest in Securities of the Issuer.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
        <w:gridCol w:w="9748"/>
      </w:tblGrid>
      <w:tr>
        <w:trPr/>
        <w:tc>
          <w:tcPr>
            <w:tcW w:w="457" w:type="dxa"/>
            <w:tcBorders/>
            <w:vAlign w:val="center"/>
          </w:tcPr>
          <w:p>
            <w:pPr>
              <w:pStyle w:val="TableContents"/>
              <w:bidi w:val="0"/>
              <w:spacing w:before="0" w:after="283"/>
              <w:jc w:val="left"/>
              <w:rPr/>
            </w:pPr>
            <w:r>
              <w:rPr/>
              <w:t>(a) – (b)</w:t>
            </w:r>
          </w:p>
        </w:tc>
        <w:tc>
          <w:tcPr>
            <w:tcW w:w="9748" w:type="dxa"/>
            <w:tcBorders/>
            <w:vAlign w:val="center"/>
          </w:tcPr>
          <w:p>
            <w:pPr>
              <w:pStyle w:val="TableContents"/>
              <w:bidi w:val="0"/>
              <w:spacing w:before="0" w:after="283"/>
              <w:jc w:val="both"/>
              <w:rPr/>
            </w:pPr>
            <w:r>
              <w:rPr/>
              <w:t>South Lake Management indirectly holds an aggregate of 8,302,194 shares of Class A Common Stock of the Issuer. Each share of Class A Common Stock is entitled to one vote. South Lake Management beneficially owns 28.2% of the outstanding Class A Common Stock of the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Cone indirectly holds an aggregate of 8,302,194 shares of Class A Common Stock of the Issuer. Each share of Class A Common Stock is entitled to one vote. South Cone beneficially owns 28.2% of the outstanding Class A Common Stock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Lake One directly holds an aggregate of 8,302,194 shares of Class A Common Stock of the Issuer. Each share of Class A Common Stock is entitled to one vote. South Lake One directly owns 28.2% of the outstanding Class A Common Stock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Lake Management, through South Cone, indirectly controls South Lake One, which has sole voting power and sole dispositive power with respect to 8,302,194 shares of Class A Common Stock of the Issuer held directly by it. South Lake One is wholly owned by South Cone, which is controlled by its general partner, South Lake Management, which is controlled by its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owned by the Reporting Persons as a percentage of the outstanding shares of Class A Common Stock of the Issuer presented in this Amendment No. 4 is based on 29,489,484 shares of Class A Common Stock of the Issuer issued and outstanding as October 15, 2024, as reported by the Issuer on a prospectus supplement, dated October 15, 2024, filed with the SEC on October 16,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(c)</w:t>
            </w:r>
          </w:p>
        </w:tc>
        <w:tc>
          <w:tcPr>
            <w:tcW w:w="9976" w:type="dxa"/>
            <w:tcBorders/>
            <w:vAlign w:val="center"/>
          </w:tcPr>
          <w:p>
            <w:pPr>
              <w:pStyle w:val="TableContents"/>
              <w:bidi w:val="0"/>
              <w:spacing w:before="0" w:after="283"/>
              <w:jc w:val="both"/>
              <w:rPr/>
            </w:pPr>
            <w:r>
              <w:rPr/>
              <w:t>On October 15, 2024, South Lake One sold an aggregate of 3,829,360 shares of Class A Common Stock for an aggregate sale price of approximately $10.1 million through multiple open-market sales made through a broker-dealer at a weighted average sale price of $2.6484 per share of Class A Common Stock. These sales were timely reported on a Form 4 filed with the SEC. The information set forth in Item 3 and Item 4 of this Amendment No. 4 is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305"/>
        <w:gridCol w:w="1475"/>
      </w:tblGrid>
      <w:tr>
        <w:trPr/>
        <w:tc>
          <w:tcPr>
            <w:tcW w:w="305" w:type="dxa"/>
            <w:tcBorders/>
            <w:vAlign w:val="center"/>
          </w:tcPr>
          <w:p>
            <w:pPr>
              <w:pStyle w:val="TableContents"/>
              <w:bidi w:val="0"/>
              <w:spacing w:before="0" w:after="283"/>
              <w:jc w:val="left"/>
              <w:rPr/>
            </w:pPr>
            <w:r>
              <w:rPr/>
              <w:t>(d)</w:t>
            </w:r>
          </w:p>
        </w:tc>
        <w:tc>
          <w:tcPr>
            <w:tcW w:w="1475"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90"/>
        <w:gridCol w:w="1475"/>
      </w:tblGrid>
      <w:tr>
        <w:trPr/>
        <w:tc>
          <w:tcPr>
            <w:tcW w:w="290" w:type="dxa"/>
            <w:tcBorders/>
            <w:vAlign w:val="center"/>
          </w:tcPr>
          <w:p>
            <w:pPr>
              <w:pStyle w:val="TableContents"/>
              <w:bidi w:val="0"/>
              <w:spacing w:before="0" w:after="283"/>
              <w:jc w:val="left"/>
              <w:rPr/>
            </w:pPr>
            <w:r>
              <w:rPr/>
              <w:t>(e)</w:t>
            </w:r>
          </w:p>
        </w:tc>
        <w:tc>
          <w:tcPr>
            <w:tcW w:w="1475"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620"/>
        <w:gridCol w:w="281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p>
        </w:tc>
        <w:tc>
          <w:tcPr>
            <w:tcW w:w="2810" w:type="dxa"/>
            <w:tcBorders/>
            <w:vAlign w:val="center"/>
          </w:tcPr>
          <w:p>
            <w:pPr>
              <w:pStyle w:val="TableContents"/>
              <w:bidi w:val="0"/>
              <w:spacing w:before="0" w:after="283"/>
              <w:jc w:val="left"/>
              <w:rPr>
                <w:b/>
                <w:sz w:val="20"/>
              </w:rPr>
            </w:pPr>
            <w:r>
              <w:rPr>
                <w:b/>
                <w:sz w:val="20"/>
              </w:rPr>
              <w:t>Materials to be Filed as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426414d1_ex99-1.htm">
        <w:r>
          <w:rPr>
            <w:rStyle w:val="InternetLink"/>
            <w:rFonts w:ascii="Times New Roman;Times;Serif" w:hAnsi="Times New Roman;Times;Serif"/>
            <w:b w:val="false"/>
            <w:i w:val="false"/>
            <w:caps w:val="false"/>
            <w:smallCaps w:val="false"/>
            <w:sz w:val="20"/>
          </w:rPr>
          <w:t>Exhibit 99.1 — Joint Filing Agreement, dated October 17, 2024.</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each of the Prior Reporting Person’s knowledge and belief, each of the undersigned certifies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17, 2024</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545"/>
        <w:gridCol w:w="3005"/>
      </w:tblGrid>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Lake Management LLC</w:t>
            </w:r>
          </w:p>
        </w:tc>
      </w:tr>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Martín Abraham Guiloff Salvador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Martín Abraham Guiloff Salvador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Luis Felipe Correa González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Felipe Correa González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bl>
    <w:p>
      <w:pPr>
        <w:pStyle w:val="TextBody"/>
        <w:bidi w:val="0"/>
        <w:spacing w:before="0" w:after="283"/>
        <w:jc w:val="left"/>
        <w:rPr/>
      </w:pPr>
      <w:r>
        <w:rPr/>
        <w:t> </w:t>
      </w:r>
    </w:p>
    <w:tbl>
      <w:tblPr>
        <w:tblW w:w="3888" w:type="dxa"/>
        <w:jc w:val="left"/>
        <w:tblInd w:w="0" w:type="dxa"/>
        <w:tblLayout w:type="fixed"/>
        <w:tblCellMar>
          <w:top w:w="0" w:type="dxa"/>
          <w:left w:w="0" w:type="dxa"/>
          <w:bottom w:w="0" w:type="dxa"/>
          <w:right w:w="0" w:type="dxa"/>
        </w:tblCellMar>
      </w:tblPr>
      <w:tblGrid>
        <w:gridCol w:w="75"/>
        <w:gridCol w:w="260"/>
        <w:gridCol w:w="545"/>
        <w:gridCol w:w="3008"/>
      </w:tblGrid>
      <w:tr>
        <w:trPr/>
        <w:tc>
          <w:tcPr>
            <w:tcW w:w="75" w:type="dxa"/>
            <w:tcBorders/>
            <w:vAlign w:val="center"/>
          </w:tcPr>
          <w:p>
            <w:pPr>
              <w:pStyle w:val="TableContents"/>
              <w:bidi w:val="0"/>
              <w:spacing w:before="0" w:after="283"/>
              <w:jc w:val="left"/>
              <w:rPr/>
            </w:pPr>
            <w:r>
              <w:rPr/>
              <w:t> </w:t>
            </w:r>
          </w:p>
        </w:tc>
        <w:tc>
          <w:tcPr>
            <w:tcW w:w="381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Cone Investments Limited Partnership</w:t>
            </w:r>
          </w:p>
        </w:tc>
      </w:tr>
      <w:tr>
        <w:trPr/>
        <w:tc>
          <w:tcPr>
            <w:tcW w:w="75" w:type="dxa"/>
            <w:tcBorders/>
            <w:vAlign w:val="center"/>
          </w:tcPr>
          <w:p>
            <w:pPr>
              <w:pStyle w:val="TableContents"/>
              <w:bidi w:val="0"/>
              <w:spacing w:before="0" w:after="283"/>
              <w:jc w:val="left"/>
              <w:rPr/>
            </w:pPr>
            <w:r>
              <w:rPr/>
              <w:t> </w:t>
            </w:r>
          </w:p>
        </w:tc>
        <w:tc>
          <w:tcPr>
            <w:tcW w:w="38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355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Lake Management LLC,</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355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General Partner</w:t>
            </w:r>
          </w:p>
        </w:tc>
      </w:tr>
      <w:tr>
        <w:trPr/>
        <w:tc>
          <w:tcPr>
            <w:tcW w:w="75" w:type="dxa"/>
            <w:tcBorders/>
            <w:vAlign w:val="center"/>
          </w:tcPr>
          <w:p>
            <w:pPr>
              <w:pStyle w:val="TableContents"/>
              <w:bidi w:val="0"/>
              <w:spacing w:before="0" w:after="283"/>
              <w:jc w:val="left"/>
              <w:rPr/>
            </w:pPr>
            <w:r>
              <w:rPr/>
              <w:t> </w:t>
            </w:r>
          </w:p>
        </w:tc>
        <w:tc>
          <w:tcPr>
            <w:tcW w:w="38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Martín Abraham Guiloff Salvador</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Martín Abraham Guiloff Salvador</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8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Luis Felipe Correa González</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Felipe Correa González</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bl>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75"/>
        <w:gridCol w:w="545"/>
        <w:gridCol w:w="3005"/>
      </w:tblGrid>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Lake One LLC</w:t>
            </w:r>
          </w:p>
        </w:tc>
      </w:tr>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Martín Abraham Guiloff Salvador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Martín Abraham Guiloff Salvador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Luis Felipe Correa González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Felipe Correa González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426414d1_ex99-1.htm"/>
      <w:bookmarkStart w:id="3" w:name="kstm2426414d1_ex991"/>
      <w:bookmarkEnd w:id="2"/>
      <w:bookmarkEnd w:id="3"/>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 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have duly executed this Joint Filing Agreement as of October 17, 2024.</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545"/>
        <w:gridCol w:w="3005"/>
      </w:tblGrid>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Lake Management LLC</w:t>
            </w:r>
          </w:p>
        </w:tc>
      </w:tr>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Martín Abraham Guiloff Salvador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Martín Abraham Guiloff Salvador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Luis Felipe Correa González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Felipe Correa González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bl>
    <w:p>
      <w:pPr>
        <w:pStyle w:val="TextBody"/>
        <w:bidi w:val="0"/>
        <w:spacing w:before="0" w:after="283"/>
        <w:jc w:val="left"/>
        <w:rPr/>
      </w:pPr>
      <w:r>
        <w:rPr/>
        <w:t> </w:t>
      </w:r>
    </w:p>
    <w:tbl>
      <w:tblPr>
        <w:tblW w:w="3888" w:type="dxa"/>
        <w:jc w:val="left"/>
        <w:tblInd w:w="0" w:type="dxa"/>
        <w:tblLayout w:type="fixed"/>
        <w:tblCellMar>
          <w:top w:w="0" w:type="dxa"/>
          <w:left w:w="0" w:type="dxa"/>
          <w:bottom w:w="0" w:type="dxa"/>
          <w:right w:w="0" w:type="dxa"/>
        </w:tblCellMar>
      </w:tblPr>
      <w:tblGrid>
        <w:gridCol w:w="75"/>
        <w:gridCol w:w="260"/>
        <w:gridCol w:w="545"/>
        <w:gridCol w:w="3008"/>
      </w:tblGrid>
      <w:tr>
        <w:trPr/>
        <w:tc>
          <w:tcPr>
            <w:tcW w:w="75" w:type="dxa"/>
            <w:tcBorders/>
            <w:vAlign w:val="center"/>
          </w:tcPr>
          <w:p>
            <w:pPr>
              <w:pStyle w:val="TableContents"/>
              <w:bidi w:val="0"/>
              <w:spacing w:before="0" w:after="283"/>
              <w:jc w:val="left"/>
              <w:rPr/>
            </w:pPr>
            <w:r>
              <w:rPr/>
              <w:t> </w:t>
            </w:r>
          </w:p>
        </w:tc>
        <w:tc>
          <w:tcPr>
            <w:tcW w:w="381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Cone Investments Limited Partnership</w:t>
            </w:r>
          </w:p>
        </w:tc>
      </w:tr>
      <w:tr>
        <w:trPr/>
        <w:tc>
          <w:tcPr>
            <w:tcW w:w="75" w:type="dxa"/>
            <w:tcBorders/>
            <w:vAlign w:val="center"/>
          </w:tcPr>
          <w:p>
            <w:pPr>
              <w:pStyle w:val="TableContents"/>
              <w:bidi w:val="0"/>
              <w:spacing w:before="0" w:after="283"/>
              <w:jc w:val="left"/>
              <w:rPr/>
            </w:pPr>
            <w:r>
              <w:rPr/>
              <w:t> </w:t>
            </w:r>
          </w:p>
        </w:tc>
        <w:tc>
          <w:tcPr>
            <w:tcW w:w="38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355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Lake Management LLC,</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355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General Partner</w:t>
            </w:r>
          </w:p>
        </w:tc>
      </w:tr>
      <w:tr>
        <w:trPr/>
        <w:tc>
          <w:tcPr>
            <w:tcW w:w="75" w:type="dxa"/>
            <w:tcBorders/>
            <w:vAlign w:val="center"/>
          </w:tcPr>
          <w:p>
            <w:pPr>
              <w:pStyle w:val="TableContents"/>
              <w:bidi w:val="0"/>
              <w:spacing w:before="0" w:after="283"/>
              <w:jc w:val="left"/>
              <w:rPr/>
            </w:pPr>
            <w:r>
              <w:rPr/>
              <w:t> </w:t>
            </w:r>
          </w:p>
        </w:tc>
        <w:tc>
          <w:tcPr>
            <w:tcW w:w="38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Martín Abraham Guiloff Salvador</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Martín Abraham Guiloff Salvador</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8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Luis Felipe Correa González</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Felipe Correa González</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bl>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75"/>
        <w:gridCol w:w="545"/>
        <w:gridCol w:w="3005"/>
      </w:tblGrid>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Lake One LLC</w:t>
            </w:r>
          </w:p>
        </w:tc>
      </w:tr>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Martín Abraham Guiloff Salvador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Martín Abraham Guiloff Salvador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Luis Felipe Correa González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Felipe Correa González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2141</Words>
  <Characters>10856</Characters>
  <CharactersWithSpaces>12899</CharactersWithSpaces>
  <Paragraphs>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