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3.jpeg" ContentType="image/jpeg"/>
  <Override PartName="/word/media/image9.gif" ContentType="image/gif"/>
  <Override PartName="/word/media/image8.gif" ContentType="image/gif"/>
  <Override PartName="/word/media/image18.jpeg" ContentType="image/jpeg"/>
  <Override PartName="/word/media/image17.gif" ContentType="image/gif"/>
  <Override PartName="/word/media/image16.jpeg" ContentType="image/jpeg"/>
  <Override PartName="/word/media/image15.gif" ContentType="image/gif"/>
  <Override PartName="/word/media/image14.jpeg" ContentType="image/jpeg"/>
  <Override PartName="/word/media/image1.gif" ContentType="image/gif"/>
  <Override PartName="/word/media/image12.jpeg" ContentType="image/jpeg"/>
  <Override PartName="/word/media/image3.gif" ContentType="image/gif"/>
  <Override PartName="/word/media/image4.gif" ContentType="image/gif"/>
  <Override PartName="/word/media/image6.gif" ContentType="image/gif"/>
  <Override PartName="/word/media/image2.gif" ContentType="image/gif"/>
  <Override PartName="/word/media/image10.jpeg" ContentType="image/jpeg"/>
  <Override PartName="/word/media/image11.gif" ContentType="image/gif"/>
  <Override PartName="/word/media/image7.gif" ContentType="image/gif"/>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ani-20251231.htm"/>
      <w:bookmarkStart w:id="1" w:name="ksrani20251231"/>
      <w:bookmarkEnd w:id="0"/>
      <w:bookmarkEnd w:id="1"/>
      <w:r>
        <w:rPr/>
        <w:t> </w:t>
      </w:r>
    </w:p>
    <w:p>
      <w:pPr>
        <w:pStyle w:val="TextBody"/>
        <w:bidi w:val="0"/>
        <w:jc w:val="center"/>
        <w:rPr>
          <w:rFonts w:ascii="Times New Roman" w:hAnsi="Times New Roman"/>
          <w:sz w:val="20"/>
        </w:rPr>
      </w:pPr>
      <w:r>
        <w:rPr>
          <w:rFonts w:ascii="Times New Roman" w:hAnsi="Times New Roman"/>
          <w:color w:val="000000"/>
          <w:sz w:val="2"/>
        </w:rPr>
        <w:t>$0.2</w:t>
      </w:r>
      <w:r>
        <w:rPr>
          <w:rFonts w:ascii="Times New Roman" w:hAnsi="Times New Roman"/>
          <w:color w:val="000000"/>
          <w:sz w:val="20"/>
        </w:rPr>
        <w:t xml:space="preserve">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4" w:space="1" w:color="000000"/>
        </w:pBdr>
        <w:bidi w:val="0"/>
        <w:jc w:val="center"/>
        <w:rPr/>
      </w:pPr>
      <w:r>
        <w:rPr/>
        <w:t> </w:t>
      </w:r>
    </w:p>
    <w:p>
      <w:pPr>
        <w:pStyle w:val="TextBody"/>
        <w:bidi w:val="0"/>
        <w:spacing w:before="40" w:after="283"/>
        <w:jc w:val="left"/>
        <w:rPr>
          <w:rFonts w:ascii="Times New Roman" w:hAnsi="Times New Roman"/>
          <w:b/>
          <w:color w:val="000000"/>
          <w:sz w:val="16"/>
        </w:rPr>
      </w:pPr>
      <w:r>
        <w:rPr>
          <w:rFonts w:ascii="Times New Roman" w:hAnsi="Times New Roman"/>
          <w:b/>
          <w:color w:val="000000"/>
          <w:sz w:val="16"/>
        </w:rPr>
        <w:t>(Mark One)</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spacing w:before="20" w:after="283"/>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20" w:after="283"/>
        <w:jc w:val="center"/>
        <w:rPr>
          <w:rFonts w:ascii="Times New Roman" w:hAnsi="Times New Roman"/>
          <w:b/>
          <w:color w:val="000000"/>
          <w:sz w:val="20"/>
        </w:rPr>
      </w:pPr>
      <w:r>
        <w:rPr>
          <w:rFonts w:ascii="Times New Roman" w:hAnsi="Times New Roman"/>
          <w:b/>
          <w:color w:val="000000"/>
          <w:sz w:val="20"/>
        </w:rPr>
        <w:t>For the transition period from ________________ to ________________</w:t>
      </w:r>
    </w:p>
    <w:p>
      <w:pPr>
        <w:pStyle w:val="TextBody"/>
        <w:bidi w:val="0"/>
        <w:spacing w:before="20" w:after="283"/>
        <w:jc w:val="center"/>
        <w:rPr>
          <w:rFonts w:ascii="Times New Roman" w:hAnsi="Times New Roman"/>
          <w:b/>
          <w:color w:val="000000"/>
          <w:sz w:val="20"/>
        </w:rPr>
      </w:pPr>
      <w:r>
        <w:rPr>
          <w:rFonts w:ascii="Times New Roman" w:hAnsi="Times New Roman"/>
          <w:b/>
          <w:color w:val="000000"/>
          <w:sz w:val="20"/>
        </w:rPr>
        <w:t>Commission File Number: 001-40672</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2"/>
        </w:rPr>
      </w:pPr>
      <w:r>
        <w:rPr>
          <w:rFonts w:ascii="Times New Roman" w:hAnsi="Times New Roman"/>
          <w:b/>
          <w:color w:val="000000"/>
          <w:sz w:val="42"/>
        </w:rPr>
        <w:t>RANI THERAPEUTICS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86-3114789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2051 Ringwood Avenue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Jose,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95131</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20" w:after="283"/>
        <w:jc w:val="center"/>
        <w:rPr>
          <w:rFonts w:ascii="Times New Roman" w:hAnsi="Times New Roman"/>
          <w:b/>
          <w:color w:val="000000"/>
          <w:sz w:val="20"/>
        </w:rPr>
      </w:pPr>
      <w:r>
        <w:rPr>
          <w:rFonts w:ascii="Times New Roman" w:hAnsi="Times New Roman"/>
          <w:b/>
          <w:color w:val="000000"/>
          <w:sz w:val="20"/>
        </w:rPr>
        <w:t>Registrant’s telephone number, including area code: (408) 457-3700</w:t>
      </w:r>
    </w:p>
    <w:p>
      <w:pPr>
        <w:pStyle w:val="TextBody"/>
        <w:pBdr>
          <w:bottom w:val="single" w:sz="4" w:space="1" w:color="000000"/>
        </w:pBdr>
        <w:bidi w:val="0"/>
        <w:jc w:val="center"/>
        <w:rPr/>
      </w:pPr>
      <w:r>
        <w:rPr/>
        <w:t> </w:t>
      </w:r>
    </w:p>
    <w:p>
      <w:pPr>
        <w:pStyle w:val="TextBody"/>
        <w:bidi w:val="0"/>
        <w:spacing w:before="20" w:after="283"/>
        <w:jc w:val="center"/>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435" w:type="dxa"/>
        <w:jc w:val="left"/>
        <w:tblInd w:w="0" w:type="dxa"/>
        <w:tblLayout w:type="fixed"/>
        <w:tblCellMar>
          <w:top w:w="28" w:type="dxa"/>
          <w:left w:w="28" w:type="dxa"/>
          <w:bottom w:w="28" w:type="dxa"/>
          <w:right w:w="28" w:type="dxa"/>
        </w:tblCellMar>
      </w:tblPr>
      <w:tblGrid>
        <w:gridCol w:w="3736"/>
        <w:gridCol w:w="146"/>
        <w:gridCol w:w="706"/>
        <w:gridCol w:w="146"/>
        <w:gridCol w:w="270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RANI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20" w:after="283"/>
        <w:jc w:val="center"/>
        <w:rPr>
          <w:rFonts w:ascii="Times New Roman" w:hAnsi="Times New Roman"/>
          <w:color w:val="000000"/>
          <w:sz w:val="16"/>
        </w:rPr>
      </w:pPr>
      <w:r>
        <w:rPr>
          <w:rFonts w:ascii="Times New Roman" w:hAnsi="Times New Roman"/>
          <w:color w:val="000000"/>
          <w:sz w:val="16"/>
        </w:rPr>
        <w:t>Securities registered pursuant to Section 12(g) of the Act: None.</w:t>
      </w:r>
    </w:p>
    <w:p>
      <w:pPr>
        <w:pStyle w:val="TextBody"/>
        <w:bidi w:val="0"/>
        <w:spacing w:before="2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 ☐ No</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2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2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2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2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6"/>
        </w:rPr>
        <w:t>The aggregate market value of the registrant’s voting and non-voting common equity held by non-affiliates as of June 30, 2025, the last business day of the registrant’s most recently completed second fiscal quarter, was approximately $65.0</w:t>
      </w:r>
      <w:r>
        <w:rPr>
          <w:rFonts w:ascii="Times New Roman" w:hAnsi="Times New Roman"/>
          <w:color w:val="000000"/>
          <w:sz w:val="20"/>
        </w:rPr>
        <w:t xml:space="preserve"> </w:t>
      </w:r>
      <w:r>
        <w:rPr>
          <w:rFonts w:ascii="Times New Roman" w:hAnsi="Times New Roman"/>
          <w:color w:val="000000"/>
          <w:sz w:val="16"/>
        </w:rPr>
        <w:t>million, based on the closing price of the registrant’s common stock on the Nasdaq Global Select Market of $0.51 per share.</w:t>
      </w:r>
    </w:p>
    <w:p>
      <w:pPr>
        <w:pStyle w:val="TextBody"/>
        <w:bidi w:val="0"/>
        <w:spacing w:before="20" w:after="283"/>
        <w:jc w:val="left"/>
        <w:rPr>
          <w:rFonts w:ascii="Times New Roman" w:hAnsi="Times New Roman"/>
          <w:sz w:val="20"/>
        </w:rPr>
      </w:pPr>
      <w:r>
        <w:rPr>
          <w:rFonts w:ascii="Times New Roman" w:hAnsi="Times New Roman"/>
          <w:color w:val="000000"/>
          <w:sz w:val="16"/>
        </w:rPr>
        <w:t>As of February 28, 2026, the registrant had 99,721,927</w:t>
      </w:r>
      <w:r>
        <w:rPr>
          <w:rFonts w:ascii="Times New Roman" w:hAnsi="Times New Roman"/>
          <w:color w:val="000000"/>
          <w:sz w:val="20"/>
        </w:rPr>
        <w:t xml:space="preserve"> </w:t>
      </w:r>
      <w:r>
        <w:rPr>
          <w:rFonts w:ascii="Times New Roman" w:hAnsi="Times New Roman"/>
          <w:color w:val="000000"/>
          <w:sz w:val="16"/>
        </w:rPr>
        <w:t>shares of Class A common stock, $0.0001 par value per share, outstanding, 23,970,359</w:t>
      </w:r>
      <w:r>
        <w:rPr>
          <w:rFonts w:ascii="Times New Roman" w:hAnsi="Times New Roman"/>
          <w:color w:val="000000"/>
          <w:sz w:val="20"/>
        </w:rPr>
        <w:t xml:space="preserve"> </w:t>
      </w:r>
      <w:r>
        <w:rPr>
          <w:rFonts w:ascii="Times New Roman" w:hAnsi="Times New Roman"/>
          <w:color w:val="000000"/>
          <w:sz w:val="16"/>
        </w:rPr>
        <w:t>shares of Class B common stock, $0.0001 par value per share, outstanding and no</w:t>
      </w:r>
      <w:r>
        <w:rPr>
          <w:rFonts w:ascii="Times New Roman" w:hAnsi="Times New Roman"/>
          <w:color w:val="000000"/>
          <w:sz w:val="20"/>
        </w:rPr>
        <w:t xml:space="preserve"> </w:t>
      </w:r>
      <w:r>
        <w:rPr>
          <w:rFonts w:ascii="Times New Roman" w:hAnsi="Times New Roman"/>
          <w:color w:val="000000"/>
          <w:sz w:val="16"/>
        </w:rPr>
        <w:t>shares of Class C common stock, $0.0001 par value per share, outstanding. Certain holders of units of the registrant’s consolidated subsidiary, Rani Therapeutics, LLC, who do not hold shares of the registrant’s Class B common stock can exchange their units of Rani Therapeutics, LLC for 1,124,194 shares of the registrant’s Class A common stock.</w:t>
      </w:r>
      <w:r>
        <w:rPr>
          <w:rFonts w:ascii="Times New Roman" w:hAnsi="Times New Roman"/>
          <w:color w:val="000000"/>
          <w:sz w:val="20"/>
        </w:rPr>
        <w:t xml:space="preserve"> </w:t>
      </w:r>
    </w:p>
    <w:p>
      <w:pPr>
        <w:pStyle w:val="TextBody"/>
        <w:bidi w:val="0"/>
        <w:spacing w:before="20" w:after="283"/>
        <w:jc w:val="center"/>
        <w:rPr>
          <w:rFonts w:ascii="Times New Roman" w:hAnsi="Times New Roman"/>
          <w:b/>
          <w:color w:val="000000"/>
          <w:sz w:val="20"/>
        </w:rPr>
      </w:pPr>
      <w:r>
        <w:rPr>
          <w:rFonts w:ascii="Times New Roman" w:hAnsi="Times New Roman"/>
          <w:b/>
          <w:color w:val="000000"/>
          <w:sz w:val="20"/>
        </w:rPr>
        <w:t>DOCUMENTS INCORPORATED BY REFERENCE</w:t>
      </w:r>
    </w:p>
    <w:p>
      <w:pPr>
        <w:pStyle w:val="TextBody"/>
        <w:bidi w:val="0"/>
        <w:spacing w:before="20" w:after="283"/>
        <w:jc w:val="left"/>
        <w:rPr>
          <w:rFonts w:ascii="Times New Roman" w:hAnsi="Times New Roman"/>
          <w:color w:val="000000"/>
          <w:sz w:val="16"/>
        </w:rPr>
      </w:pPr>
      <w:r>
        <w:rPr>
          <w:rFonts w:ascii="Times New Roman" w:hAnsi="Times New Roman"/>
          <w:color w:val="000000"/>
          <w:sz w:val="16"/>
        </w:rPr>
        <w:t>The information required by Part III of this Annual Report on Form 10-K, to the extent not set forth herein, is incorporated herein by reference from the registrant’s definitive proxy statement relating to the Annual Meeting of Stockholders to be held in 2026, which definitive proxy statement shall be filed with the Securities and Exchange Commission within 120 days after the end of the registrant's fiscal year ended December 31, 2025.</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5"/>
        <w:gridCol w:w="8748"/>
        <w:gridCol w:w="512"/>
      </w:tblGrid>
      <w:tr>
        <w:trPr/>
        <w:tc>
          <w:tcPr>
            <w:tcW w:w="945" w:type="dxa"/>
            <w:tcBorders/>
            <w:vAlign w:val="center"/>
          </w:tcPr>
          <w:p>
            <w:pPr>
              <w:pStyle w:val="TableContents"/>
              <w:bidi w:val="0"/>
              <w:spacing w:before="0" w:after="283"/>
              <w:jc w:val="left"/>
              <w:rPr>
                <w:sz w:val="4"/>
                <w:szCs w:val="4"/>
              </w:rPr>
            </w:pPr>
            <w:r>
              <w:rPr>
                <w:sz w:val="4"/>
                <w:szCs w:val="4"/>
              </w:rPr>
            </w:r>
          </w:p>
        </w:tc>
        <w:tc>
          <w:tcPr>
            <w:tcW w:w="874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
              <w:r>
                <w:rPr>
                  <w:rStyle w:val="InternetLink"/>
                  <w:rFonts w:ascii="Times New Roman" w:hAnsi="Times New Roman"/>
                  <w:color w:val="0000FF"/>
                  <w:sz w:val="20"/>
                  <w:u w:val="single"/>
                </w:rPr>
                <w:t>Forward-Looking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
              <w:r>
                <w:rPr>
                  <w:rStyle w:val="InternetLink"/>
                  <w:rFonts w:ascii="Times New Roman" w:hAnsi="Times New Roman"/>
                  <w:color w:val="0000FF"/>
                  <w:sz w:val="20"/>
                  <w:u w:val="single"/>
                </w:rPr>
                <w:t>Principal Accountant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
              <w:r>
                <w:rPr>
                  <w:rStyle w:val="InternetLink"/>
                  <w:rFonts w:ascii="Times New Roman" w:hAnsi="Times New Roman"/>
                  <w:color w:val="0000FF"/>
                  <w:sz w:val="20"/>
                  <w:u w:val="single"/>
                </w:rPr>
                <w:t>Exhibit and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r>
      <w:tr>
        <w:trPr/>
        <w:tc>
          <w:tcPr>
            <w:tcW w:w="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7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r>
    </w:tbl>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Unless otherwise stated or the context otherwise requires, throughout this Annual Report on Form 10-K, the terms “we,” “us,” and “our,” and similar references refer to Rani Therapeutics Holdings, Inc. (“Rani Holdings”) and its consolidated subsidiary, Rani Therapeutics, LLC (“Rani LLC”).</w:t>
      </w:r>
    </w:p>
    <w:p>
      <w:pPr>
        <w:pStyle w:val="TextBody"/>
        <w:bidi w:val="0"/>
        <w:spacing w:before="0" w:after="240"/>
        <w:jc w:val="left"/>
        <w:rPr>
          <w:rFonts w:ascii="Times New Roman" w:hAnsi="Times New Roman"/>
          <w:sz w:val="20"/>
        </w:rPr>
      </w:pPr>
      <w:r>
        <w:rPr>
          <w:rFonts w:ascii="Times New Roman" w:hAnsi="Times New Roman"/>
          <w:i/>
          <w:color w:val="000000"/>
          <w:sz w:val="20"/>
        </w:rPr>
        <w:t xml:space="preserve">We use Rani, Rani Therapeutics, RaniPill, the Rani Therapeutics logo, the R logo and other marks as trademarks in the United States and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w:t>
      </w:r>
      <w:r>
        <w:rPr>
          <w:rFonts w:ascii="Times New Roman" w:hAnsi="Times New Roman"/>
          <w:i/>
          <w:color w:val="000000"/>
          <w:sz w:val="11"/>
        </w:rPr>
        <w:t>®</w:t>
      </w:r>
      <w:r>
        <w:rPr>
          <w:rFonts w:ascii="Times New Roman" w:hAnsi="Times New Roman"/>
          <w:color w:val="000000"/>
          <w:sz w:val="20"/>
        </w:rPr>
        <w:t xml:space="preserve"> </w:t>
      </w:r>
      <w:r>
        <w:rPr>
          <w:rFonts w:ascii="Times New Roman" w:hAnsi="Times New Roman"/>
          <w:i/>
          <w:color w:val="000000"/>
          <w:sz w:val="20"/>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0" w:after="240"/>
        <w:jc w:val="center"/>
        <w:rPr>
          <w:rFonts w:ascii="Times New Roman" w:hAnsi="Times New Roman"/>
          <w:b/>
          <w:color w:val="000000"/>
          <w:sz w:val="20"/>
        </w:rPr>
      </w:pPr>
      <w:bookmarkStart w:id="2" w:name="forward_looking_statement"/>
      <w:bookmarkEnd w:id="2"/>
      <w:r>
        <w:rPr>
          <w:rFonts w:ascii="Times New Roman" w:hAnsi="Times New Roman"/>
          <w:b/>
          <w:color w:val="000000"/>
          <w:sz w:val="20"/>
        </w:rPr>
        <w:t>SPECIAL NOTE REGARDING FORWARD-LOOKING STATEMENTS</w:t>
      </w:r>
    </w:p>
    <w:p>
      <w:pPr>
        <w:pStyle w:val="TextBody"/>
        <w:bidi w:val="0"/>
        <w:spacing w:before="0" w:after="240"/>
        <w:jc w:val="left"/>
        <w:rPr>
          <w:rFonts w:ascii="Times New Roman" w:hAnsi="Times New Roman"/>
          <w:sz w:val="20"/>
        </w:rPr>
      </w:pPr>
      <w:r>
        <w:rPr>
          <w:rFonts w:ascii="Times New Roman" w:hAnsi="Times New Roman"/>
          <w:color w:val="000000"/>
          <w:sz w:val="20"/>
        </w:rPr>
        <w:t>This Annual Report on Form 10-K, including the section titled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contains forward-looking statements. All statements other than statements of historical facts contained in this Annual Report on Form 10-K,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Annual Report on Form 10-K include, but are not limited to, statements about: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progress and focus of our current and future clinical trials in the United States and abroad, and the reporting of data from those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advance product candidates into and successfully complete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beneficial characteristics, safety, efficacy, and therapeutic effects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potential and ability to successfully manufacture and supply our product candidates for clinical trials and for commercial use, if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further develop and expand our platform technology;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utilize our technology platform to generate and advance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accuracy of our estimates regarding expenses, future revenue, capital requirements, and needs for additional financing;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plans relating to commercializing our product candidates, if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selectively enter into strategic partnership and the expected potential benefits thereof; including our collaborations with Chugai Pharmaceutical Co. Ltd. and ProGen Co. Ltd.;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implementation of our strategic plans for our business and product candidates;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continue to scale and optimize our manufacturing processes, including by expanding our use of automation;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estimates of the number of patients in the United States who suffer from the indications we target and the number of patients that will enroll in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size of the market opportunity for our product candidates in each of the indications we target;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continue to innovate and expand our intellectual property by developing new applications of the RaniPill capsule;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plans and ability to obtain or protect intellectual property rights, including extensions of existing patent terms where available;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including our technology platform and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sufficiency of our existing cash and cash equivalents to fund our future operating expenses and capital expenditure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realize savings from any restructuring plans or cost-containment measures;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developments relating to our competitors and our industry, including competing product candidates and therapies;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maintain the listing of our Class A common stock on the Nasdaq Global Market;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remediate the material weaknesses in our internal controls over financial reporting;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realization of any benefit from our organizational structure;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Jumpstart Our Business Startups Act of 2012 (the “JOBS Act”).</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These forward-looking statements are subject to a number of risks, uncertainties, and assumptions described in the section titled “</w:t>
      </w:r>
      <w:r>
        <w:rPr>
          <w:rFonts w:ascii="Times New Roman" w:hAnsi="Times New Roman"/>
          <w:i/>
          <w:color w:val="000000"/>
          <w:sz w:val="20"/>
        </w:rPr>
        <w:t>Risk Factors”</w:t>
      </w:r>
      <w:r>
        <w:rPr>
          <w:rFonts w:ascii="Times New Roman" w:hAnsi="Times New Roman"/>
          <w:color w:val="000000"/>
          <w:sz w:val="20"/>
        </w:rPr>
        <w:t xml:space="preserve">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jc w:val="left"/>
        <w:rPr>
          <w:rFonts w:ascii="Times New Roman" w:hAnsi="Times New Roman"/>
          <w:i/>
          <w:color w:val="000000"/>
          <w:sz w:val="20"/>
        </w:rPr>
      </w:pPr>
      <w:r>
        <w:rPr>
          <w:rFonts w:ascii="Times New Roman" w:hAnsi="Times New Roman"/>
          <w:i/>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Securities and Exchange Commission (“SEC”), before making investment decisions regarding our Class A common stock. See “Special Note Regarding Forward-Looking Statements.”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operating losses since our inception and expect to incur significant losses for the foreseeable future. We may never generate any revenue from commercial products or become profitable or, if we achieve profitability, we may not be able to sustain it.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 early clinical stage biopharmaceutical company with no approved products and no historical commercial product revenue, which makes it difficult to assess our future prospects and financial results.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early in our development efforts and have only a limited number of product candidates in clinical development and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collaboration and license agreement with Chugai Pharmaceutical Co., Ltd. may not be successful, and we may not realize the anticipated benefits of the collaboration.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development is a lengthy and expensive process with an uncertain outcome, and results of earlier studies and trials may not be predictive of future trial results. Clinical failure can occur at any stage of clinical development.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an organization, we have conducted limited early clinical development, have not submitted an investigational new drug application, (“IND”), to the U.S. Food and Drug Administration (“FDA”), and we have never conducted later-stage clinical trials or submitted a Biologics License Application (“BLA”) or New Drug Application (“NDA”), and may be unable to do so for any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limited clinical data on our product candidates to indicate whether they are safe or effective for long-term use in humans.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collaboration agreement with ProGen Co., Ltd. includes certain restrictions and obligations that may limit our flexibility in developing and commercializing RT-114 or require us to bear costs we otherwise would not incur or did not expect to incur.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depend on third-party suppliers for key materials used in our manufacturing processes as well as for the manufacturing of active pharmaceutical ingredients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high-capacity oral delivery device, RaniPill HC, is in early stages of development, and it is subject to the inherent risks and uncertainties of developing a novel, innovative technology. Our efforts to develop RaniPill HC may not be successful.</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conducted and may in the future conduct clinical trials for current or future product candidates outside the United States, and the FDA and comparable foreign regulatory authorities may not accept data from such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leverage our prior interactions with FDA regarding a regulatory pathway for current or future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competition from other biotherapeutics and pharmaceutical companies, and our operating results will suffer if we fail to compete effectively.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success depends in part on our ability to build and maintain our intellectual property portfolio.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holding company and our principal asset is our interest in Rani LLC. Accordingly, we will depend on distributions from Rani LLC to pay our taxes, expenses and dividends. Rani LLC’s ability to make such distributions may be subject to various limitations and restrictions.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Rani LLC may make distributions of cash to us substantially in excess of the amounts we use to make distributions to our stockholders and pay our expenses. To the extent we do not distribute such excess cash as dividends on our Class A common stock, the holders of units of Rani LLC would benefit from any value attributable to such cash as a result of their ownership of Class A common stock upon an exchange or redemption of their units of Rani LLC.</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 the past and may in the future fail to continue to meet the listing standards of Nasdaq, and as a result our common stock may be delisted, which could have a material adverse effect on the liquidity of our common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center"/>
        <w:rPr>
          <w:rFonts w:ascii="Times New Roman" w:hAnsi="Times New Roman"/>
          <w:color w:val="000000"/>
          <w:sz w:val="20"/>
        </w:rPr>
      </w:pPr>
      <w:r>
        <w:rPr>
          <w:rFonts w:ascii="Times New Roman" w:hAnsi="Times New Roman"/>
          <w:color w:val="000000"/>
          <w:sz w:val="20"/>
        </w:rPr>
        <w:t>PART I</w:t>
      </w:r>
    </w:p>
    <w:p>
      <w:pPr>
        <w:pStyle w:val="TextBody"/>
        <w:bidi w:val="0"/>
        <w:jc w:val="left"/>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technology comprises a drug-agnostic oral delivery platform, the RaniPill capsule, which is designed to deliver a wide variety of drug substances, including antibodies, proteins, peptides, and oligonucleotides. We have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multiple different antibodies and peptides. In December 2025, we initiated a Phase 1 clinical trial with RT-114, a RaniPill HC capsule containing a GLP-1/GLP-2 dual agonist (PG-102), for the treatment of obesity.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believe, the RaniPill capsule technology could enable us to deliver most biologics currently on the market with convenient, oral dosing.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current RaniPill capsule and RaniPill HC. Design work, prototyping and pilot manufacturing are performed in house, and we have utilized third-party engineering firms to assist with the design of manufacturing lines that support our supply of the current RaniPill capsule and RaniPill HC.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invested and plan to continue to invest in automated manufacturing production lines for the RaniPill capsule. Those assets deemed to have an alternative future use have been capitalized as property and equipment while those projects related to our assets determined to not have an alternative future use have been expensed as research and development costs.</w:t>
      </w:r>
    </w:p>
    <w:p>
      <w:pPr>
        <w:pStyle w:val="TextBody"/>
        <w:bidi w:val="0"/>
        <w:jc w:val="left"/>
        <w:rPr>
          <w:rFonts w:ascii="Times New Roman" w:hAnsi="Times New Roman"/>
          <w:b/>
          <w:color w:val="000000"/>
          <w:sz w:val="20"/>
        </w:rPr>
      </w:pPr>
      <w:r>
        <w:rPr>
          <w:rFonts w:ascii="Times New Roman" w:hAnsi="Times New Roman"/>
          <w:b/>
          <w:color w:val="000000"/>
          <w:sz w:val="20"/>
        </w:rPr>
        <w:t>Business Update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Collaboration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October 2025, we entered into a Collaboration and License Agreement (the “Chugai Collaboration and License Agreement”) with Chugai Pharmaceutical Co., Ltd. (“Chugai”) to develop, manufacture, seek regulatory approvals for and, if approved, commercialize a product (the “Chugai Product”) combining Chugai’s antibody (the “Compound”), which is in development for hemophilia, and the RaniPill HC oral delivery device for use in humans. Under the Chugai Collaboration and License Agreement, we received a $10.0 million upfront payment and we are eligible to receive up to $18.0 million in technology transfer milestones, up to $57.0 million in development milestones, up to $100.0 million in a series of sales-based milestones, contingent upon approval and the commercial success of the Chugai Product, and single digit royalties on net sales upon approval and successful commercialization of the Chugai Product. Of the $10.0 million upfront payment, $8.0 million was received in cash and $2.0 million remains in accounts receivable relates to tax withheld by the Japanese tax authorities, which is expected to be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refunded to us upon submission and acceptance of the required residency certificate. See “License and Evaluation Agreements – Chugai Pharmaceutical Co., Ltd.” below for more information.</w:t>
      </w:r>
    </w:p>
    <w:p>
      <w:pPr>
        <w:pStyle w:val="TextBody"/>
        <w:bidi w:val="0"/>
        <w:jc w:val="left"/>
        <w:rPr>
          <w:rFonts w:ascii="Times New Roman" w:hAnsi="Times New Roman"/>
          <w:b/>
          <w:i/>
          <w:color w:val="000000"/>
          <w:sz w:val="20"/>
        </w:rPr>
      </w:pPr>
      <w:r>
        <w:rPr>
          <w:rFonts w:ascii="Times New Roman" w:hAnsi="Times New Roman"/>
          <w:b/>
          <w:i/>
          <w:color w:val="000000"/>
          <w:sz w:val="20"/>
        </w:rPr>
        <w:t>Financing Update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2025, we entered into a securities purchase agreement (the "Private Placement") pursuant to which we sold (i) 42,633,337 shares of our Class A common stock (the “Class A Common Stock”), (ii) warrants to purchase up to an aggregate of 125,000,004 shares of Class A Common Stock or pre-funded warrants (the “Common Warrants”) and (iii) pre-funded warrants to purchase up to an aggregate of 82,366,667 shares of Class A Common Stock (the “Pre-Funded Warrants”), for the aggregate purchase price of approximately $60.3 million (including conversion of the loan amount of $6.0 million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Common Warrants became exercisable following the effective date of stockholder approval in December 2025 and have a term of five years following the initial exercise date. The Common Warrants have an exercise price of $0.48 per share. The Pre-Funded Warrants are exercisable immediately, have an unlimited term and an exercise price of $0.0001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2025, we entered into an amendment to the loan and security agreement (the "LSA Amendment") with the Avenue Venture Opportunities Fund, L.P (the "Lender"), pursuant to which the Lender, among other things, converted $6.0 million of outstanding term loans (the "Loans") into 12,500,000 shares of Class A Common Stock (or Pre-Funded Warrants in lieu thereof) and Common Warrants to purchase up to 12,500,000 shares of Class A Common Stock (or Pre-Funded Warrants in lieu thereof), on the same terms as other investors in the Private Placement. In January 2026, the Lender exercised 2,099,844 shares of Pre-Funded Warrants, resulting in 80,266,823 shares of Pre-Funded Warrants outstanding. We received de minimis proceeds from the exercise. In December 2025, we repaid all outstanding amounts under the loan and security agreement and related supplement (the "Loan Agreement"), including the remaining principal balance of $6.2 million, accrued interest, a final payment of $1.7 million, and a prepayment fee of $0.1 million. We recognized a loss on the extinguishment of the debt of $0.6 million. Upon repayment of these amounts, all obligations under the Loan Agreement were fully satisfied. We no longer have any outstanding debt obligations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we entered into a securities purchase agreement (the "July 2025 Securities Purchase Agreement") with an institutional investor, relating to the issuance and sale of 4,354,000 shares of Class A common stock and pre-funded warrants to purchase 3,146,000 shares of Class A common stock (the "Offering"). The pre-funded warrants are exercisable immediately following the closing date of the Offering and have an unlimited term and an exercise price of $0.0001 per share. The Offering price was $0.40 per share of Class A common stock and $0.3999 per pre-funded warrant for total gross proceeds of $3.0 million. After closing of the Offering, the institutional investor fully exercised all 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we entered into a letter agreement (the "Letter Agreement") with an existing institutional investor (the “Equity Investor”) pursuant to which the Equity Investor exercised for cash all outstanding Series B and Series C warrants at a reduced exercise price of $0.65 per share, for net proceeds of $3.9 million in consideration for the issuance of a new Series D common stock warrant (the "Series D Warrant") to purchase an aggregate of 13,160,172 shares of Class A common stock with the exercise price of $0.65 per share. In October 2025, the Equity Investor exercised 6,967,150 shares of Series D Warrants, resulting in 6,193,022 shares of Series D Warrants remained outstanding. We received cash proceeds of $4.5 million as a result of the exercise.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Pipeline Overview</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broad utility of the RaniPill capsule to enable the oral delivery of biologics and drugs provides us with a range of attractive development opportunities. We have prioritized development based on specific scientific, developmental, regulatory, and commercial considerations to optimize our portfolio of targeted product candidates. Our internal development targets are focused on well-characterized molecules with attractive commercial characteristics. We believe selection of these targets will allow us to potentially accelerate product approval and market launch, while also broadening patient, provider, and payor acceptance of the RaniPill capsule. In addition, we intend to enter into licenses and collaborations with biopharmaceutical companies for the use of our oral delivery technology to develop and commercialize oral versions of their biologics and drugs.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Below is a summary of our product candidate pipeline.</w:t>
      </w:r>
    </w:p>
    <w:p>
      <w:pPr>
        <w:pStyle w:val="TextBody"/>
        <w:bidi w:val="0"/>
        <w:spacing w:before="0" w:after="240"/>
        <w:jc w:val="left"/>
        <w:rPr/>
      </w:pPr>
      <w:r>
        <w:rPr/>
        <w:drawing>
          <wp:inline distT="0" distB="0" distL="0" distR="0">
            <wp:extent cx="6029325" cy="1781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29325" cy="1781175"/>
                    </a:xfrm>
                    <a:prstGeom prst="rect">
                      <a:avLst/>
                    </a:prstGeom>
                  </pic:spPr>
                </pic:pic>
              </a:graphicData>
            </a:graphic>
          </wp:inline>
        </w:drawing>
      </w:r>
    </w:p>
    <w:p>
      <w:pPr>
        <w:pStyle w:val="TextBody"/>
        <w:bidi w:val="0"/>
        <w:jc w:val="left"/>
        <w:rPr>
          <w:rFonts w:ascii="Times New Roman" w:hAnsi="Times New Roman"/>
          <w:i/>
          <w:color w:val="1F1F1F"/>
          <w:sz w:val="18"/>
        </w:rPr>
      </w:pPr>
      <w:r>
        <w:rPr>
          <w:rFonts w:ascii="Times New Roman" w:hAnsi="Times New Roman"/>
          <w:i/>
          <w:color w:val="1F1F1F"/>
          <w:sz w:val="18"/>
        </w:rPr>
        <w:t>* Clinical timelines are subject to potential regulatory agency review delays</w:t>
      </w:r>
    </w:p>
    <w:p>
      <w:pPr>
        <w:pStyle w:val="TextBody"/>
        <w:bidi w:val="0"/>
        <w:spacing w:before="1" w:after="283"/>
        <w:jc w:val="left"/>
        <w:rPr>
          <w:rFonts w:ascii="Times New Roman" w:hAnsi="Times New Roman"/>
          <w:i/>
          <w:color w:val="1F1F1F"/>
          <w:sz w:val="18"/>
        </w:rPr>
      </w:pPr>
      <w:r>
        <w:rPr>
          <w:rFonts w:ascii="Times New Roman" w:hAnsi="Times New Roman"/>
          <w:i/>
          <w:color w:val="1F1F1F"/>
          <w:sz w:val="18"/>
        </w:rPr>
        <w:t>** RT-114 is the subject of a worldwide collaboration with ProGen Co, Ltd.</w:t>
      </w:r>
    </w:p>
    <w:p>
      <w:pPr>
        <w:pStyle w:val="TextBody"/>
        <w:bidi w:val="0"/>
        <w:jc w:val="left"/>
        <w:rPr>
          <w:rFonts w:ascii="Times New Roman" w:hAnsi="Times New Roman"/>
          <w:i/>
          <w:color w:val="1F1F1F"/>
          <w:sz w:val="18"/>
        </w:rPr>
      </w:pPr>
      <w:r>
        <w:rPr>
          <w:rFonts w:ascii="Times New Roman" w:hAnsi="Times New Roman"/>
          <w:i/>
          <w:color w:val="1F1F1F"/>
          <w:sz w:val="18"/>
        </w:rPr>
        <w:t>*** Ustekinumab and adalimumab biosimilars are supplied by Celltrion, Inc. Celltrion grants Rani a license and drug supply for each drug.</w:t>
      </w:r>
    </w:p>
    <w:p>
      <w:pPr>
        <w:pStyle w:val="TextBody"/>
        <w:bidi w:val="0"/>
        <w:jc w:val="left"/>
        <w:rPr>
          <w:rFonts w:ascii="Times New Roman" w:hAnsi="Times New Roman"/>
          <w:i/>
          <w:color w:val="1F1F1F"/>
          <w:sz w:val="18"/>
        </w:rPr>
      </w:pPr>
      <w:r>
        <w:rPr>
          <w:rFonts w:ascii="Times New Roman" w:hAnsi="Times New Roman"/>
          <w:i/>
          <w:color w:val="1F1F1F"/>
          <w:sz w:val="18"/>
        </w:rPr>
        <w:t>****RT-117 is the subject of a worldwide collaboration and license with Chugai Pharmaceutical Co., Ltd.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Pipeline Programs</w:t>
      </w:r>
    </w:p>
    <w:p>
      <w:pPr>
        <w:pStyle w:val="TextBody"/>
        <w:bidi w:val="0"/>
        <w:spacing w:before="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RT-114: GLP-1/GLP-2 dual agonist for the treatment of obesity</w:t>
      </w:r>
    </w:p>
    <w:p>
      <w:pPr>
        <w:pStyle w:val="TextBody"/>
        <w:bidi w:val="0"/>
        <w:jc w:val="left"/>
        <w:rPr>
          <w:rFonts w:ascii="Times New Roman" w:hAnsi="Times New Roman"/>
          <w:i/>
          <w:color w:val="000000"/>
          <w:sz w:val="20"/>
        </w:rPr>
      </w:pPr>
      <w:r>
        <w:rPr>
          <w:rFonts w:ascii="Times New Roman" w:hAnsi="Times New Roman"/>
          <w:i/>
          <w:color w:val="000000"/>
          <w:sz w:val="20"/>
        </w:rPr>
        <w:t>Market overview</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Centers for Disease Control and Prevention estimates that more than 2 in 5 adults (age 20 and over) in the U.S. have obesity based on data from 2017 to March 2020, which is more than 100 million people in the U.S. The global market for anti-obesity treatments is estimated to reach $100 billion by 2030. Several anti-obesity treatments are currently available, including GLP-1 agonist semaglutide (marketed as Wegovy® by Novo Nordisk A/S) and GLP-1/gastric inhibitory polypeptide (GIP) tirzepatide (marketed as Zepbound® by Eli Lilly &amp; Co.). Many potential treatments are in development for obesity and weight management. A real-world study by Blue Health Intelligence found that more than 30% of GLP-1 users discontinue treatment within the first month of use and less than half of those prescribed stay on the medication for 12 weeks or more.</w:t>
      </w:r>
    </w:p>
    <w:p>
      <w:pPr>
        <w:pStyle w:val="TextBody"/>
        <w:bidi w:val="0"/>
        <w:jc w:val="left"/>
        <w:rPr>
          <w:rFonts w:ascii="Times New Roman" w:hAnsi="Times New Roman"/>
          <w:i/>
          <w:color w:val="000000"/>
          <w:sz w:val="20"/>
        </w:rPr>
      </w:pPr>
      <w:r>
        <w:rPr>
          <w:rFonts w:ascii="Times New Roman" w:hAnsi="Times New Roman"/>
          <w:i/>
          <w:color w:val="000000"/>
          <w:sz w:val="20"/>
        </w:rPr>
        <w:t>Our solution: RT-114</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are developing RT-114, a RaniPill capsule containing a GLP-1/GLP-2 dual agonist, for the treatment of obesity. We believe RT-114 may be differentiated from other obesity treatments with regards to tolerability and better preservation of lean mass. In addition, pharmacokinetic / pharmacodynamic data of the drug substance (“DS”) in RT-114 support potential dosing of oral RT-114 on a weekly schedule, which may improve patient compliance. We are targeting a profile for RT-114 of once a week oral dosing, potential for better tolerability with more frequent, smaller doses than injectables, potential for less frequent administration than oral competitors and less API required compared to chemistry-based oral molecules.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Preclinical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conducted several preclinical studies with RT-114. RT-114 is the subject of a collaboration between ProGen and us. The drug substance used in RT-114 is a GLP-1/GLP-2 dual agonist known as PG-102 developed by ProGen. In March 2025, we announced preclinical data demonstrating bioequivalence of RT-114, PG-102 delivered orally via the RaniPill capsule, to subcutaneously administered PG-102. RT-114 yielded a relative bioavailability of 111% compared to PG-102 delivered subcutaneously with comparable pharmacokinetic profiles. RT-114 was well tolerated with no changes in drug-related safety profile compared to delivery and was excreted without sequelae in all subjects. Average peak weight loss was the same in both groups with greater variability with subcutaneous dosing (6.7% ± 0.5% for RT-114 and 6.7% ± 2.2% for subcutaneous PG-102). In July 2025, we presented the preclinical data at the Endocrine Society’s Annual Meeting (ENDO 2025).</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pPr>
      <w:r>
        <w:rPr/>
        <w:drawing>
          <wp:inline distT="0" distB="0" distL="0" distR="0">
            <wp:extent cx="4391025" cy="2047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391025" cy="2047875"/>
                    </a:xfrm>
                    <a:prstGeom prst="rect">
                      <a:avLst/>
                    </a:prstGeom>
                  </pic:spPr>
                </pic:pic>
              </a:graphicData>
            </a:graphic>
          </wp:inline>
        </w:drawing>
      </w:r>
      <w:r>
        <w:rPr/>
        <w:drawing>
          <wp:inline distT="0" distB="0" distL="0" distR="0">
            <wp:extent cx="4410075" cy="1247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410075" cy="1247775"/>
                    </a:xfrm>
                    <a:prstGeom prst="rect">
                      <a:avLst/>
                    </a:prstGeom>
                  </pic:spPr>
                </pic:pic>
              </a:graphicData>
            </a:graphic>
          </wp:inline>
        </w:drawing>
      </w:r>
    </w:p>
    <w:p>
      <w:pPr>
        <w:pStyle w:val="TextBody"/>
        <w:bidi w:val="0"/>
        <w:spacing w:before="0" w:after="240"/>
        <w:jc w:val="center"/>
        <w:rPr/>
      </w:pPr>
      <w:r>
        <w:rPr/>
        <w:drawing>
          <wp:inline distT="0" distB="0" distL="0" distR="0">
            <wp:extent cx="3657600" cy="2600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600325"/>
                    </a:xfrm>
                    <a:prstGeom prst="rect">
                      <a:avLst/>
                    </a:prstGeom>
                  </pic:spPr>
                </pic:pic>
              </a:graphicData>
            </a:graphic>
          </wp:inline>
        </w:drawing>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ProGen’s preclinical studies demonstrated that treatment with PG-102 resulted in greater glycemic control while inducing a similar degree of body weight loss versus semaglutide and tirzepatide. ProGen presented results from its Phase 1 single-ascending dose study of PG-102 at the 2024 American Diabetes Association conference in which PG-102 showed a favorable safety profile with lower frequencies of gastrointestinal (“GI”) side effects compared to competitors’ trials in similar settings. In addition, preclinical studies of PG-102 have demonstrated in a diet-induced obesity (DIO) mouse model weight loss and improved body composition (fat versus lean mass loss) under similar weight loss condition compared to dapiglutide and tirzepatide.</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Next steps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intend to share an update following completion of the Phase 1 clinical trial in 2027. </w:t>
      </w:r>
    </w:p>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pPr>
      <w:r>
        <w:rPr/>
        <w:drawing>
          <wp:inline distT="0" distB="0" distL="0" distR="0">
            <wp:extent cx="3790950" cy="2828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790950" cy="2828925"/>
                    </a:xfrm>
                    <a:prstGeom prst="rect">
                      <a:avLst/>
                    </a:prstGeom>
                  </pic:spPr>
                </pic:pic>
              </a:graphicData>
            </a:graphic>
          </wp:inline>
        </w:drawing>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**p&lt;0.01. Data are shown in ±SEM</w:t>
      </w:r>
    </w:p>
    <w:p>
      <w:pPr>
        <w:pStyle w:val="TextBody"/>
        <w:bidi w:val="0"/>
        <w:spacing w:before="0" w:after="240"/>
        <w:jc w:val="center"/>
        <w:rPr/>
      </w:pPr>
      <w:r>
        <w:rPr/>
        <w:drawing>
          <wp:inline distT="0" distB="0" distL="0" distR="0">
            <wp:extent cx="3295650" cy="2714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295650" cy="2714625"/>
                    </a:xfrm>
                    <a:prstGeom prst="rect">
                      <a:avLst/>
                    </a:prstGeom>
                  </pic:spPr>
                </pic:pic>
              </a:graphicData>
            </a:graphic>
          </wp:inline>
        </w:drawing>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HFD=high fat diet.</w:t>
      </w:r>
    </w:p>
    <w:p>
      <w:pPr>
        <w:pStyle w:val="TextBody"/>
        <w:bidi w:val="0"/>
        <w:jc w:val="left"/>
        <w:rPr>
          <w:rFonts w:ascii="Times New Roman" w:hAnsi="Times New Roman"/>
          <w:i/>
          <w:color w:val="000000"/>
          <w:sz w:val="20"/>
        </w:rPr>
      </w:pPr>
      <w:r>
        <w:rPr>
          <w:rFonts w:ascii="Times New Roman" w:hAnsi="Times New Roman"/>
          <w:i/>
          <w:color w:val="000000"/>
          <w:sz w:val="20"/>
        </w:rPr>
        <w:t>Clinical trials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December 2025, we initiated a Phase 1 clinical trial with RT-114. The Phase 1 trial will evaluate the safety, tolerability, bioavailability, and pharmacokinetics / pharmacodynamics of single and multiple doses of RT-114 for the treatment of obesity.</w:t>
      </w:r>
    </w:p>
    <w:p>
      <w:pPr>
        <w:pStyle w:val="TextBody"/>
        <w:bidi w:val="0"/>
        <w:spacing w:before="0" w:after="240"/>
        <w:jc w:val="left"/>
        <w:rPr>
          <w:rFonts w:ascii="Times New Roman" w:hAnsi="Times New Roman"/>
          <w:sz w:val="20"/>
        </w:rPr>
      </w:pPr>
      <w:r>
        <w:rPr>
          <w:rFonts w:ascii="Times New Roman" w:hAnsi="Times New Roman"/>
          <w:color w:val="000000"/>
          <w:sz w:val="20"/>
          <w:u w:val="single"/>
        </w:rPr>
        <w:t>Study Design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single-center Phase 1 study of RT-114 is being conducted in Australia. The single dose portion of the study will evaluate the safety, tolerability and bioavailability of RT-114 administered in up to 30 healthy human participants. This part of the trial will consist of two cohorts, with one cohort evaluating RT-114 containing 12 mg of PG-102, administered orally as a RaniPill capsule. The second cohort, as the control group, will receive 12 mg of PG-102 via subcutaneous injection.</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Next steps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intend to share an update following completion of the Phase 1 study.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RT-116: Semaglutide for the treatment of obesity</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Market overview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Semaglutide is a glucagon-like peptide-1 receptor (“GLP-1”) agonist marketed as Wegovy® by Novo Nordisk A/S and is approved by the FDA and European Medicines Agency (“EMA”) to treat obesity. In January 2026, an oral version of semaglutide (oral Wegovy®) was approved by the FDA as a once-daily tablet for chronic weight management in adults with obesity or overweight. Early adoption of oral Wegovy® appears strong, according to recent data from Spherix Global Insights and Truveta Research. Oral Wegovy® must be taken daily on an empty stomach, with patients having to wait at least 30 minutes after taking the pill before eating, drinking, or taking other oral medications. In addition, gastrointestinal side effects have occurred frequently with oral Wegovy®, particularly during the initial weeks of treatment, with roughly 75% of users experiencing them in trials.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Our solution: RT-116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developing RT-116, a RaniPill HC capsule containing semaglutide for the treatment of obesity. We believe that pharmacokinetic / pharmacodynamic data of semaglutide in RT-116 may support potential dosing of oral RT-116 on a weekly schedule, which may improve patient compliance. We are targeting a profile for RT-116 of once a week oral dosing, with potential for better tolerability with more frequent, smaller doses than injectables, potential for less frequent administration than oral competitors and less API required compared to chemistry-based oral molecules.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Preclinical studies</w:t>
      </w:r>
    </w:p>
    <w:p>
      <w:pPr>
        <w:pStyle w:val="TextBody"/>
        <w:bidi w:val="0"/>
        <w:jc w:val="left"/>
        <w:rPr>
          <w:rFonts w:ascii="Times New Roman" w:hAnsi="Times New Roman"/>
          <w:color w:val="000000"/>
          <w:sz w:val="20"/>
        </w:rPr>
      </w:pPr>
      <w:r>
        <w:rPr>
          <w:rFonts w:ascii="Times New Roman" w:hAnsi="Times New Roman"/>
          <w:color w:val="000000"/>
          <w:sz w:val="20"/>
        </w:rPr>
        <w:t>In February 2025, we announced preclinical data demonstrating successful oral delivery of semaglutide via the RaniPill HC. In the study, RT-116 demonstrated comparable bioavailability, pharmacokinetics and weight loss to subcutaneous (“SC”) administration of semaglutide. Further, RT-116 was well tolerated with no serious adverse events. In November 2025, we presented the RT-116 preclinical data at ObesityWeek® 2025.</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Study Design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nonclinical pharmacokinetic and pharmacodynamic study was conducted to examine the effects of semaglutide delivered orally via the RaniPill HC (RT-116) versus a subcutaneous injection comparator group. The 2x2 crossover study was conducted in two parts with a period of four weeks separating the two groups to evaluate the PK, PD and safety of RT-116. Eight canines were randomized into two groups who received 0.5mg of semaglutide delivered via oral administration of the RaniPill HC (N=4) or subcutaneous injection (N=4). Endpoints included plasma drug concentrations, body weight, food intake, lipid profile, and safety.</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Data Highlights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Semaglutide was successfully delivered in 7 of 8 canines that received the RaniPill capsule. Semaglutide administered via the RaniPill capsule was well tolerated with no serious adverse events. Cmax, Tmax, and AUC were comparable for semaglutide administered via RaniPill capsule and subcutaneous administration of semaglutide. Oral administration via the RaniPill capsule demonstrated bioavailability and biological activity comparable to subcutaneous administration. The relative bioavailability of oral semaglutide was 107% versus subcutaneous administration. Both groups saw comparable weight loss which appeared to be driven by decreased food intake that coincided with rises in plasma drug levels thus indicating there is a PD effect to treatment. Both groups saw comparable moderate decreases in serum triglycerides and cholesterol.</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3952875" cy="2200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952875" cy="2200275"/>
                    </a:xfrm>
                    <a:prstGeom prst="rect">
                      <a:avLst/>
                    </a:prstGeom>
                  </pic:spPr>
                </pic:pic>
              </a:graphicData>
            </a:graphic>
          </wp:inline>
        </w:drawing>
      </w:r>
    </w:p>
    <w:p>
      <w:pPr>
        <w:pStyle w:val="TextBody"/>
        <w:bidi w:val="0"/>
        <w:jc w:val="center"/>
        <w:rPr/>
      </w:pPr>
      <w:r>
        <w:rPr/>
        <w:t> </w:t>
      </w:r>
    </w:p>
    <w:p>
      <w:pPr>
        <w:pStyle w:val="TextBody"/>
        <w:bidi w:val="0"/>
        <w:jc w:val="center"/>
        <w:rPr/>
      </w:pPr>
      <w:r>
        <w:rPr/>
        <w:drawing>
          <wp:inline distT="0" distB="0" distL="0" distR="0">
            <wp:extent cx="3962400" cy="9715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962400" cy="97155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4238625" cy="2543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238625" cy="2543175"/>
                    </a:xfrm>
                    <a:prstGeom prst="rect">
                      <a:avLst/>
                    </a:prstGeom>
                  </pic:spPr>
                </pic:pic>
              </a:graphicData>
            </a:graphic>
          </wp:inline>
        </w:drawing>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Next steps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next step for this program is to initiate a Phase 1 clinical trial. </w:t>
      </w:r>
    </w:p>
    <w:p>
      <w:pPr>
        <w:pStyle w:val="TextBody"/>
        <w:bidi w:val="0"/>
        <w:jc w:val="left"/>
        <w:rPr>
          <w:rFonts w:ascii="Times New Roman" w:hAnsi="Times New Roman"/>
          <w:b/>
          <w:i/>
          <w:color w:val="000000"/>
          <w:sz w:val="20"/>
        </w:rPr>
      </w:pPr>
      <w:r>
        <w:rPr>
          <w:rFonts w:ascii="Times New Roman" w:hAnsi="Times New Roman"/>
          <w:b/>
          <w:i/>
          <w:color w:val="000000"/>
          <w:sz w:val="20"/>
        </w:rPr>
        <w:t>RT-105: Anti-TNF-alpha antibody for the treatment of rheumatoid arthritis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Market 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Anti-TNF-alpha antibodies such as adalimumab are used to treat a range of inflammatory disorders and are among the largest selling class of pharmaceutical drugs globally as measured by revenue. Adalimumab, sold by AbbVie Inc. under the brand name Humira, generated U.S. sales of approximately $7.14 billion in 2024. Adalimumab is approved by the FDA and EMA to treat a range of autoimmune conditions, including rheumatoid arthritis, psoriasis and Crohn’s disease. In the U.S. alone, there are an estimated one and one-half million patients with rheumatoid arthritis, seven million with psoriasis, and three million with Crohn’s disease or ulcerative colitis. At least eight Humira® biosimilars have entered the U.S. market including Yuflyma®, a high-concentration, citrate-free adalimumab biosimilar marketed by Celltrion.</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who use adalimumab administer the drug through a subcutaneous injection once every two weeks. Despite the painful injections required to administer it, adalimumab was the best-selling drug globally in 2020.</w:t>
      </w:r>
    </w:p>
    <w:p>
      <w:pPr>
        <w:pStyle w:val="TextBody"/>
        <w:bidi w:val="0"/>
        <w:spacing w:before="240" w:after="283"/>
        <w:jc w:val="left"/>
        <w:rPr>
          <w:rFonts w:ascii="Times New Roman" w:hAnsi="Times New Roman"/>
          <w:sz w:val="20"/>
        </w:rPr>
      </w:pPr>
      <w:r>
        <w:rPr>
          <w:rFonts w:ascii="Times New Roman" w:hAnsi="Times New Roman"/>
          <w:i/>
          <w:color w:val="000000"/>
          <w:sz w:val="20"/>
        </w:rPr>
        <w:t>Our solution: RT-105</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developing RT-105, the RaniPill capsule containing a formulation of adalimumab, for oral treatment of a host of inflammatory conditions, beginning with treatment of psoriatic arthritis and later expanding to other indications for which TNF-alpha inhibitors are approved. We believe that the development of an orally administered anti-TNF-alpha antibody represents a significant market opportunity. In June 2023, we entered into a License and Supply Agreement with Celltrion under which we received an exclusive license and supply of Celltrion’s adalimumab biosimilar for the development and commercialization of RT-105 worldwide, subject to a right of first negotiation for Celltrion.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Preclinical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evaluated the performance of RT-105 containing an adalimumab biosimilar in awake canines and compared it to the performance of the adalimumab biosimilar given by way of subcutaneous and intravenous injection. The PK profile for RT-105 was comparable to the profile for subcutaneous administration, and mean bioavailability for RT-105 was 49%, compared to 46% with subcutaneous injection.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Clinical trials</w:t>
      </w:r>
    </w:p>
    <w:p>
      <w:pPr>
        <w:pStyle w:val="TextBody"/>
        <w:bidi w:val="0"/>
        <w:spacing w:before="40" w:after="283"/>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Endoscopic administration of adalimumab into the jejunum of healthy human volunteers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assess whether the observations from preclinical studies regarding absorption of adalimumab through the intestinal wall translate to clinical trials, we conducted an endoscopic study in humans. The study involved ten healthy volunteers and compared the PK of an approved formulation of adalimumab injected endoscopically into the jejunal intestinal wall, which mimics the RaniPill capsule route of administration, to that of an identical dose injected subcutaneously. Blood samples were obtained at prescribed intervals during a 14-day study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PK profiles were similar with no notable differences observed in either area under the curve (“AUC”) or maximum serum concentration (“Cmax”). The mean AUC was 62.7 ± 11.4 µg/ml*day*kg/mg for the subcutaneous group and 45.0 ± 29.0 µg/ml*day*kg/mg for the intrajejunal group. No serious adverse events were noted in this study, and adverse events of headache and flu-like symptoms after intrajejunal administration resolved within 48 hours. The results are consistent with data obtained in preclinical studies, confirming intrajejunal delivery as a viable route of delivery for adalimumab.</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Next steps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November 2023, we paused development of RT-105 as part of a strategic focusing of the business. If resumed, the next milestone for this program will be to initiate a Phase 1 clinical trial of RT-105. Under the Celltrion Agreement for adalimumab, Celltrion has a right to terminate the agreement because we have not initiated a Phase 1 clinical trial with RT-105 within a certain period specified in the agreement.</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RT-111: Ustekinumab for the treatment of inflammatory conditions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Market overview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Ustekinumab is currently approved by the FDA and European Medicines Agency (“EMA”) for the treatment of various inflammatory conditions under the brand name STELARA. STELARA (ustekinumab) is an interleukin-12 and interleukin-23 antagonist marketed by Janssen Biotech, Inc. with sales of approximately $6.4 billion in the United States and approximately $9.7 billion worldwide in 2022. The latest expiring United States patent for STELARA (ustekinumab) expired in 2023. In the United States, there were estimated to be seven million patients with psoriasis and three million patients with Crohn’s disease or ulcerative colitis in 2021.</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Our solution: RT-111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developing RT-111, a RaniPill capsule containing an ustekinumab biosimilar, for the treatment of various inflammatory conditions. We entered into a License and Supply Agreement with Celltrion, under which we receive a license and supply of Celltrion’s ustekinumab biosimilar for development and commercialization worldwide, subject to a right of first negotiation for Celltrion following completion of a Phase 1 clinical trial that meets its primary endpoint(s).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Clinical trials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February 2024, we announced positive topline results from a Phase 1 study of RT-111, which is being developed for the potential treatment of inflammatory conditions. The study met all of its endpoints and RT-111 was generally well tolerated with no serious adverse events noted. In the study, RT-111 orally delivered 0.5 mg and 0.75 mg of our proprietary formulation of ustekinumab biosimilar with high bioavailability.</w:t>
      </w:r>
    </w:p>
    <w:p>
      <w:pPr>
        <w:pStyle w:val="TextBody"/>
        <w:bidi w:val="0"/>
        <w:spacing w:before="0" w:after="240"/>
        <w:jc w:val="left"/>
        <w:rPr>
          <w:rFonts w:ascii="Times New Roman" w:hAnsi="Times New Roman"/>
          <w:sz w:val="20"/>
        </w:rPr>
      </w:pPr>
      <w:r>
        <w:rPr>
          <w:rFonts w:ascii="Times New Roman" w:hAnsi="Times New Roman"/>
          <w:color w:val="000000"/>
          <w:sz w:val="20"/>
          <w:u w:val="single"/>
        </w:rPr>
        <w:t>Study Design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single-center, open label Phase 1 study of RT-111 was conducted in Australia. The study evaluated the safety and tolerability of a single administration of RT-111 in healthy adult volunteers. Of the 55 participants, 20 orally ingested RT-111 containing a single 0.5 mg dose of ustekinumab biosimilar and 20 orally ingested RT-111 containing a single 0.75 mg dose of ustekinumab biosimilar, while a control group of 15 participants received a single 0.5 mg subcutaneous injection of STELARA, a commercial formulation of ustekinumab for subcutaneous administration.</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Safety Data</w:t>
      </w:r>
    </w:p>
    <w:p>
      <w:pPr>
        <w:pStyle w:val="TextBody"/>
        <w:bidi w:val="0"/>
        <w:jc w:val="left"/>
        <w:rPr>
          <w:rFonts w:ascii="Times New Roman" w:hAnsi="Times New Roman"/>
          <w:color w:val="000000"/>
          <w:sz w:val="20"/>
        </w:rPr>
      </w:pPr>
      <w:r>
        <w:rPr>
          <w:rFonts w:ascii="Times New Roman" w:hAnsi="Times New Roman"/>
          <w:color w:val="000000"/>
          <w:sz w:val="20"/>
        </w:rPr>
        <w:t>In the Phase 1 study, RT-111 was generally well tolerated, with no serious adverse events (“SAE”) noted during the study. None of the participants withdrew from the study due to any adverse event. Two subjects in the 0.5mg RT-111 group and one subject in the 0.5mg SC STELARA® group had mild, transient adverse events which resolved without any intervention. There was no meaningful difference in incidence of anti-drug antibodies via the RaniPill route of delivery compared to STELARA® SC injection.</w:t>
      </w:r>
    </w:p>
    <w:p>
      <w:pPr>
        <w:pStyle w:val="TextBody"/>
        <w:bidi w:val="0"/>
        <w:spacing w:before="40" w:after="283"/>
        <w:jc w:val="left"/>
        <w:rPr/>
      </w:pPr>
      <w:r>
        <w:rPr/>
        <w:t> </w:t>
      </w:r>
    </w:p>
    <w:tbl>
      <w:tblPr>
        <w:tblW w:w="6815" w:type="dxa"/>
        <w:jc w:val="left"/>
        <w:tblInd w:w="0" w:type="dxa"/>
        <w:tblLayout w:type="fixed"/>
        <w:tblCellMar>
          <w:top w:w="28" w:type="dxa"/>
          <w:left w:w="28" w:type="dxa"/>
          <w:bottom w:w="28" w:type="dxa"/>
          <w:right w:w="28" w:type="dxa"/>
        </w:tblCellMar>
      </w:tblPr>
      <w:tblGrid>
        <w:gridCol w:w="1816"/>
        <w:gridCol w:w="271"/>
        <w:gridCol w:w="1801"/>
        <w:gridCol w:w="1441"/>
        <w:gridCol w:w="1486"/>
      </w:tblGrid>
      <w:tr>
        <w:trPr/>
        <w:tc>
          <w:tcPr>
            <w:tcW w:w="18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81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2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1801"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Stelara® SC 0.50 mg</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N=15</w:t>
            </w:r>
          </w:p>
        </w:tc>
        <w:tc>
          <w:tcPr>
            <w:tcW w:w="1441"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RT-111 0.50 mg</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N=20</w:t>
            </w:r>
          </w:p>
        </w:tc>
        <w:tc>
          <w:tcPr>
            <w:tcW w:w="148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RT-111 0.75 mg</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N=20</w:t>
            </w:r>
          </w:p>
        </w:tc>
      </w:tr>
      <w:tr>
        <w:trPr/>
        <w:tc>
          <w:tcPr>
            <w:tcW w:w="2087" w:type="dxa"/>
            <w:gridSpan w:val="2"/>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Drug Signal Detected </w:t>
            </w:r>
          </w:p>
        </w:tc>
        <w:tc>
          <w:tcPr>
            <w:tcW w:w="18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N=15</w:t>
            </w:r>
          </w:p>
        </w:tc>
        <w:tc>
          <w:tcPr>
            <w:tcW w:w="14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N=19</w:t>
            </w:r>
          </w:p>
        </w:tc>
        <w:tc>
          <w:tcPr>
            <w:tcW w:w="14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N=16</w:t>
            </w:r>
          </w:p>
        </w:tc>
      </w:tr>
      <w:tr>
        <w:trPr/>
        <w:tc>
          <w:tcPr>
            <w:tcW w:w="181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4999" w:type="dxa"/>
            <w:gridSpan w:val="4"/>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Number of ADA Positive Cases</w:t>
            </w:r>
          </w:p>
        </w:tc>
      </w:tr>
      <w:tr>
        <w:trPr/>
        <w:tc>
          <w:tcPr>
            <w:tcW w:w="1816" w:type="dxa"/>
            <w:vMerge w:val="restart"/>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ADA Positive*</w:t>
            </w:r>
          </w:p>
        </w:tc>
        <w:tc>
          <w:tcPr>
            <w:tcW w:w="2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w:t>
            </w:r>
          </w:p>
        </w:tc>
        <w:tc>
          <w:tcPr>
            <w:tcW w:w="18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1816" w:type="dxa"/>
            <w:vMerge w:val="continue"/>
            <w:tcBorders>
              <w:left w:val="single" w:sz="4" w:space="0" w:color="000000"/>
              <w:bottom w:val="single" w:sz="4" w:space="0" w:color="000000"/>
              <w:right w:val="single" w:sz="4" w:space="0" w:color="000000"/>
            </w:tcBorders>
            <w:tcMar>
              <w:top w:w="0" w:type="dxa"/>
            </w:tcMar>
            <w:vAlign w:val="center"/>
          </w:tcPr>
          <w:p>
            <w:pPr>
              <w:pStyle w:val="Normal"/>
              <w:bidi w:val="0"/>
              <w:jc w:val="left"/>
              <w:rPr/>
            </w:pPr>
            <w:r>
              <w:rPr/>
            </w:r>
          </w:p>
        </w:tc>
        <w:tc>
          <w:tcPr>
            <w:tcW w:w="2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8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bl>
    <w:p>
      <w:pPr>
        <w:pStyle w:val="TextBody"/>
        <w:bidi w:val="0"/>
        <w:spacing w:before="4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ADA positive post dosing, increase in titer compared to pre-dose level</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No participants reported difficulty swallowing the capsule and capsule remnants passed from all participants without sequelae.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Pharmacokinetics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Oral RT-111 delivered 0.5mg and 0.75mg of ustekinumab biosimilar with high bioavailability (estimated bioavailability of 84% for 0.5mg RT-111 relative to 0.5mg SC STELARA®).</w:t>
      </w:r>
    </w:p>
    <w:p>
      <w:pPr>
        <w:pStyle w:val="TextBody"/>
        <w:bidi w:val="0"/>
        <w:spacing w:before="40" w:after="283"/>
        <w:jc w:val="left"/>
        <w:rPr/>
      </w:pPr>
      <w:r>
        <w:rPr/>
        <w:t> </w:t>
      </w:r>
    </w:p>
    <w:tbl>
      <w:tblPr>
        <w:tblW w:w="6169" w:type="dxa"/>
        <w:jc w:val="left"/>
        <w:tblInd w:w="0" w:type="dxa"/>
        <w:tblLayout w:type="fixed"/>
        <w:tblCellMar>
          <w:top w:w="28" w:type="dxa"/>
          <w:left w:w="28" w:type="dxa"/>
          <w:bottom w:w="28" w:type="dxa"/>
          <w:right w:w="28" w:type="dxa"/>
        </w:tblCellMar>
      </w:tblPr>
      <w:tblGrid>
        <w:gridCol w:w="1636"/>
        <w:gridCol w:w="1696"/>
        <w:gridCol w:w="1396"/>
        <w:gridCol w:w="1441"/>
      </w:tblGrid>
      <w:tr>
        <w:trPr/>
        <w:tc>
          <w:tcPr>
            <w:tcW w:w="163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63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169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Stelara</w:t>
            </w:r>
            <w:r>
              <w:rPr>
                <w:rFonts w:ascii="Times New Roman" w:hAnsi="Times New Roman"/>
                <w:color w:val="000000"/>
                <w:sz w:val="13"/>
              </w:rPr>
              <w:t xml:space="preserve">® </w:t>
            </w:r>
            <w:r>
              <w:rPr>
                <w:rFonts w:ascii="Times New Roman" w:hAnsi="Times New Roman"/>
                <w:color w:val="000000"/>
                <w:sz w:val="20"/>
              </w:rPr>
              <w:t>SC 0.50mg</w:t>
            </w:r>
          </w:p>
        </w:tc>
        <w:tc>
          <w:tcPr>
            <w:tcW w:w="139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RT-111 0.50mg</w:t>
            </w:r>
          </w:p>
        </w:tc>
        <w:tc>
          <w:tcPr>
            <w:tcW w:w="144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RT-111 0.75mg</w:t>
            </w:r>
          </w:p>
        </w:tc>
      </w:tr>
      <w:tr>
        <w:trPr/>
        <w:tc>
          <w:tcPr>
            <w:tcW w:w="16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Cmax (ng/mL)</w:t>
            </w:r>
          </w:p>
        </w:tc>
        <w:tc>
          <w:tcPr>
            <w:tcW w:w="16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 ± 4</w:t>
            </w:r>
          </w:p>
        </w:tc>
        <w:tc>
          <w:tcPr>
            <w:tcW w:w="13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 ± 7</w:t>
            </w:r>
          </w:p>
        </w:tc>
        <w:tc>
          <w:tcPr>
            <w:tcW w:w="14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 ± 8</w:t>
            </w:r>
          </w:p>
        </w:tc>
      </w:tr>
      <w:tr>
        <w:trPr/>
        <w:tc>
          <w:tcPr>
            <w:tcW w:w="16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Tmax (days)</w:t>
            </w:r>
          </w:p>
        </w:tc>
        <w:tc>
          <w:tcPr>
            <w:tcW w:w="16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 0.8</w:t>
            </w:r>
          </w:p>
        </w:tc>
        <w:tc>
          <w:tcPr>
            <w:tcW w:w="13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 ± 0.2*</w:t>
            </w:r>
          </w:p>
        </w:tc>
        <w:tc>
          <w:tcPr>
            <w:tcW w:w="14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 ± 0.2*</w:t>
            </w:r>
          </w:p>
        </w:tc>
      </w:tr>
      <w:tr>
        <w:trPr/>
        <w:tc>
          <w:tcPr>
            <w:tcW w:w="16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AUC (day*ng/mL)</w:t>
            </w:r>
          </w:p>
        </w:tc>
        <w:tc>
          <w:tcPr>
            <w:tcW w:w="16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1,566 ± 130</w:t>
            </w:r>
          </w:p>
        </w:tc>
        <w:tc>
          <w:tcPr>
            <w:tcW w:w="13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1,315 ± 150</w:t>
            </w:r>
          </w:p>
        </w:tc>
        <w:tc>
          <w:tcPr>
            <w:tcW w:w="14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1,814 ± 165</w:t>
            </w:r>
          </w:p>
        </w:tc>
      </w:tr>
      <w:tr>
        <w:trPr/>
        <w:tc>
          <w:tcPr>
            <w:tcW w:w="16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Bioavailability</w:t>
            </w:r>
          </w:p>
        </w:tc>
        <w:tc>
          <w:tcPr>
            <w:tcW w:w="16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3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c>
          <w:tcPr>
            <w:tcW w:w="14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Data are Mean ± SE from all subjects, including those with anti-drug antibodies. *p&lt;0.0001 significantly different from SC group.</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License and Supply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January 2023, we announced entering into a License and Supply Agreement with Celltrion under which we receive a license and supply of Celltrion’s ustekinumab biosimilar for development and commercialization of RT-111 worldwide.</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i/>
          <w:color w:val="000000"/>
          <w:sz w:val="20"/>
        </w:rPr>
        <w:t>Next steps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next step for this program is to advance clinical development of RT-111 with the RaniPill HC.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RT-117: Undisclosed compound for rare disease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2025, we entered into the Chugai Collaboration and License Agreement with Chugai to develop, manufacture, seek regulatory approvals for and, if approved, commercialize the Chugai Product (RT-117) combining Chugai’s Compound, which is in development for hemophilia, and the RaniPill HC oral delivery device for use in humans.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Discontinuation of RT-102 and RT-110</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2026, as part of a strategic prioritization of our pipeline, we made the decision to discontinue development of our two endocrinology programs: RT-102 (a RaniPill GO capsule containing parathyroid hormone for the treatment of osteoporosis) and RT-110 (a RaniPill GO capsule containing parathyroid hormone for the treatment of hypo-parathyroidism).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RT-102 had generated encouraging Phase 1 data, including a single-ascending dose portion (“Study Part 1”) that met all of its endpoints and a seven-day repeat-dose portion (“Study Part 2”) that was generally well tolerated, with no serious adverse events. However, following a thorough review of the clinical and commercial landscape, we concluded that advancing RT-102 to Phase 2 would require resources that we believe are better deployed in support of RT-114 and our other product candidates, which we believe have greater near-term commercial potential.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RT-110 was previously paused as part of a strategic focusing of our business in November 2023.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This decision reflects our assessment that our obesity, immunology, and partner programs represent a more compelling near-term commercial and clinical opportunity given market dynamics and competitive landscape. We also believe this prioritization is in the best long-term interest of our shareholders. We retain rights to both programs and may explore partnership opportunities in the future, though we have no current plans to resume development of either program. </w:t>
      </w:r>
    </w:p>
    <w:p>
      <w:pPr>
        <w:pStyle w:val="Heading2"/>
        <w:bidi w:val="0"/>
        <w:spacing w:before="0" w:after="240"/>
        <w:jc w:val="left"/>
        <w:rPr>
          <w:rFonts w:ascii="Times New Roman" w:hAnsi="Times New Roman"/>
          <w:color w:val="000000"/>
          <w:sz w:val="20"/>
        </w:rPr>
      </w:pPr>
      <w:r>
        <w:rPr>
          <w:rFonts w:ascii="Times New Roman" w:hAnsi="Times New Roman"/>
          <w:color w:val="000000"/>
          <w:sz w:val="20"/>
        </w:rPr>
        <w:t xml:space="preserve">The Market and Our Strategy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More than half of the adult population of the U.S. has one or more chronic diseases. The affected population is expected to continue to grow as the population ages. Chronic conditions, including obesity, autoimmune diseases, metabolic disorders, cancers, and cardiovascular diseases are increasingly being treated with biologics. Based on 2025 data from Drug Discovery &amp; Development®, approximately eight of the ten highest revenue-producing drugs in the world were biologics. Current treatments using biologics are primarily via injections.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Biologics, the fastest growing segment of the drug industry, refers to a broad class of drugs that are derived from living sources. Biologics are distinguished from small molecules, like aspirin, which derive from chemistry. Biologics include, for example, recombinant therapeutic proteins, peptides, and monoclonal antibodies, as well as cell and gene therapies. The global biologics market size was calculated to be $511.0 billion in 2024 and is expected to reach $1.4 trillion by 2033.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Biologics must generally be administered through intravenous, intramuscular, or subcutaneous injection. Patient aversion to injections has promoted a significant interest in the development of solutions to enable the oral delivery of biologics. However, a significant hurdle is the ability to achieve sufficient bioavailability with oral biologics to produce an intended therapeutic effect. Bioavailability refers to the proportion of a delivered dose that reaches the bloodstream in active form. Attempts at oral delivery of biotherapeutics have remained largely unsuccessful due to the rapid degradation and digestion of biologics in the gastrointestinal environment before they can be absorbed into the bloodstream.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solution is a novel, proprietary and patented platform technology referred to as the RaniPill capsule, an orally ingestible pill designed to automatically deploy in the small intestine to administer a precise therapeutic dose of a biologic into the intestinal wall. Our several preclinical studies and clinical trials have demonstrated bioavailability of biologics dosed via the RaniPill capsule that is generally comparable to the bioavailability of biologics dosed subcutaneously, with high dosing accuracy: this level of bioavailability is significantly higher than any that has been demonstrated with respect to others’ attempts at oral delivery of biologics.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pursuing a number of clinical and preclinical pipeline programs utilizing our RaniPill capsule. We believe the RaniPill capsule has the potential to deliver more than 90 biologics currently on the market, including such biologics as semaglutide, dupilumab, pembrolizumab, etanercept, trastuzumab and secukinumab. We believe that oral biologics utilizing our RaniPill technology have the potential to disrupt the large and growing biologics market.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strategic vision is to disrupt and expand the market currently served by injectable only therapeutic biologics. We plan to do this by developing and advancing a pipeline of oral biologics therapies to unlock the value of these assets and to progress platform development and by actively pursuing partnering of the technology with third party biopharmaceutical companies for the oral delivery of their biologics and drugs. We also intend to explore opportunities to demonstrate the potential of the delivery platform in additional modalities and therapeutics areas. We believe that the RaniPill capsule has the potential to improve the lives of millions of patients with chronic diseases who currently depend on biologics and drugs available only as injections.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strategy includes the following aspects.</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color w:val="000000"/>
          <w:sz w:val="20"/>
        </w:rPr>
        <w:t xml:space="preserve">Pursue validated and commercially established market opportunities. </w:t>
      </w:r>
      <w:r>
        <w:rPr>
          <w:rFonts w:ascii="Times New Roman" w:hAnsi="Times New Roman"/>
          <w:color w:val="000000"/>
          <w:sz w:val="20"/>
        </w:rPr>
        <w:t>We intend to pursue high-value markets with biologics where we can develop differentiated products. We believe that these products will take market share from available therapies, while also expanding existing markets by reaching new patient populations that otherwise are not being treated by injectable biologics.</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color w:val="000000"/>
          <w:sz w:val="20"/>
        </w:rPr>
        <w:t xml:space="preserve">Expand in-house manufacturing of the RaniPill capsule. </w:t>
      </w:r>
      <w:r>
        <w:rPr>
          <w:rFonts w:ascii="Times New Roman" w:hAnsi="Times New Roman"/>
          <w:color w:val="000000"/>
          <w:sz w:val="20"/>
        </w:rPr>
        <w:t>We have vertically integrated our manufacturing, and plan to continue to scale and optimize our manufacturing processes by expanding our use of automation. For commercial scale manufacturing, we will consider engaging one or more third party contract manufacturers.</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color w:val="000000"/>
          <w:sz w:val="20"/>
        </w:rPr>
        <w:t xml:space="preserve">Invest in RaniPill capsule capabilities. </w:t>
      </w:r>
      <w:r>
        <w:rPr>
          <w:rFonts w:ascii="Times New Roman" w:hAnsi="Times New Roman"/>
          <w:color w:val="000000"/>
          <w:sz w:val="20"/>
        </w:rPr>
        <w:t xml:space="preserve">We intend to become a leader in oral biologics by continuing to invest in our technology, such as by expanding payload capacity to maximize the number of therapeutic targets and addressable markets. </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color w:val="000000"/>
          <w:sz w:val="20"/>
        </w:rPr>
        <w:t xml:space="preserve">Expand our reach by selectively entering into strategic partnerships. </w:t>
      </w:r>
      <w:r>
        <w:rPr>
          <w:rFonts w:ascii="Times New Roman" w:hAnsi="Times New Roman"/>
          <w:color w:val="000000"/>
          <w:sz w:val="20"/>
        </w:rPr>
        <w:t>We are actively exploring partnering of our RaniPill technology with third party biopharmaceutical companies for the oral delivery of their biologics and drugs.</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color w:val="000000"/>
          <w:sz w:val="20"/>
        </w:rPr>
        <w:t xml:space="preserve">Continue to strengthen our intellectual property portfolio. </w:t>
      </w:r>
      <w:r>
        <w:rPr>
          <w:rFonts w:ascii="Times New Roman" w:hAnsi="Times New Roman"/>
          <w:color w:val="000000"/>
          <w:sz w:val="20"/>
        </w:rPr>
        <w:t>Our patent portfolio has helped establish us as a leading oral biologics company. We plan to continue to innovate and expand our intellectual property by developing further innovations and new applications of the RaniPill capsule.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Rani LLC was founded by Mir Imran, our Chairman of the Board, who continues to contribute to our strategic planning and product development. Mir Imran has a background in medicine and engineering, is a prolific inventor and a serial entrepreneur, having founded more than 20 life sciences companies.</w:t>
      </w:r>
    </w:p>
    <w:p>
      <w:pPr>
        <w:pStyle w:val="Heading2"/>
        <w:bidi w:val="0"/>
        <w:spacing w:before="0" w:after="240"/>
        <w:jc w:val="left"/>
        <w:rPr>
          <w:rFonts w:ascii="Times New Roman" w:hAnsi="Times New Roman"/>
          <w:color w:val="000000"/>
          <w:sz w:val="20"/>
        </w:rPr>
      </w:pPr>
      <w:r>
        <w:rPr>
          <w:rFonts w:ascii="Times New Roman" w:hAnsi="Times New Roman"/>
          <w:color w:val="000000"/>
          <w:sz w:val="20"/>
        </w:rPr>
        <w:t>Our Platform Technology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technology comprises a drug-agnostic oral delivery platform, the RaniPill capsule, which is designed to deliver a wide variety of drug substances, including antibodies, proteins, peptides, and oligonucleotides. We have two configurations of the platform – the RaniPill GO and the RaniPill HC. The RaniPill GO is designed to deliver up to a 3 mg dose of drug in microtablet form with high bioavailability. We are also developing a high-capacity version of the RaniPill capsule known as the RaniPill HC, which is intended to enable delivery of drug payloads up to 200µL in liquid form with high bioavailability.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of our product candidates is a RaniPill capsule containing a biologic. We may use the term RaniPill platform or RaniPill device herein to refer to the physical structure and/or mechanisms of the RaniPill capsule absent a biologic.</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The RaniPill capsule</w:t>
      </w:r>
    </w:p>
    <w:p>
      <w:pPr>
        <w:pStyle w:val="TextBody"/>
        <w:bidi w:val="0"/>
        <w:jc w:val="left"/>
        <w:rPr>
          <w:rFonts w:ascii="Times New Roman" w:hAnsi="Times New Roman"/>
          <w:color w:val="000000"/>
          <w:sz w:val="20"/>
        </w:rPr>
      </w:pPr>
      <w:r>
        <w:rPr>
          <w:rFonts w:ascii="Times New Roman" w:hAnsi="Times New Roman"/>
          <w:color w:val="000000"/>
          <w:sz w:val="20"/>
        </w:rPr>
        <w:t xml:space="preserve">The RaniPill capsule is a versatile, drug-agnostic, orally ingestible pill approximately the size of a fish oil or calcium pill or a ‘000’-sized capsule. </w:t>
      </w:r>
    </w:p>
    <w:p>
      <w:pPr>
        <w:pStyle w:val="TextBody"/>
        <w:bidi w:val="0"/>
        <w:jc w:val="left"/>
        <w:rPr/>
      </w:pPr>
      <w:r>
        <w:rPr/>
        <w:t> </w:t>
      </w:r>
    </w:p>
    <w:p>
      <w:pPr>
        <w:pStyle w:val="TextBody"/>
        <w:bidi w:val="0"/>
        <w:jc w:val="center"/>
        <w:rPr/>
      </w:pPr>
      <w:r>
        <w:rPr/>
        <w:drawing>
          <wp:inline distT="0" distB="0" distL="0" distR="0">
            <wp:extent cx="3095625" cy="2105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095625" cy="210502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RaniPill capsule in purple next to fish oil pills (gold) and calcium pills (white).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capsule includes a proprietary coating designed to withstand stomach acid but dissolve in the jejunum portion of the small intestine. Dissolution of the coating leads to a series of steps that result in a biologic being delivered into the highly vascularized wall of the small intestine so that the biologic can be absorbed into the vasculature and enter the bloodstream.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illustrations depict the RaniPill HC capsule traversing through and deploying within a lumen of the intestine illustrated in cross section.</w:t>
      </w:r>
    </w:p>
    <w:p>
      <w:pPr>
        <w:pStyle w:val="TextBody"/>
        <w:bidi w:val="0"/>
        <w:jc w:val="left"/>
        <w:rPr/>
      </w:pPr>
      <w:r>
        <w:rPr/>
        <w:t> </w:t>
      </w:r>
    </w:p>
    <w:tbl>
      <w:tblPr>
        <w:tblW w:w="10967" w:type="dxa"/>
        <w:jc w:val="left"/>
        <w:tblInd w:w="0" w:type="dxa"/>
        <w:tblLayout w:type="fixed"/>
        <w:tblCellMar>
          <w:top w:w="28" w:type="dxa"/>
          <w:left w:w="28" w:type="dxa"/>
          <w:bottom w:w="28" w:type="dxa"/>
          <w:right w:w="28" w:type="dxa"/>
        </w:tblCellMar>
      </w:tblPr>
      <w:tblGrid>
        <w:gridCol w:w="2651"/>
        <w:gridCol w:w="146"/>
        <w:gridCol w:w="2606"/>
        <w:gridCol w:w="146"/>
        <w:gridCol w:w="2636"/>
        <w:gridCol w:w="146"/>
        <w:gridCol w:w="2636"/>
      </w:tblGrid>
      <w:tr>
        <w:trPr/>
        <w:tc>
          <w:tcPr>
            <w:tcW w:w="2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r>
      <w:tr>
        <w:trPr/>
        <w:tc>
          <w:tcPr>
            <w:tcW w:w="2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5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619250" cy="952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619250" cy="9525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0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600200" cy="9239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600200" cy="9239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3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619250" cy="914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619250" cy="9144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3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590675" cy="933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590675" cy="933450"/>
                          </a:xfrm>
                          <a:prstGeom prst="rect">
                            <a:avLst/>
                          </a:prstGeom>
                        </pic:spPr>
                      </pic:pic>
                    </a:graphicData>
                  </a:graphic>
                </wp:inline>
              </w:drawing>
            </w:r>
          </w:p>
        </w:tc>
      </w:tr>
      <w:tr>
        <w:trPr/>
        <w:tc>
          <w:tcPr>
            <w:tcW w:w="2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Panel 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Panel 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Panel 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Panel D</w:t>
            </w:r>
          </w:p>
        </w:tc>
      </w:tr>
    </w:tbl>
    <w:p>
      <w:pPr>
        <w:pStyle w:val="TextBody"/>
        <w:bidi w:val="0"/>
        <w:jc w:val="left"/>
        <w:rPr/>
      </w:pPr>
      <w:r>
        <w:rPr/>
        <w:t> </w:t>
      </w:r>
    </w:p>
    <w:p>
      <w:pPr>
        <w:pStyle w:val="TextBody"/>
        <w:bidi w:val="0"/>
        <w:spacing w:before="40" w:after="240"/>
        <w:jc w:val="left"/>
        <w:rPr>
          <w:rFonts w:ascii="Times New Roman" w:hAnsi="Times New Roman"/>
          <w:sz w:val="20"/>
        </w:rPr>
      </w:pPr>
      <w:r>
        <w:rPr>
          <w:rFonts w:ascii="Times New Roman" w:hAnsi="Times New Roman"/>
          <w:color w:val="000000"/>
          <w:sz w:val="20"/>
          <w:u w:val="single"/>
        </w:rPr>
        <w:t>Panel A</w:t>
      </w:r>
      <w:r>
        <w:rPr>
          <w:rFonts w:ascii="Times New Roman" w:hAnsi="Times New Roman"/>
          <w:color w:val="000000"/>
          <w:sz w:val="20"/>
        </w:rPr>
        <w:t>: As the RaniPill capsule exits the stomach and enters the small intestine, the higher pH environment of around 6.5 in the jejunum begins to dissolve the coating.</w:t>
      </w:r>
    </w:p>
    <w:p>
      <w:pPr>
        <w:pStyle w:val="TextBody"/>
        <w:bidi w:val="0"/>
        <w:spacing w:before="0" w:after="240"/>
        <w:jc w:val="left"/>
        <w:rPr>
          <w:rFonts w:ascii="Times New Roman" w:hAnsi="Times New Roman"/>
          <w:sz w:val="20"/>
        </w:rPr>
      </w:pPr>
      <w:r>
        <w:rPr>
          <w:rFonts w:ascii="Times New Roman" w:hAnsi="Times New Roman"/>
          <w:color w:val="000000"/>
          <w:sz w:val="20"/>
          <w:u w:val="single"/>
        </w:rPr>
        <w:t>Panel B</w:t>
      </w:r>
      <w:r>
        <w:rPr>
          <w:rFonts w:ascii="Times New Roman" w:hAnsi="Times New Roman"/>
          <w:color w:val="000000"/>
          <w:sz w:val="20"/>
        </w:rPr>
        <w:t>: Dissolution of the coating exposes a balloon in the RaniPill capsule to intestinal fluid which results in the balloon self-inflating.</w:t>
      </w:r>
    </w:p>
    <w:p>
      <w:pPr>
        <w:pStyle w:val="TextBody"/>
        <w:bidi w:val="0"/>
        <w:spacing w:before="0" w:after="240"/>
        <w:jc w:val="left"/>
        <w:rPr>
          <w:rFonts w:ascii="Times New Roman" w:hAnsi="Times New Roman"/>
          <w:sz w:val="20"/>
        </w:rPr>
      </w:pPr>
      <w:r>
        <w:rPr>
          <w:rFonts w:ascii="Times New Roman" w:hAnsi="Times New Roman"/>
          <w:color w:val="000000"/>
          <w:sz w:val="20"/>
          <w:u w:val="single"/>
        </w:rPr>
        <w:t>Panel C</w:t>
      </w:r>
      <w:r>
        <w:rPr>
          <w:rFonts w:ascii="Times New Roman" w:hAnsi="Times New Roman"/>
          <w:color w:val="000000"/>
          <w:sz w:val="20"/>
        </w:rPr>
        <w:t>: Inflation of the balloon orients a microneedle contained within the balloon approximately perpendicular to the intestinal wall. The pressure in the balloon delivers drug through the microneedle, which is smaller than a grain of rice, into the intestinal wall. The microneedle dissolves in the moist tissue environment, and the drug is absorbed into the vasculature and thereby into the bloodstream.</w:t>
      </w:r>
    </w:p>
    <w:p>
      <w:pPr>
        <w:pStyle w:val="TextBody"/>
        <w:bidi w:val="0"/>
        <w:spacing w:before="0" w:after="240"/>
        <w:jc w:val="left"/>
        <w:rPr>
          <w:rFonts w:ascii="Times New Roman" w:hAnsi="Times New Roman"/>
          <w:sz w:val="20"/>
        </w:rPr>
      </w:pPr>
      <w:r>
        <w:rPr>
          <w:rFonts w:ascii="Times New Roman" w:hAnsi="Times New Roman"/>
          <w:color w:val="000000"/>
          <w:sz w:val="20"/>
          <w:u w:val="single"/>
        </w:rPr>
        <w:t>Panel D</w:t>
      </w:r>
      <w:r>
        <w:rPr>
          <w:rFonts w:ascii="Times New Roman" w:hAnsi="Times New Roman"/>
          <w:color w:val="000000"/>
          <w:sz w:val="20"/>
        </w:rPr>
        <w:t>: The balloon immediately deflates upon microneedle delivery and is excreted through normal digestive processes.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RaniPill GO operates similar to the RaniPill HC except that it delivers a dissolvable microneedle containing a solid microtablet of drug instead of delivering the drug payload in liquid form.</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Features and advantages of the RaniPill capsule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RaniPill capsule is a result of years of internal research activities to develop and optimize specialized components and systems that make up the RaniPill capsule. Several advanced features are included in the RaniPill capsule, providing what we believe to be significant and sustainable competitive advantages in the field of oral delivery of biologics. Some of the features and advantages of the RaniPill capsule are listed below.</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i/>
          <w:color w:val="000000"/>
          <w:sz w:val="20"/>
          <w:u w:val="single"/>
        </w:rPr>
        <w:t>High bioavailability and high dosing accuracy</w:t>
      </w:r>
      <w:r>
        <w:rPr>
          <w:color w:val="000000"/>
        </w:rPr>
        <w:t xml:space="preserve"> – </w:t>
      </w:r>
      <w:r>
        <w:rPr>
          <w:rFonts w:ascii="Times New Roman" w:hAnsi="Times New Roman"/>
          <w:color w:val="000000"/>
          <w:sz w:val="20"/>
        </w:rPr>
        <w:t xml:space="preserve">Our studies conducted to date have demonstrated that the RaniPill capsule delivers biologics with high bioavailability and high dosing accuracy. This level of bioavailability is significantly higher than that of currently marketed chemistry-based oral biologics, the best attempts of which to our awareness have resulted in peptides being delivered with only low single-digit bioavailability.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u w:val="single"/>
        </w:rPr>
        <w:t>Protective coating avoids deployment in the stomach</w:t>
      </w:r>
      <w:r>
        <w:rPr>
          <w:color w:val="000000"/>
        </w:rPr>
        <w:t xml:space="preserve"> – </w:t>
      </w:r>
      <w:r>
        <w:rPr>
          <w:rFonts w:ascii="Times New Roman" w:hAnsi="Times New Roman"/>
          <w:color w:val="000000"/>
          <w:sz w:val="20"/>
        </w:rPr>
        <w:t>The proprietary protective coating formulation is pH-sensitive, enabling the RaniPill capsule to maintain its integrity through the acidic environment in the stomach for deployment in the small intestine.</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u w:val="single"/>
        </w:rPr>
        <w:t>Protection of the drug prior to delivery</w:t>
      </w:r>
      <w:r>
        <w:rPr>
          <w:color w:val="000000"/>
        </w:rPr>
        <w:t xml:space="preserve"> – </w:t>
      </w:r>
      <w:r>
        <w:rPr>
          <w:rFonts w:ascii="Times New Roman" w:hAnsi="Times New Roman"/>
          <w:color w:val="000000"/>
          <w:sz w:val="20"/>
        </w:rPr>
        <w:t>The microneedle and drug are protected from intestinal fluid until delivery, and then the rapid injection of the microneedle into the intestinal wall and delivery of drug provides for little or no exposure of the microneedle or drug to intestinal fluid. This technique serves to overcome the body’s natural mechanisms that break down biologics in the harsh GI environment and thus block biologics from reaching the blood stream from within the intestine.</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u w:val="single"/>
        </w:rPr>
        <w:t>Delivery in both fed and fasted states</w:t>
      </w:r>
      <w:r>
        <w:rPr>
          <w:color w:val="000000"/>
        </w:rPr>
        <w:t xml:space="preserve"> – </w:t>
      </w:r>
      <w:r>
        <w:rPr>
          <w:rFonts w:ascii="Times New Roman" w:hAnsi="Times New Roman"/>
          <w:color w:val="000000"/>
          <w:sz w:val="20"/>
        </w:rPr>
        <w:t>The RaniPill capsule is designed to deliver the drug payload regardless of whether the patient ingests the RaniPill capsule with or without food, which we expect will allow for more flexible dosing regimens and improved patient adherence to a given regimen.</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u w:val="single"/>
        </w:rPr>
        <w:t>Self-inflating balloon ensures reliable delivery</w:t>
      </w:r>
      <w:r>
        <w:rPr>
          <w:color w:val="000000"/>
        </w:rPr>
        <w:t xml:space="preserve"> – </w:t>
      </w:r>
      <w:r>
        <w:rPr>
          <w:rFonts w:ascii="Times New Roman" w:hAnsi="Times New Roman"/>
          <w:color w:val="000000"/>
          <w:sz w:val="20"/>
        </w:rPr>
        <w:t>The proprietary self-inflating balloon is designed to provide optimal pressure to deliver the payload. In addition, the novel design of the balloon positions the microneedle approximately perpendicular to the intestinal wall for reliable drug delivery, with greater than 90% cumulative drug delivery success observed with the latest version of the RaniPill capsule used in our Phase 1 clinical trials of RT-102 and RT-111. The self-inflating balloon has been designed to minimize GI discomfort.</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u w:val="single"/>
        </w:rPr>
        <w:t>Drug-agnostic design provides a standardized platform</w:t>
      </w:r>
      <w:r>
        <w:rPr>
          <w:color w:val="000000"/>
        </w:rPr>
        <w:t xml:space="preserve"> – </w:t>
      </w:r>
      <w:r>
        <w:rPr>
          <w:rFonts w:ascii="Times New Roman" w:hAnsi="Times New Roman"/>
          <w:color w:val="000000"/>
          <w:sz w:val="20"/>
        </w:rPr>
        <w:t>The RaniPill capsule is designed to deliver any molecule irrespective of its molecular mass. This allows a single platform design to be used with multiple drugs.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u w:val="single"/>
        </w:rPr>
        <w:t xml:space="preserve">Optimized dosing regimen </w:t>
      </w:r>
      <w:r>
        <w:rPr>
          <w:color w:val="000000"/>
        </w:rPr>
        <w:t xml:space="preserve">– </w:t>
      </w:r>
      <w:r>
        <w:rPr>
          <w:rFonts w:ascii="Times New Roman" w:hAnsi="Times New Roman"/>
          <w:color w:val="000000"/>
          <w:sz w:val="20"/>
        </w:rPr>
        <w:t>Based on confirmed patient preference for oral delivery alternatives, we expect better treatment adherence with oral dosing versus injections, thus enabling a more clinically-favorable dosing regimen. For example, the RaniPill capsule may enable a regimen of small, more frequent doses, versus larger less frequent doses for injections, to improve treatment adherence. In addition, small, more frequent dosing may allow for therapeutic exposures to be maintained within a narrow range, whereas larger less frequent injection dosing can lead to large variations in therapeutic exposure, which may contribute to adverse events, loss of efficacy, and increased propensity for immunogenic response.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RaniPill HC</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continue to develop the RaniPill HC, a high-capacity RaniPill capsule designed to deliver drug payloads up to 200µL. As of January 1, 2026, we had tested more than 350 RaniPill HC devices in vivo including delivery of multiple different antibodies and peptides, including multiple animal studies with pharmacodynamic endpoints. In December 2025, we initiated a clinical trial with RT-114, a RaniPill HC capsule containing a GLP-1/GLP-2 dual agonist (PG-102), for the treatment of obesity.</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Chugai Research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May 2025, we announced that we entered the Chugai Research Agreement in August 2024 for two molecules with undisclosed targets provided by Chugai. The full analysis confirmed the RaniPill HC delivery demonstrated comparable bioavailability to the subcutaneous route of delivery for both molecules studied.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u w:val="single"/>
        </w:rPr>
      </w:pPr>
      <w:r>
        <w:rPr>
          <w:rFonts w:ascii="Times New Roman" w:hAnsi="Times New Roman"/>
          <w:color w:val="000000"/>
          <w:sz w:val="20"/>
          <w:u w:val="single"/>
        </w:rPr>
        <w:t>Previous Studies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September 2023, we announced three positive preclinical studies which support the development of the RaniPill HC device.</w:t>
      </w:r>
    </w:p>
    <w:p>
      <w:pPr>
        <w:pStyle w:val="TextBody"/>
        <w:bidi w:val="0"/>
        <w:jc w:val="left"/>
        <w:rPr>
          <w:rFonts w:ascii="Times New Roman" w:hAnsi="Times New Roman"/>
          <w:color w:val="000000"/>
          <w:sz w:val="20"/>
        </w:rPr>
      </w:pPr>
      <w:r>
        <w:rPr>
          <w:rFonts w:ascii="Times New Roman" w:hAnsi="Times New Roman"/>
          <w:color w:val="000000"/>
          <w:sz w:val="20"/>
        </w:rPr>
        <w:t>Rani conducted two preclinical studies of the RaniPill HC containing 40ug of teriparatide. In the first study, two RaniPill HC capsules were orally administered to 5 awake canine subjects sequentially, with a second RaniPill HC capsule administered after the deployment of the previous device was confirmed. In the second study, a single RaniPill HC capsule was administered to ten awake canines.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RaniPill HC achieved 18/20 successful drug delivery of teriparatide in the two studies, resulting in a cumulative 90% success rate.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Successful drug delivery was confirmed by positive drug signal for teriparatide in serum.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Devices used in these studies were separate iterations, and may not comprise all the same components expected in a final version.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Rani also conducted an additional preclinical study of RaniPill HC containing Fe57 (iron) in 2 canine subjects.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RaniPill HC containing Fe57 showed a positive drug signal comparable to subcutaneous injection.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and November 2023, we announced the completion of two preclinical studies of the RaniPill HC with antibodies, adalimumab and dupilumab. In the two studies, the RaniPill HC achieved an oral delivery success rate of 100% (10/10). In one study, we tracked the serum concentrations of adalimumab, following the oral administration of the enteric-coated RaniPill HC capsule containing 11mg of Humira (adalimumab) to four canine models. In the second study, we tracked the serum concentrations of dupilumab, following the oral administration of the enteric-coated RaniPill HC capsule containing 16.5mg of dupilumab to six canine models. In both studies, the RaniPill HC was well tolerated, all animals remained healthy throughout the study period with no clinical findings or adverse events, and all device remnants were excreted normally without sequelae.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Pharmacokinetics of Adalimumab (11mg) Delivered Orally via RaniPill HC Capsules to Awake Canines (N=4)</w:t>
      </w:r>
    </w:p>
    <w:p>
      <w:pPr>
        <w:pStyle w:val="TextBody"/>
        <w:bidi w:val="0"/>
        <w:spacing w:before="40" w:after="283"/>
        <w:jc w:val="left"/>
        <w:rPr/>
      </w:pPr>
      <w:r>
        <w:rPr/>
        <w:t> </w:t>
      </w:r>
    </w:p>
    <w:p>
      <w:pPr>
        <w:pStyle w:val="TextBody"/>
        <w:bidi w:val="0"/>
        <w:jc w:val="center"/>
        <w:rPr/>
      </w:pPr>
      <w:r>
        <w:rPr/>
        <w:drawing>
          <wp:inline distT="0" distB="0" distL="0" distR="0">
            <wp:extent cx="4210050" cy="28765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210050" cy="2876550"/>
                    </a:xfrm>
                    <a:prstGeom prst="rect">
                      <a:avLst/>
                    </a:prstGeom>
                  </pic:spPr>
                </pic:pic>
              </a:graphicData>
            </a:graphic>
          </wp:inline>
        </w:drawing>
      </w:r>
    </w:p>
    <w:p>
      <w:pPr>
        <w:pStyle w:val="TextBody"/>
        <w:bidi w:val="0"/>
        <w:spacing w:before="240" w:after="240"/>
        <w:jc w:val="center"/>
        <w:rPr>
          <w:rFonts w:ascii="Times New Roman" w:hAnsi="Times New Roman"/>
          <w:color w:val="000000"/>
          <w:sz w:val="20"/>
        </w:rPr>
      </w:pPr>
      <w:r>
        <w:rPr>
          <w:rFonts w:ascii="Times New Roman" w:hAnsi="Times New Roman"/>
          <w:color w:val="000000"/>
          <w:sz w:val="20"/>
        </w:rPr>
        <w:t>All Data are Means ± 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Pharmacokinetics of Dupilumab (16.5mg) Delivered Orally via RaniPill HC Capsules to Awake Canines (N=6)</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pPr>
      <w:r>
        <w:rPr/>
        <w:drawing>
          <wp:inline distT="0" distB="0" distL="0" distR="0">
            <wp:extent cx="4257675" cy="25431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257675" cy="2543175"/>
                    </a:xfrm>
                    <a:prstGeom prst="rect">
                      <a:avLst/>
                    </a:prstGeom>
                  </pic:spPr>
                </pic:pic>
              </a:graphicData>
            </a:graphic>
          </wp:inline>
        </w:drawing>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All Data are Means ± 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Preliminary preclinical testing supports the potential for RaniPill HC to have high reliability, and initial analysis of drug delivery via the RaniPill HC shows a potential for mimicking parenteral (subcutaneous) administration.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60-Day GLP Study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October 2023, we conducted a preclinical GLP study evaluating the safety and tolerability of the RaniPill drug delivery platform, following 60-day repeat oral administration of the test article, RT-100, in healthy animals. RT-100 is an enteric-coated capsule identical to RT-102, but instead of PTH contained the pharmaceutical excipient mannitol. The control group received a RaniPill capsule (Mock-RP) of similar weight to RT-100 but filled with potato starch. Male and female (1:1) animals were divided into two groups and were administered either Mock-RP (N=12) or RT-100 (N=24) once daily for 60 days, with half of the animals completing an additional 14-day clinical observation and safety evaluation period. RT-100 was well-tolerated with no treatment-related adverse events and all animals remained clinically healthy throughout the study.</w:t>
      </w:r>
    </w:p>
    <w:p>
      <w:pPr>
        <w:pStyle w:val="TextBody"/>
        <w:bidi w:val="0"/>
        <w:spacing w:before="0" w:after="240"/>
        <w:jc w:val="left"/>
        <w:rPr>
          <w:rFonts w:ascii="Times New Roman" w:hAnsi="Times New Roman"/>
          <w:sz w:val="20"/>
        </w:rPr>
      </w:pPr>
      <w:r>
        <w:rPr>
          <w:rFonts w:ascii="Times New Roman" w:hAnsi="Times New Roman"/>
          <w:b/>
          <w:i/>
          <w:color w:val="000000"/>
          <w:sz w:val="20"/>
        </w:rPr>
        <w:t>Platform study in humans confirming reliable deployment in fed and fasted states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An initial clinical assessment of the RaniPill capsule (without a drug) was conducted to evaluate the safety and tolerability of the platform and to compare device performance in fed and fasted states in twenty healthy volunteers, divided into two groups of ten. In one group, the RaniPill capsule was administered under fasting conditions, while the other group was given the RaniPill capsule 45 minutes after consumption of a standardized meal. X-ray imaging was used to monitor transit of the device as well as its deployment. The evaluation involved the use of capsules that were not equipped with a drug or needle. The goals of this study were tolerability and effects of food on the RaniPill capsule’s functionality, as measured by the time required for the RaniPill capsule to reach and deploy in the small intestine.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total transit time for the RaniPill capsule was longer in the fed group than in the fasted group because the capsule remained in the stomach longer in the fed group. However, food did not impact the deployment time of the RaniPill capsule. This was confirmed via radiographic tracking which showed successful balloon inflation, indicating both that the protective coating dissolved as designed and the balloon inflated as designed, regardless of the presence of matter in the lumen of the intestinal tract.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volunteers reported difficulty in swallowing the capsule, nor did any study participant report experiencing pain or sensing an awareness upon balloon deployment.</w:t>
      </w:r>
    </w:p>
    <w:p>
      <w:pPr>
        <w:pStyle w:val="Heading2"/>
        <w:bidi w:val="0"/>
        <w:spacing w:before="0" w:after="240"/>
        <w:jc w:val="left"/>
        <w:rPr>
          <w:rFonts w:ascii="Times New Roman" w:hAnsi="Times New Roman"/>
          <w:color w:val="000000"/>
          <w:sz w:val="20"/>
        </w:rPr>
      </w:pPr>
      <w:r>
        <w:rPr>
          <w:rFonts w:ascii="Times New Roman" w:hAnsi="Times New Roman"/>
          <w:color w:val="000000"/>
          <w:sz w:val="20"/>
        </w:rPr>
        <w:t>Our Regulatory Pathways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Test, approval, manufacture, and sale of our products are subject to federal, state, local, and foreign statutes and regulations. We, along with our third-party contractors, will be required to navigate the various preclinical, clinical, and commercial approval requirements of the governing regulatory authorities of the countries in which we wish to conduct studies or seek approval or licensure of our product candidates. We detail the U.S. regulatory pathway in this section. In the United States, the FDA regulates biologic products such as ours under the Federal Food, Drug and Cosmetic Act (“FDCA”) and the Public Health Service Act (“PHSA”) and their implementing regulations. Other jurisdictions will have somewhat different requirements.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FDA centers: CDRH, CBER, CDER, OCP</w:t>
      </w:r>
    </w:p>
    <w:p>
      <w:pPr>
        <w:pStyle w:val="TextBody"/>
        <w:bidi w:val="0"/>
        <w:jc w:val="left"/>
        <w:rPr>
          <w:rFonts w:ascii="Times New Roman" w:hAnsi="Times New Roman"/>
          <w:color w:val="000000"/>
          <w:sz w:val="20"/>
        </w:rPr>
      </w:pPr>
      <w:r>
        <w:rPr>
          <w:rFonts w:ascii="Times New Roman" w:hAnsi="Times New Roman"/>
          <w:color w:val="000000"/>
          <w:sz w:val="20"/>
        </w:rPr>
        <w:t>Each of our product candidates includes the RaniPill platform and a biologic. The RaniPill platform, if marketed without a biologic, would be classified by the FDA as a device regulated by the Center for Devices and Radiological Health (“CDRH”). A biologic, if marketed without the RaniPill platform, would be classified by the FDA as either a “biological product” or a “drug.” Drugs and certain biological products, including monoclonal antibodies and proteins intended for therapeutic use, are regulated by the Center for Drug Evaluation and Research (“CDER”) and certain biological products, including vaccines, cellular products and gene therapy products, are regulated by the Center for Biologics Evaluation and Research (“CBER”). The classification as biological product or drug would depend on the FDA’s definition of “biological product” with respect to the active ingredient of a product candidate at the time a request for regulatory license or approval is submitted to the FDA to market that product candidate. The FDA currently defines a biological product as “a virus, therapeutic serum, toxin, antitoxin, vaccine, blood, blood component or derivative, allergenic product, protein, or analogous product, or arsphenamine or derivative of arsphenamine (or any other trivalent organic arsenic compound), applicable to the prevention, treatment, or cure of a disease or condition of human beings,” and defines a protein as an “alpha amino acid polymer with a specific, defined sequence that is greater than 40 amino acids in size.”</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Because our product candidates each include a device and a biologic, it is expected that each of our product candidates will be classified by the FDA as a combination product. The FDA is charged with assigning a center with primary jurisdiction, or a lead center, for review of a combination product. The designation of a lead center generally eliminates the need to receive approvals from more than one center. The determination of which center will be the lead center is based on the “primary mode of action” of the combination product, although the other centers may participate in review. The FDA has also established an Office of Combination Products, (“OCP”), which serves as a focal point for combination product issues for agency reviewers and industry. OCP is also responsible for developing guidance and regulations to clarify the regulation of combination products, and for assignment of the FDA center that has primary jurisdiction for review of combination products where the jurisdiction is unclear or in dispute.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It is expected that most of our product candidates will include a biologic within the FDA’s definition of “biological product” and some of our product candidates may include a biologic that will be considered a “drug.” CDER is the lead center for review of monoclonal antibodies and therapeutic proteins at this time, thus most of our product candidates will have CDER as the lead center.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each product candidate, we will perform numerous preclinical laboratory tests and animal studies, as well as perform human clinical trials. Preclinical laboratory tests, preclinical animal studies, and/or clinical trials may be ongoing concurrently for a product candidate in focused studies to assess various properties of a formulation and/or the platform of the product candidate. Animal studies require pre-approval by an independent institutional review board (“IRB”) or ethics committee. Human studies in the United States require pre-approval by the FDA. For FDA approval of a human trial, if the trial will involve a biologic alone then an IND application will be needed, and if the trial will involve the RaniPill platform alone then an investigational device exemption (“IDE”) application will be needed. For a clinical trial in which the RaniPill platform will be used in combination with a biologic, we must submit an IDE application if the lead center is CDRH or an IND application if the lead center is CBER or CDER. For the RaniPill platform used in combination with a biologic, it is expected that CBER or CDER will be the lead center. IND and IDE applications are discussed in more detail below.</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Approval or license to market the RaniPill capsule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FDA has specified a BLA path for seeking a license to market a biological product and a new drug application path for seeking approval to market a drug. It is expected that most of our product candidates will follow the BLA path while some may follow the NDA path.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current pipeline includes well-characterized biologics that have been in clinical use for several years. We believe that we may be able to leverage the FDA’s prior conclusions of safety, purity, and potency for already-approved products in our own BLA or NDA. The degree to which we may be able to reduce the burden on our own development may depend on whether the API or drug substance is the same as the original approved product. Additionally, because certain products originally approved under an NDA have been reclassified by the FDA and would now follow a BLA pathway, it is unclear whether conclusions regarding such reclassified products can be leveraged in our BLA submissions. We intend to have the scope of the leverage that will be available from already-approved biologics clarified on a product-by-product basis for each product candidate in pre-IND meetings with the FDA.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have completed a pre-IND meeting with the FDA with respect to RT-102. Following feedback from the meeting, we believe that a 505(b)(2) pathway is suitable for development of RT-102 in the U.S. The regulatory development pathway for each of our product candidates is dependent on the molecule being delivered and therefore may be different than the pathway for RT-102.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CBER and CDER may ask for additional testing for specific biologics, disease indications, or patient populations.</w:t>
      </w:r>
    </w:p>
    <w:p>
      <w:pPr>
        <w:pStyle w:val="TextBody"/>
        <w:bidi w:val="0"/>
        <w:spacing w:before="0" w:after="240"/>
        <w:jc w:val="left"/>
        <w:rPr>
          <w:rFonts w:ascii="Times New Roman" w:hAnsi="Times New Roman"/>
          <w:sz w:val="20"/>
        </w:rPr>
      </w:pPr>
      <w:r>
        <w:rPr>
          <w:rFonts w:ascii="Times New Roman" w:hAnsi="Times New Roman"/>
          <w:color w:val="000000"/>
          <w:sz w:val="20"/>
        </w:rPr>
        <w:t>Additional information regarding regulatory pathways is provided in the “</w:t>
      </w:r>
      <w:r>
        <w:rPr>
          <w:rFonts w:ascii="Times New Roman" w:hAnsi="Times New Roman"/>
          <w:i/>
          <w:color w:val="000000"/>
          <w:sz w:val="20"/>
        </w:rPr>
        <w:t>Government Regulation</w:t>
      </w:r>
      <w:r>
        <w:rPr>
          <w:rFonts w:ascii="Times New Roman" w:hAnsi="Times New Roman"/>
          <w:color w:val="000000"/>
          <w:sz w:val="20"/>
        </w:rPr>
        <w:t>” section below.</w:t>
      </w:r>
    </w:p>
    <w:p>
      <w:pPr>
        <w:pStyle w:val="Heading2"/>
        <w:bidi w:val="0"/>
        <w:spacing w:before="0" w:after="240"/>
        <w:jc w:val="left"/>
        <w:rPr>
          <w:rFonts w:ascii="Times New Roman" w:hAnsi="Times New Roman"/>
          <w:color w:val="000000"/>
          <w:sz w:val="20"/>
        </w:rPr>
      </w:pPr>
      <w:r>
        <w:rPr>
          <w:rFonts w:ascii="Times New Roman" w:hAnsi="Times New Roman"/>
          <w:color w:val="000000"/>
          <w:sz w:val="20"/>
        </w:rPr>
        <w:t xml:space="preserve">License and Evaluation Agreements </w:t>
      </w:r>
    </w:p>
    <w:p>
      <w:pPr>
        <w:pStyle w:val="TextBody"/>
        <w:bidi w:val="0"/>
        <w:jc w:val="left"/>
        <w:rPr>
          <w:rFonts w:ascii="Times New Roman" w:hAnsi="Times New Roman"/>
          <w:b/>
          <w:i/>
          <w:color w:val="000000"/>
          <w:sz w:val="20"/>
        </w:rPr>
      </w:pPr>
      <w:r>
        <w:rPr>
          <w:rFonts w:ascii="Times New Roman" w:hAnsi="Times New Roman"/>
          <w:b/>
          <w:i/>
          <w:color w:val="000000"/>
          <w:sz w:val="20"/>
        </w:rPr>
        <w:t>Chugai Pharmaceutical Co., Ltd.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2025, we entered into the Chugai Collaboration and License Agreement with Chugai to develop, manufacture, seek regulatory approvals for and, if approved, commercialize the Chugai Product combining Chugai’s Compound, which is in development for hemophilia, and the RaniPill HC oral delivery device for use in humans. Under the Chugai Collaboration and License Agreement, we received a $10.0 million upfront payment and we are eligible to receive up to $18.0 million in technology transfer milestones, up to $57.0 million in development milestones, up to $100.0 million in a series of sales-based milestones, contingent upon approval and the commercial success of the Chugai Product, and single digit royalties on net sales upon approval and successful commercialization of the Chugai Product. Of the $10.0 million upfront payment, $8.0 million was received in cash and $2.0 million remains in accounts receivable relates to tax withheld by the Japanese tax authorities, which is expected to be refunded to us upon submission and acceptance of the required residency certificate.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a development plan, the parties have allocated responsibility for the development of the Chugai Product worldwide, with Chugai leading and having sole responsibility for clinical, regulatory, and commercial activities. The parties will allocate preclinical, Chemistry Manufacturing and Controls, and manufacturing and supply activities between each other. Chugai is primarily responsible for preclinical development, and for the manufacturing and supply of the Compound. Rani is primarily responsible for seeking positive regulatory feedback related to the sterility of the microneedle used in the RaniPill, providing regulatory support to Chugai when requested, performing Chemistry Manufacturing and Controls activities related to the RaniPill and manufacturing and supply of the Chugai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Chugai Collaboration and License Agreement, we granted Chugai an exclusive, worldwide right and license to certain intellectual property owned by us to research, develop, register, manufacture, use, sell, offer to sell, import, export, commercialize, and market the Chugai Product. Chugai granted us a non-exclusive, worldwide right and license to certain intellectual property owned by Chugai to manufacture and supply the RaniPill and Chugai Product to Chugai and to perform our activities under the Chugai Collaboration and License Agreement. Both parties have the right to sublicense subject to certain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Chugai has a one-time limited option to replace the Compound with a different compound subject to certain terms and conditions, a time-limited right of first refusal with respect to a select group of additional targets, and a time-limited option to extend its rights to up to five of the additional drug targets under similar deal terms as the Chugai Collaboration and License Agreement.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ProGen Co., Ltd.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June 2024, we entered into a collaboration agreement (the "ProGen Collaboration Agreement") with with ProGen Co. Ltd. ("ProGen"). Under the ProGen Collaboration Agreement, the parties will collaborate to manufacture, develop, seek regulatory approvals for and, if approved, commercialize a product (RT-114) combining ProGen’s GLP-1/GLP-2 dual agonist compound, PG-102, and the RaniPill HC oral delivery device in the field of weight management (including without limitation obesity, weight reduction and weight maintenance) in humans.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ProGen Collaboration Agreement, development costs, as well as operating profits and losses from the commercialization of the product, will be equally shared by us and ProGen. We and ProGen each granted to the other party an exclusive right and license (except with respect to the other party’s affiliates and sublicensees) to certain intellectual property to develop RT-114 for weight management and an exclusive right and license to seek regulatory approval for, and to use, sell, offer to sell, import and commercialize RT-114 in their assigned territories. The parties share responsibility for the development of RT-114 worldwide, with Rani leading such development for preclinical activities through Phase 1 clinical trials. After initiation of the first Phase 2 clinical trial, we will lead development and commercialization of RT-114 in the United States, Canada, Europe (including the United Kingdom) and Australia, and ProGen will lead development and commercialization in all other countries.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Each party has the right to opt-out of the ProGen Collaboration Agreement (“Opt-Out”) at any time upon prior written notice to the other party. Following an Opt-Out, the continuing party shall have sole right to develop, conduct regulatory activities for and commercialize RT-114 on a worldwide basis. The Opt-Out party shall share all development costs and operating profit (or loss) through the effective date of the Opt-Out, and all costs to complete the conduct of any clinical trials of RT-114 that have been initiated prior to delivery of the Opt-Out notice, even if the costs are incurred or the trials are completed after the effective date of the Opt-Out. The continuing party shall pay to the Opt-Out party low single to mid-single digit royalties on net sales of RT-114 made after the Opt-Out date depending on when the Opt-Out occurs.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Celltrion license and supply agreements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January 2023, we entered into a License and Supply Agreement with Celltrion regarding its ustekinumab biosimilar, CT-P43 (the “Ustekinumab Celltrion Agreement"). In June 2023, we entered into a License and Supply Agreement with Celltrion regarding its adalimumab biosimilar (the “Adalimumab Celltrion Agreement” and together with the Ustekinumab Celltrion Agreement, the “Celltrion Agreements”). Under the Celltrion Agreements, Celltrion grants us an exclusive, worldwide, royalty-free license to certain intellectual property to make, use, sell, offer for sale, import and otherwise exploit RT-111 and RT-105 and to use certain information to support the manufacture, development and commercialization of RT-111 and RT-105. Celltrion will provide, and we will purchase, supply of ustekinumab biosimilar and adalimumab biosimilar at supply prices set forth in the respective Celltrion Agreement. We will obtain ustekinumab biosimilar and adalimumab biosimilar exclusively from Celltrion for the manufacture, development and commercialization of RT-111 and RT-105, respectively, subject to a right to obtain supply from alternative sources under certain circumstances where Celltrion experiences supply disruption.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Celltrion Agreements, we have sole right to manufacture, develop and commercialize RT-111 and RT-105 worldwide, subject to an exclusive right of first negotiation (“ROFN”) granted to Celltrion for each program. For each program, following our delivery to Celltrion of a data package consisting of topline safety information, pharmacokinetic results and device performance, and the raw data related to topline results from a Phase 1 clinical trial of such program that meets its primary endpoint(s), Celltrion will have 30 days to exercise its ROFN with respect to that program. The ROFN with respect to RT-111 has expired and we have not yet initiated a Phase 1 clinical trial with respect to RT-105.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Celltrion Agreements allocate rights between the parties with respect to inventions generated in performance of the agreement for the manufacture, development and commercialization of each of RT-111 and RT-105, respectively. Celltrion will own intellectual property generated in the programs solely related to its ustekinumab biosimilar or adalimumab biosimilar, respectively. We will own all other intellectual property generated in the programs, and we grant Celltrion an exclusive, worldwide license under such intellectual property solely for use with its ustekinumab biosimilar or adalimumab biosimilar, respectively. We will own all data related to the research, development, manufacture, regulatory activities and commercialization of RT-111 and RT-105 conducted by us. The Celltrion Agreements also contain customary representations, warranties and covenants, and mutual indemnification provisions. We have a right to terminate each agreement for convenience subject to certain notice periods. Celltrion has a right to terminate each agreement if we do not achieve certain development milestones with respect to that agreement, and each party has certain rights to terminate the applicable agreement for material breach or safety concerns regarding the ustekinumab biosimilar or RT-111, or adalimumab biosimilar or RT-105, respectively. Celltrion currently has a right to terminate the Adalimumab Celltrion Agreement because we did not initiate a Phase 1 clinical trial within a certain period specified in the Adalimumab Celltrion Agreement.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Evaluation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August 2024, we entered into the Chugai Research Agreement with Chugai to conduct evaluation services of certain Chugai compounds for oral delivery using the RaniPill HC, which was concluded to be a single performance obligation with an enforceable right to payment. Chugai paid us an up-front payment of $0.6 million upon execution of the Chugai Research Agreement. Upon completion of the evaluation services, in April 2025, we were paid a final $0.6 million for an aggregate total of $1.2 million due under the Chugai Research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May 2025, we publicly announced the Chugai Research Agreement and that the full analysis confirmed the RaniPill HC delivery demonstrated comparable bioavailability to the subcutaneous route of delivery for both molecules studied.</w:t>
      </w:r>
    </w:p>
    <w:p>
      <w:pPr>
        <w:pStyle w:val="Heading2"/>
        <w:bidi w:val="0"/>
        <w:spacing w:before="0" w:after="240"/>
        <w:jc w:val="left"/>
        <w:rPr>
          <w:rFonts w:ascii="Times New Roman" w:hAnsi="Times New Roman"/>
          <w:color w:val="000000"/>
          <w:sz w:val="20"/>
        </w:rPr>
      </w:pPr>
      <w:r>
        <w:rPr>
          <w:rFonts w:ascii="Times New Roman" w:hAnsi="Times New Roman"/>
          <w:color w:val="000000"/>
          <w:sz w:val="20"/>
        </w:rPr>
        <w:t xml:space="preserve">Manufacturing and Quality Assurance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currently manufacture and assemble RaniPill capsules ourselves. We also inspect, package and ship finished products to support our clinical trials. We are intentionally pursuing a vertically integrated manufacturing strategy, which we believe offers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Each RaniPill capsule is assembled through a process which involves a series of integrated, well-developed, and highly reproducible steps that have been optimized to consistently produce capsules of high reliability.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RaniPill capsule manufacturing process </w:t>
      </w:r>
    </w:p>
    <w:p>
      <w:pPr>
        <w:pStyle w:val="TextBody"/>
        <w:bidi w:val="0"/>
        <w:spacing w:before="0" w:after="240"/>
        <w:jc w:val="center"/>
        <w:rPr/>
      </w:pPr>
      <w:r>
        <w:rPr/>
        <w:drawing>
          <wp:inline distT="0" distB="0" distL="0" distR="0">
            <wp:extent cx="5581650" cy="6762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581650" cy="676275"/>
                    </a:xfrm>
                    <a:prstGeom prst="rect">
                      <a:avLst/>
                    </a:prstGeom>
                  </pic:spPr>
                </pic:pic>
              </a:graphicData>
            </a:graphic>
          </wp:inline>
        </w:drawing>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Microtableting only applicable to drugs formulated for use in the RaniPill GO capsule.</w:t>
      </w:r>
    </w:p>
    <w:p>
      <w:pPr>
        <w:pStyle w:val="TextBody"/>
        <w:bidi w:val="0"/>
        <w:jc w:val="left"/>
        <w:rPr>
          <w:rFonts w:ascii="Times New Roman" w:hAnsi="Times New Roman"/>
          <w:color w:val="000000"/>
          <w:sz w:val="20"/>
        </w:rPr>
      </w:pPr>
      <w:r>
        <w:rPr>
          <w:rFonts w:ascii="Times New Roman" w:hAnsi="Times New Roman"/>
          <w:color w:val="000000"/>
          <w:sz w:val="20"/>
        </w:rPr>
        <w:t>For the RaniPill GO, a drug API or drug substance combined with excipients specific to the drug API or drug substance is lyophilized and compressed into a solid microtablet form. The microtablet (in the case of RaniPill GO) or liquid drug (in the case of RaniPill HC) is sealed inside a microsyringe under aseptic conditions. The microsyringe is incorporated in the RaniPill capsule, which is given a protective coating. Each of these steps in the manufacturing process has been subjected to rigorous testing and process qualification procedures to ensure manufacturing consistency. In the case of ustekinumab for RT-111 and adalimumab for RT-105, we obtain supply of drug substance from Celltrion under the Celltrion Agreements. In the case of PG-102 for RT-114, we obtain supply of drug substance from ProGen under the ProGen Collaboration Agreement. For other APIs or drug substances, we rely on non-exclusive, third-party relationships with several manufacturers for the drug API or drug substance. We maintain in-house capabilities related to the aseptic manufacturing, following FDA Current Good Manufacturing Practice (“cGMP”) regulations for drugs that contain minimum requirements for the methods, facilities, and controls used in manufacturing, processing, and packing of a drug product guidelines. Our personnel have significant technical, manufacturing, analytical, quality, regulatory, and project management experience to oversee our third-party manufacturers and to manage in-house manufacturing and quality operations in compliance with regulatory requirements.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current semi-automated manufacturing process will be sufficient to support our currently planned clinical trials. In parallel, we are in the process of automating the entire manufacturing process, which we anticipate being complete by the time the RaniPill capsule is commercialized.</w:t>
      </w:r>
    </w:p>
    <w:p>
      <w:pPr>
        <w:pStyle w:val="Heading2"/>
        <w:bidi w:val="0"/>
        <w:spacing w:before="0" w:after="240"/>
        <w:jc w:val="left"/>
        <w:rPr>
          <w:rFonts w:ascii="Times New Roman" w:hAnsi="Times New Roman"/>
          <w:color w:val="000000"/>
          <w:sz w:val="20"/>
        </w:rPr>
      </w:pPr>
      <w:r>
        <w:rPr>
          <w:rFonts w:ascii="Times New Roman" w:hAnsi="Times New Roman"/>
          <w:color w:val="000000"/>
          <w:sz w:val="20"/>
        </w:rPr>
        <w:t>Commercialization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Markets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key markets for our products, once approved, will be in the United States, Europe, and Asia.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Sales and supply infrastructure</w:t>
      </w:r>
    </w:p>
    <w:p>
      <w:pPr>
        <w:pStyle w:val="TextBody"/>
        <w:bidi w:val="0"/>
        <w:jc w:val="left"/>
        <w:rPr>
          <w:rFonts w:ascii="Times New Roman" w:hAnsi="Times New Roman"/>
          <w:color w:val="000000"/>
          <w:sz w:val="20"/>
        </w:rPr>
      </w:pPr>
      <w:r>
        <w:rPr>
          <w:rFonts w:ascii="Times New Roman" w:hAnsi="Times New Roman"/>
          <w:color w:val="000000"/>
          <w:sz w:val="20"/>
        </w:rPr>
        <w:t>Development of our product candidates includes identifying sources that can provide consistent quality and increasing quantities of APIs or drug substance to meet our needs through in vitro studies, preclinical studies, and clinical trials, and later into commercialization. We currently do not have agreements in place for long-term supplies of any API or drug substance, other than ustekinumab biosimilar for RT-111, adalimumab biosimilar for RT-105 and PG-102 for RT-114. Availability of API or drug substance supply may inform our decisions regarding which product candidates present the best development opportunities.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Currently we do not have any approved products. We intend to either develop the commercialization sales and supply infrastructure as our product candidates are approved, or partner with pharmaceutical companies or distributors for commercialization.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Coverage and reimbursement of approved products by third-party payors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the payors. Decisions regarding whether to cover a product, the extent of coverage, and the amount of reimbursement to be provided are made separately, and these decisions are made on a plan-by-plan basis because there is no uniform policy for coverage and reimbursement. As a result, one payor’s decision to cover a particular product does not ensure that other payors will also provide coverage for the product, or that any of the reimbursement rates will be adequate.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Third-party payors often rely upon Medicare coverage policy and payment limitations in setting their own coverage policy, formulary, and reimbursement rates, but also have their own methods and approval process apart from Medicare determinations. As a result, the coverage determination process is often a time-consuming and costly process that will require us to provide scientific, clinical, and/or cost-effectiveness support for the use of our products to each payor separately, with no assurance that coverage and adequate reimbursement will be applied consistently or obtained in the first instance.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products administered under the supervision of a physician, obtaining coverage and adequate reimbursement may be particularly difficult because of the higher prices often associated with such drugs. Additionally, separate reimbursement for the treatment or procedure in which the product is used may not be available, which may impact physician utilization.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the U.S. government, state legislatures, and foreign governments have continued implementing cost-containment programs, including price controls, restrictions on coverage and reimbursement, and requirements for substitution of generic products when available. For example, the U.S. Department of Health and Human Services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Third-party payors are increasingly challenging prices charged, examining medical necessity, and reviewing cost effectiveness in addition to questioning safety and efficacy. A decrease in, or decision to stop, payor reimbursement for a product could reduce physician prescribing of, and patient demand for, the product. </w:t>
      </w:r>
    </w:p>
    <w:p>
      <w:pPr>
        <w:pStyle w:val="TextBody"/>
        <w:bidi w:val="0"/>
        <w:spacing w:before="0" w:after="240"/>
        <w:jc w:val="left"/>
        <w:rPr>
          <w:rFonts w:ascii="Times New Roman" w:hAnsi="Times New Roman"/>
          <w:sz w:val="20"/>
        </w:rPr>
      </w:pPr>
      <w:r>
        <w:rPr>
          <w:rFonts w:ascii="Times New Roman" w:hAnsi="Times New Roman"/>
          <w:b/>
          <w:i/>
          <w:color w:val="000000"/>
          <w:sz w:val="20"/>
        </w:rPr>
        <w:t>Competition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industry is highly competitive and subject to rapid and significant technological changes as researchers learn more about diseases and develop new technologies and treatments. Key competitive factors affecting the commercial success of product candidates we may develop are likely to be efficacy, safety and tolerability profile, reliability, convenience of administration, price, and reimbursement.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Broadly speaking, we will face competition from current and future (generic or biosimilar) manufacturers of the branded injectable versions of our pipeline drugs, manufacturers such as AbbVie Inc., Eli Lilly and Company, and Johnson &amp; Johnson Innovative Medicine. However, we believe that oral biologics have the potential to take significant market share from current injectable therapies. We also believe that oral biologics have the potential to expand existing markets by an early reach into new patient populations that are averse to taking injections.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aware of certain other companies that are pursuing oral biologics through either device-based or chemistry-based technologies. We may also face competition from companies that develop oral small molecule therapeutics to the same biological targets as biologics incorporated into our RaniPill capsule. Early-stage device-based technologies such as the SOMA and LUMI from the Novo Nordisk-MIT collaboration were reported to be in early clinical and preclinical stages, respectively. Three other companies pursuing a device-based approach are Biograil ApS, Biora Therapeutics, Inc., and Alma Therapeutics, all of which were reported to be in a preclinical stage of development. In December 2024, Biora announced that it is undertaking a Chapter 11 sale process. After the sale process concluded in May 2025, the bankruptcy case converted from Chapter 11 to Chapter 7, indicating a liquidation of Biora’s remaining assets. Chemistry-based oral delivery companies include, but are not limited to, Oramed Pharmaceuticals, Inc., Entera Bio Ltd., Protagonist Therapeutics, Inc., Intract Pharma, Eli Lilly and Company, and three with recently approved oral peptide products – Mycapssa from Chiesi Farmaceutici SpA and oral Wegovy and Rybelsus from Novo Nordisk A/S. Chemistry-based approaches have limited applications because they work only for small peptides and, even then, with low (often less than 1%) bioavailability, far lower than injections. In contrast, our versatile technology is designed to deliver biologics, from small peptides to large proteins, irrespective of molecular mass and with bioavailability similar to that of injections.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could also face competition from implantable device companies, such as Vivani Medical Inc., and gene and cell therapy companies. Our product candidates aim to treat chronic diseases. As a result, we also compete with curative therapies on the basis that they cure the chronic disease we are intending to treat.</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Environmental impact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instituted policies and procedures related to appropriate chemical and biological material handling, use, and disposal in our facilities, and we train our employees on these policies and procedures.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Regulations in certain jurisdictions may require us to submit with our marketing approval request an environmental impact assessment related to our biologics, our RaniPill platform, or both. Such assessments could cause significant expenditures. We may be able to reduce expenditures related to these assessments for biologics already approved for marketing.</w:t>
      </w:r>
    </w:p>
    <w:p>
      <w:pPr>
        <w:pStyle w:val="Heading2"/>
        <w:bidi w:val="0"/>
        <w:spacing w:before="0" w:after="240"/>
        <w:jc w:val="left"/>
        <w:rPr>
          <w:rFonts w:ascii="Times New Roman" w:hAnsi="Times New Roman"/>
          <w:color w:val="000000"/>
          <w:sz w:val="20"/>
        </w:rPr>
      </w:pPr>
      <w:r>
        <w:rPr>
          <w:rFonts w:ascii="Times New Roman" w:hAnsi="Times New Roman"/>
          <w:color w:val="000000"/>
          <w:sz w:val="20"/>
        </w:rPr>
        <w:t xml:space="preserve">Intellectual Property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commercial success depends in part on our ability to obtain and maintain protection for our current and future product candidates and the technologies used to develop and manufacture them. Our development efforts have enabled us to construct an extensive intellectual property portfolio that we believe provides us a competitive advantage. Our policy is to seek to protect our proprietary position through patents, trademarks, trade secrets, domain names, intellectual property assignment agreements, confidentiality agreements, and facility and network security measures. Some of our intellectual property is in-licensed. We believe that our intellectual property portfolio provides good coverage for our current and pipeline product candidates. </w:t>
      </w:r>
    </w:p>
    <w:p>
      <w:pPr>
        <w:pStyle w:val="TextBody"/>
        <w:bidi w:val="0"/>
        <w:spacing w:before="0" w:after="240"/>
        <w:jc w:val="left"/>
        <w:rPr>
          <w:rFonts w:ascii="Times New Roman" w:hAnsi="Times New Roman"/>
          <w:sz w:val="20"/>
        </w:rPr>
      </w:pPr>
      <w:r>
        <w:rPr>
          <w:rFonts w:ascii="Times New Roman" w:hAnsi="Times New Roman"/>
          <w:color w:val="000000"/>
          <w:sz w:val="20"/>
        </w:rPr>
        <w:t>For information regarding the risks related to our intellectual property, see the section titled “</w:t>
      </w:r>
      <w:r>
        <w:rPr>
          <w:rFonts w:ascii="Times New Roman" w:hAnsi="Times New Roman"/>
          <w:i/>
          <w:color w:val="000000"/>
          <w:sz w:val="20"/>
        </w:rPr>
        <w:t>Risk Factors— Risks Related to Our Intellectual Property.”</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Exclusive License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June 2021, we entered into an Amended and Restated Exclusive License Agreement with InCube Labs, LLC (“ICL”), which replaced the 2012 Exclusive License Agreement between ICL and Rani LLC, as amended in 2013, and terminated the 2012 Intellectual Property Agreement between ICL and Rani LLC, as amended in June 2013. Under the Amended and Restated Exclusive License Agreement, we had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were allowed to terminate the Amended and Restated Exclusive License Agreement in its entirety or as to any particular licensed patent upon notification to ICL of such intent to terminate.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2025, as part of a strategic focusing of our resources, we notified ICL that we are terminating the Amended and Restated Exclusive License Agreement in its entirety. The termination became effective on January 18, 2026, and we no longer have any obligations to ICL under the Amended and Restated Exclusive License Agreement.</w:t>
      </w:r>
    </w:p>
    <w:p>
      <w:pPr>
        <w:pStyle w:val="TextBody"/>
        <w:bidi w:val="0"/>
        <w:spacing w:before="240" w:after="240"/>
        <w:jc w:val="left"/>
        <w:rPr>
          <w:rFonts w:ascii="Times New Roman" w:hAnsi="Times New Roman"/>
          <w:sz w:val="20"/>
        </w:rPr>
      </w:pPr>
      <w:r>
        <w:rPr>
          <w:rFonts w:ascii="Times New Roman" w:hAnsi="Times New Roman"/>
          <w:b/>
          <w:i/>
          <w:color w:val="000000"/>
          <w:sz w:val="20"/>
        </w:rPr>
        <w:t>Patents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have built a patent portfolio globally around several aspects of the current and future generations of our technology. We file new patent applications as we conduct research and development, initiate new programs and monitor the activities of others. Generally, issued patents are granted a term of 20 years from the earliest claimed non-provisional filing date if all fees continue to be paid. In some cases, the term of a United States patent may be shortened by terminal disclaimer, such that its term is reduced to end with that of an earlier-expiring patent. In some cases, U.S. patent term can be adjusted to recapture a portion of delay by the U.S. Patent &amp; Trademark Office (“USPTO”) in examining the patent application (patent term adjustment) or extended to account for term effectively lost as a result of the FDA regulatory review period (patent term extension), or both.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initial patent family has a priority date in 2009, with patent term expected to extend into at least 2030 if all fees are paid. This patent family claims many device aspects of the RaniPill platform, including aspects of the RaniPill GO and certain aspects of the RaniPill HC, and the delivery of a wide variety of biologics using the RaniPill platform. As of January 1, 2026, this patent family included patents issued in the United States and in other jurisdictions (in Australia, Austria, Belgium, Canada, China, Denmark, Finland, France, Germany, Hong Kong, India, Ireland, Italy, Japan, Netherlands, Norway, Poland, Portugal, Spain, Sweden, Switzerland, Turkey, and the United Kingdom), with applications pending in the United States, Australia, Canada, China, Europe, Hong Kong, and Japan.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also own several patent families directed to the RaniPill HC. These patent families have priority dates in 2020, 2022, 2023, 2024, and 2025, with patent term expected to extend into at least 2046 if all fees are paid. As of January 1, 2026, this patent family included a patent granted in Japan and applications pending in the United States, the international PCT stage, and other jurisdictions (in Australia, Brazil, Canada, China, Europe, Japan, Israel, South Korea, and Mexico). These patent families include claims directed to device aspects, devices containing specific biologics, methods of preparing such devices, and methods of delivering a wide variety of biologics using the RaniPill HC.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microtablet patent family includes claims covering the microtablets delivered by the RaniPill GO. This patent family has a priority date in 2014, and is expected to have patent terms extending into at least 2035 if all fees are paid. As of January 1, 2026, this patent family included patents issued in the United States and other jurisdictions (i.e., Australia, Canada, China, and Japan), with applications pending in the United States, China, and Japan.</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own numerous additional patents and patent applications, with claims to additional biologics, pharmacologic properties of various biologics and other ingestible device technologies, with patents granted in the United States, Australia, and Japan, and applications pending in the United States, Australia, Brazil, Canada, China, Europe, Hong Kong, India, Japan, Mexico, and South Korea. Patents in these families are expected to expire between the late 2030s and mid 2040s if all fees are paid.</w:t>
      </w:r>
    </w:p>
    <w:p>
      <w:pPr>
        <w:pStyle w:val="TextBody"/>
        <w:bidi w:val="0"/>
        <w:spacing w:before="0" w:after="240"/>
        <w:jc w:val="left"/>
        <w:rPr>
          <w:rFonts w:ascii="Times New Roman" w:hAnsi="Times New Roman"/>
          <w:sz w:val="20"/>
        </w:rPr>
      </w:pPr>
      <w:r>
        <w:rPr>
          <w:rFonts w:ascii="Times New Roman" w:hAnsi="Times New Roman"/>
          <w:b/>
          <w:i/>
          <w:color w:val="000000"/>
          <w:sz w:val="20"/>
        </w:rPr>
        <w:t>Trade secrets and other proprietary information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rely in part on keeping our trade secrets and other proprietary information confidential. We protect proprietary information by executing confidentiality agreements and intellectual property assignment agreements with employees, and consulting or other contractual agreements with consultants, scientific advisors, sponsored researchers, contractors, and other collaborators, prior to commencement of our relationship with them. Confidentiality agreements limit use and disclosure of our confidential information during and after the relationship. Intellectual property assignment agreements require that all inventions resulting from work performed for us or relating to our business and conceived during the period of the relationship are our exclusive property. We take other appropriate precautions, such as physical and technological security measures, to guard against misappropriation of our proprietary information by third parties. </w:t>
      </w:r>
    </w:p>
    <w:p>
      <w:pPr>
        <w:pStyle w:val="Heading2"/>
        <w:bidi w:val="0"/>
        <w:spacing w:before="0" w:after="240"/>
        <w:jc w:val="left"/>
        <w:rPr>
          <w:rFonts w:ascii="Times New Roman" w:hAnsi="Times New Roman"/>
          <w:color w:val="000000"/>
          <w:sz w:val="20"/>
        </w:rPr>
      </w:pPr>
      <w:r>
        <w:rPr>
          <w:rFonts w:ascii="Times New Roman" w:hAnsi="Times New Roman"/>
          <w:color w:val="000000"/>
          <w:sz w:val="20"/>
        </w:rPr>
        <w:t xml:space="preserve">Government Regulation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products such as those we are developing. We, along with our third-party contractors and/or collaboration partners, will be required to navigate the various preclinical, clinical, and commercial approval requirements of the governing regulatory authorities of the countries in which we wish to conduct studies or seek approval or licensure of our product candidates. Failure to comply with applicable regulations at any time during the product development process or approval process or after approval may result in delays to the conduct of a study, regulatory review, or commercialization authorization, or may subject an applicant to administrative or judicial actions. In the United States, such actions could include, among other actions, refusal to allow proceeding with clinical trials, imposition of a clinical hold, refusal to approve pending applications, withdrawal of an approval, license suspension or revocation, issuance of untitled or warning letters, product recalls or withdrawals from the market, product seizures, total or partial suspension of production or distribution, injunctions, fines, refusals of government contracts, restitution, disgorgement of profits, or civil or criminal investigations or penalties.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Current Good Manufacturing Practices (“cGMP”)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To obtain marketing approval for a candidate product, we must finalize processes for manufacturing the product in commercial quantities in accordance with cGMP requirements. These processes must address design, monitoring, control, and maintenance of manufacturing processes and facilities, and the implemented processes must be capable of consistently producing quality batches of the product candidate. Our processes must, among other things, enable us to monitor several aspects of the interim and finished product, such as identity, purity, strength, quality, potency, and sterility as applicable. Additionally, stability studies must be conducted to demonstrate that the product candidate does not undergo unacceptable deterioration over its shelf life, and appropriate packaging must be selected and tested. </w:t>
      </w:r>
    </w:p>
    <w:p>
      <w:pPr>
        <w:pStyle w:val="TextBody"/>
        <w:bidi w:val="0"/>
        <w:spacing w:before="0" w:after="240"/>
        <w:jc w:val="left"/>
        <w:rPr>
          <w:rFonts w:ascii="Times New Roman" w:hAnsi="Times New Roman"/>
          <w:sz w:val="20"/>
        </w:rPr>
      </w:pPr>
      <w:r>
        <w:rPr>
          <w:rFonts w:ascii="Times New Roman" w:hAnsi="Times New Roman"/>
          <w:b/>
          <w:i/>
          <w:color w:val="000000"/>
          <w:sz w:val="20"/>
        </w:rPr>
        <w:t>Preclinical and clinical development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For each product candidate, we perform numerous laboratory tests and preclinical animal studies, as well as human clinical trials. Preclinical laboratory tests, preclinical animal studies, and/or clinical trials may be ongoing concurrently for a product candidate in focused studies to assess various properties of a formulation and/or platform of the product candidate. Animal studies require pre-approval by an independent Institutional Animal Care and Use Committee (“IACUC”). Human studies in the United States require pre-approval by the FDA and an independent IRB, requested by way of an IDE or IND for investigational products such as our product candidates.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Clinical trials involve the administration of the investigational product to human subjects under the supervision of qualified investigators in accordance with current Good Clinical Practices (“GCP”), which includes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effectiveness criteria to be evaluated. Furthermore, an independent IRB or ethics committee for each site proposing to conduct the clinical trial must review and approve the plan for any clinical trial and its informed consent form before the clinical trial begins at that site, and an IRB or ethics committee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Regulatory authorities, the IRB, or the sponsor may suspend a clinical trial at any time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various grounds, including a finding that the subjects are being exposed to an unacceptable health risk, the trial is not being performed in accordance with the investigational plan or associated protocols, or that the trial is unlikely to meet its stated objectives.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the data safety monitoring board determines that there is an unacceptable safety risk for subjects, no demonstration of efficacy, or other grounds. There are also requirements governing the reporting of ongoing preclinical studies, clinical trials, and clinical trial results to public registries. Sponsors of certain clinical trials of FDA-regulated products, including biologics, are required to register and disclose certain clinical trial information, which is publicly available at www.clinicaltrials.gov.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Human clinical trials are typically conducted in three phases that may be performed sequentially, in overlapping time frames, or in combination.</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Phase 1 includes the initial introduction of an investigational new drug into humans. Phase 1 studies may be conducted in patients or normal volunteer subjects. These studies are designed to determine the metabolism and pharmacologic actions of the drug in humans, the side effects associated with increasing doses, and, if possible, to gain early evidence on effectiveness. The total number of subjects included in Phase 1 studies varies with the drug but is generally in the range of 20 to 80.</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Phase 2 includes the controlled clinical studies conducted to evaluate the effectiveness of the drug for a particular indication or indications in patients with the disease or condition under study and to determine the common short-term side effects and risks associated with the drug. Phase 2 studies are typically conducted in a relatively small number of patients, usually involving no more than several hundred subjects.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Phase 3 studies are expanded controlled and uncontrolled trials. They are performed after preliminary evidence suggesting effectiveness of the drug has been obtained, and are intended to gather the additional information about effectiveness and safety that is needed to evaluate the overall benefit-risk relationship of the drug and to provide an adequate basis for physician labeling. Phase 3 studies usually include from several hundred to several thousand subjects.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each of our product candidates, we may conduct Phase 1, Phase 2, and Phase 3 clinical trials of our formulation, the RaniPill platform, or the formulation in combination with the RaniPill platform.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some cases, the FDA may require, or we may voluntarily pursue, additional clinical trials after a product is approved to gain more information about the product. These so-called Phase 4 studies may alternatively be made a condition to approval of the BLA or NDA. These trials are used to gain additional experience from the treatment of patients in the intended therapeutic indication and further document clinical benefit in the case of drugs approved under certain regulatory programs, such as accelerated approval regulations. Failure to exhibit due diligence with regard to conducting Phase 4 clinical trials could result in withdrawal of approval for the associated product.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all phases of clinical development, regulatory agencies require extensive monitoring and auditing of all clinical activities, clinical data, and clinical trial investigators. Progress reports detailing the results of the clinical trials, among other information, must be submitted at least annually to the FDA, and written IND or IDE safety reports must be submitted to the FDA and the investigators for serious and unexpected suspected adverse events, findings from other studies suggesting a significant risk to humans exposed to a particular or similar biologic, findings from animal or in vitro testing that suggest a significant risk for human subjects, and any clinically important increase in the rate of a serious suspected adverse reaction over that listed in the protocol or investigator brochure.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Investigational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Prior to initiating a clinical trial in the United States of an investigational product such as for one of our product candidates, the FDA must grant authorization to proceed. A request for authorization is made by way of an IND or IDE application as applicable for the clinical trial.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An IND is a request for authorization from the FDA to administer an investigational new drug product to humans. The central focus of an IND submission is on the general investigational plan and the protocols to be used in associated preclinical studies and clinical trials. The IND also includes results of animal and in vitro studies already performed to assess toxicology, pharmacokinetics, pharmacology and pharmacodynamic characteristics of the product. The IND further includes chemistry, manufacturing, and controls information, and human data or literature to support the use of the investigational product.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An IDE is a request for authorization from the FDA to allow an investigational device to be used in a clinical trial to collect safety and effectiveness data. The IDE application must be supported by appropriate data, such as animal and laboratory testing results, showing that it is safe to test the device in humans and that the testing protocol is scientifically sound.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 IND or IDE must become effective before human clinical trials may begin. The IND or IDE automatically becomes effective 30 days after receipt by the FDA, unless the FDA, within the 30-day period, raises safety concerns or questions about the proposed clinical trial. In such a case, the IND or IDE may be placed on clinical hold to resolve any outstanding concerns or questions before the clinical trial can begin.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FDA’s approval of an IND or IDE does not bind the FDA to accept the results of the trial as sufficient to prove the stated conclusions, even if the trial meets its intended success criteria.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All clinical trials must be conducted in accordance with FDA regulations that govern investigational product labeling, prohibit promotion, and specify an array of recordkeeping, reporting, and monitoring responsibilities of study sponsors and study investigators. Required records and reports are subject to inspection by the FDA. Clinical trials must further comply with FDA regulations that govern institutional review board approval, informed consent, and other human subject protections.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An amendment to the existing IND or IDE must be made for subsequent protocol changes and also for each successive clinical trial conducted during product development.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Although the FDA Quality System Regulation does not fully apply to investigational products, the requirement for controls on design and development does apply. The sponsor also must manufacture the investigational product in conformity with the quality controls described in the IND or IDE application and any conditions of IND or IDE approval that FDA may impose with respect to manufacturing.</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BLA/NDA review process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Following completion of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 request for approval to market the product candidate for one or more specified indications and must contain proof of safety and efficacy for a drug or safety, purity, and potency for a biological product. The application may include both negative and ambiguous results of preclinical studies and clinical trials, as well as positive findings. Data may come from company-sponsored clinical trials intended to test the safety and efficacy of a product’s use and/or from a number of alternative sources, including studies initiated by investigators or cooperative clinical groups.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Prescription Drug User Fee Act (“PDUFA”) and the Biologics Price Competition and Innovation Act of 2009 (“BPCI”), as amended, each NDA or BLA must be accompanied by a user fee. User fees may be adjusted on an annual basis. PDUFA also imposes an annual program fee for each marketed human drug or biologic. Biosimilar User Fee Amendments impose a user fee for a biosimilar development program at the time of the first meeting with the FDA or the initial IND submission, whichever occurs first. This fee must be paid annually.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ten months from the filing date in which to complete its initial review and respond to the applicant, or six months if the submission is designated for priority review. The FDA does not always meet its PDUFA goal dates for standard and priority NDAs or BLAs, and the review process may be extended by FDA requests for additional information or clarification.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specific deficiencies in the NDA or BLA identified by the FDA. A Complete Response Letter may require additional clinical data, additional pivotal Phase 3 clinical trial(s), and/or other significant and 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Pediatric Research Equity Act (PREA)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Pediatric Research Equity Act (“PREA”), a BLA or NDA submission or supplement must contain data to assess the safety and efficacy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(“PSP”), within 60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may, on its own initiative or at the request of the applicant, grant deferrals for submission of data or full or partial waivers.</w:t>
      </w:r>
    </w:p>
    <w:p>
      <w:pPr>
        <w:pStyle w:val="TextBody"/>
        <w:bidi w:val="0"/>
        <w:spacing w:before="0" w:after="240"/>
        <w:jc w:val="left"/>
        <w:rPr>
          <w:rFonts w:ascii="Times New Roman" w:hAnsi="Times New Roman"/>
          <w:sz w:val="20"/>
        </w:rPr>
      </w:pPr>
      <w:r>
        <w:rPr>
          <w:rFonts w:ascii="Times New Roman" w:hAnsi="Times New Roman"/>
          <w:b/>
          <w:i/>
          <w:color w:val="000000"/>
          <w:sz w:val="20"/>
        </w:rPr>
        <w:t>Expedited development and review programs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FDA has a number of programs intended to expedite the development or review of products that meet certain criteria. For example, presently the FDA has a fast-track designation, a priority review path, an accelerated approval path, and a breakthrough therapy designation. Any product submitted to the FDA for approval may be eligible for one or more of such FDA programs intended to expedite development and review. These expedited approvals do not change the standards for approval but may expedite the development or approval process. We may explore some of these opportunities for our product candidates as appropriate.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New drugs may be eligible for fast-track designation if they are intended to treat a serious or life-threatening disease or condition and demonstrate the potential to address unmet medical needs for the disease or condition. Fast-track designation applies to the combination of the product and the specific indication for which it is being studied. The sponsor of a fast-track product has opportunities for more frequent interactions with the review team during product development, and the FDA may consider sections of the BLA or NDA for review on a rolling basis before the complete application is submitted.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 product is eligible for priority review if it has the potential to provide safe and effective therapy where no satisfactory alternative therapy exists or to provide a significant improvement in the treatment, diagnosis or prevention of a disease compared to marketed products. The FDA will attempt to direct additional resources to the evaluation of a BLA or NDA designated for priority review in an effort to facilitate the review. The FDA endeavors to review applications with priority review designations within six months of the filing date as compared to ten months for review of standard review designation under its current PDUFA review goals.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Products intended to treat serious or life threatening diseases or conditions may be eligible for accelerated approval upon a determination that the product has an effect on a surrogate endpoint that is reasonably likely to predict clinical benefit, has an effect on a clinical endpoint that can be measured earlier than irreversible morbidity or mortality, or that is reasonably likely to predict an effect on irreversible morbidity or mortality or other clinical benefit, taking into account severity, rarity, or prevalence of the condition and the availability or lack of alternative treatments. As a condition of approval, the FDA may require that a sponsor of a product receiving accelerated approval perform adequate and well-controlled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0"/>
        </w:rPr>
        <w:t>post-marketing clinical trials. In addition, the FDA currently requires pre-approval of promotional materials as a condition for accelerated approval, which could adversely impact the timing of the commercial launch of the product.</w:t>
      </w:r>
      <w:r>
        <w:rPr>
          <w:color w:val="000000"/>
        </w:rPr>
        <w:t xml:space="preserve">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Food and Drug Administration Safety and Innovation Act established a category referred to as “breakthrough therapies.”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Even if a product qualifies for one or more of these programs, the FDA may later decide that the product no longer meets the conditions for qualification or may decide that the time period for FDA review or approval will not be shortened. </w:t>
      </w:r>
    </w:p>
    <w:p>
      <w:pPr>
        <w:pStyle w:val="TextBody"/>
        <w:bidi w:val="0"/>
        <w:spacing w:before="0" w:after="240"/>
        <w:jc w:val="left"/>
        <w:rPr>
          <w:rFonts w:ascii="Times New Roman" w:hAnsi="Times New Roman"/>
          <w:sz w:val="20"/>
        </w:rPr>
      </w:pPr>
      <w:r>
        <w:rPr>
          <w:rFonts w:ascii="Times New Roman" w:hAnsi="Times New Roman"/>
          <w:b/>
          <w:i/>
          <w:color w:val="000000"/>
          <w:sz w:val="20"/>
        </w:rPr>
        <w:t>Post-approval requirements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Any products manufactured or distributed by us pursuant to FDA approvals are subject to pervasive and continuing regulation by the FDA, including, among other things, requirements relating to cGMP, quality controls, record-keeping, reporting of adverse experiences, periodic reporting, product sampling and distribution, and advertising and promotion of the product. After approval, most changes to the approved product, including adding new indications or other labeling claims, are subject to prior FDA review and approval. There also are continuing user fee requirements, under which the FDA assesses an annual program fee for each approved product. The FDA regulations require that products be manufactured in specific approved facilities and in accordance with cGMP. Biologics manufacturers and their subcontractors are required to register their establishments with the FDA and certain state agencies, and are subject to periodic unannounced inspections by the FDA and certain state agencies for compliance with cGMP, which impose certain organizational, procedural and documentation requirements with respect to manufacturing and quality assurance activities.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We are responsible for the selection and monitoring of qualified contract manufacturers, laboratories, and packagers, and, in certain circumstances, qualified suppliers to them. These facilities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Accordingly, we must continue to expend time, money, and effort on quality control for our own facilities and the facilities of others which contribute to the commercialization of our final product, to maintain compliance with cGMP and other aspects of regulatory compliance.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risk evaluation and mitigation strategy (“REMS”) program. Other potential consequences include, among other things: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Restrictions on the marketing or manufacturing of a product, complete withdrawal of the product from the market, or product recalls;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Fines, warning letters, or holds on post-approval clinical trials;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existing product approvals;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Product seizure or detention, or refusal of the FDA to permit the import or export of products;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healthcare programs;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Mandated modification of promotional materials and labeling and the issuance of corrective information;</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issuance of safety alerts, Dear Healthcare Provider letters, press releases, and other communications containing warnings or other safety information about the product, and</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FDA closely regulates the marketing, labeling, advertising, and promotion of biologics. A company can make only those claims relating to safety,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one or more of adverse publicity, warning letters, corrective advertising, civil penalties, criminal penalties, government investigation, debarment, or exclusion from participation in federal health care programs.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practice of medicine by physicians or their choice of treatments. The FDA does, however, regulate manufacturer’s communications on the subject of off-label use of their products.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Orange Book; Purple Book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FDA publishes the Orange Book for products following the NDA pathway and the Purple Book for products following the BLA pathway. Our product candidates will be listed in the Orange Book after approval for marketing or listed in the Purple Book after license for marketing, as applicable.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Orange Book contains information about all FDA-approved drug products regulated by CDER and their exclusivities. The Orange Book also includes patent information. The applicant provides patent information to the FDA as part of its NDA, or after patent grant. Orange Book patent listing provides a 30 month stay of FDA approval of any generic submitted via an abbreviated new drug application (“ANDA”). An applicant submitting an ANDA must, for each patent listed against the approved drug in the Orange Book, either (i) state that the ANDA applicant is not seeking approval for a patented method of use, (ii) ask the FDA to delay approval until that patent is expired (a “Paragraph III” certification), or (iii) attest that the patent is invalid, unenforceable, or will not be infringed by the generic product (a “Paragraph IV” certification), which can trigger ANDA litigation over the associated patent.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purple book contains information about all FDA-licensed biological products regulated by CDER, including licensed biosimilar and interchangeable products and their reference products, and FDA-licensed allergenic, cellular and gene therapy, hematologic, and vaccine products regulated by CBER. The Purple Book includes granted exclusivity information. The Purple Book also includes for each biological product a list of patents identified to a biosimilar applicant during biosimilar litigation under the BPCIA.</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Exclusivities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Some of our product candidates may be eligible for exclusivities provided under various FDA programs. Exclusivity refers to certain delays and prohibitions on approval of competitor drugs available under an applicable statute that take effect upon FDA’s approval of a biologic or drug, or of certain supplements to the BLA or NDA. Exclusivities do not convey any advantage in or shorten the duration of the regulatory review and approval process.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an applicant to be able to take advantage of the Pediatric exclusivity, the FDA must make a written request for a pediatric study to be performed, although the applicant may request for the FDA to make the request for a pediatric study. After the study is performed, the applicant may request Pediatric exclusivity. If granted, 180 days of patent term are added to the patent term listed in the Orange Book.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With respect to other FDA exclusivity programs, in some cases the exclusivity programs will not apply to our product candidates due to our unique formulation or oral capsule technology, or it is unclear the extent to which they will apply, or they will not apply to most or all of the product candidates in our pipeline.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exclusivity programs that apply to our product candidates, we will consider pursuing such exclusivities at the appropriate time. However, we do not expect any of the exclusivities to provide us significant competitive advantage. Exclusivities granted to our competitors could block approval and/or commercialization of one or more of our product candidates, possibly for several years.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Other healthcare laws and compliance requirements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the federal False Claims Act, the Sunshine Act, the federal Health Insurance Portability and Accountability Act of 1996, (“HIPAA”), and similar foreign, federal, and state fraud and abuse, transparency, and data privacy and security laws.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federal Anti-Kickback Statute has been interpreted to apply to arrangements between pharmaceutical manufacturers on one hand and prescribers, purchasers, and formulary managers, among others, on the other. There are a number of statutory exceptions and regulatory safe harbors protecting some common activities from prosecution, but they are drawn narrowly and require strict compliance in order to offer protection. Our activities, including our engagement of consultants, may be alleged to be intended to induce prescribing, purchasing, or recommending and so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relevant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 resulting from a violation of the federal Anti-Kickback Statute can result in a false or fraudulent claim for purposes of the federal False Claims Act.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Civil and criminal false claims laws, including the federal False Claims Act, which can be enforced through civil whistleblower or qui tam actions, and civil monetary penalty laws prohibit, among other things, individuals or entities from knowingly presenting, or causing to be presented, claims for payment to the federal government, including federal healthcare programs, that are false or fraudulent. For example, the federal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U.S. federal Physician Payments Sunshine Act requires applicable manufacturers of prescription drugs, devices, biological products, or medical supplies subject to FDA approval or clearance for which payment is available under Medicare, Medicaid, or the Children’s Health Insurance Program, with specific exceptions, to annually report to the Centers for Medicare &amp; Medicaid Services (“CMS”) information related to certain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HIPAA created additional federal criminal statutes that prohibit, among other things, executing a scheme to defraud any healthcare benefit program, including private third-party payors, and making false statements relating to healthcare matters. In addition, HIPAA, as amended the Health Information Technology for Economic and Clinical Health Act of 2009 (“HITECH”), and their implementing regulations, impose certain requirements on HIPAA covered entities, which include certain healthcare providers, healthcare clearinghouses, and health plans, and individuals and entities, known as business associates, and their covered subcontractors that provide services for or on behalf of the covered entities that involve individually identifiable health information as well as their covered subcontractors, relating to the privacy, security, and transmission of individually identifiable health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also subject to additional similar U.S. state and foreign law equivalents of each of the above federal laws, which, in some cases, differ from each other in significant ways, and may not have the same effect, complicating compliance efforts. Additionally, some state and local laws require certain regulatory licenses to manufacture or distribute our products commercially and/or the registration of pharmaceutical sales representatives in the jurisdiction.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our operations are found to be in violation of any of such laws or any other governmental regulations that apply, we may be subject to penalties including, without limitation, significant civil, criminal, and administrative penalties, damages, fines, exclusion from participating in government-funded healthcare programs such as Medicare and Medicaid or similar programs in other countries or jurisdictions, government investigations, consent decrees, corporate integrity agreements, integrity oversight and reporting obligations to resolve allegations of non-compliance, disgorgement, imprisonment, contractual damages, reputational harm, diminished profits and market share, and the curtailment or restructuring of our operations.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Healthcare reform</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 For example, the Patient Protection and Affordable Care Act, as amended by the Health Care and Education Reconciliation Act (collectively, the “ACA”), which was enacted in March 2010, contains a number of provisions of particular import to the pharmaceutical and biotechnology industries. Since its enactment, there have been amendments and judicial, Congressional and executive branch challenges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These changes include aggregate reductions to Medicare payments to providers of 2% per fiscal year, which began in 2013 and will remain in effect until 2032 unless additional Congressional action is taken.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jc w:val="left"/>
        <w:rPr>
          <w:rFonts w:ascii="Times New Roman" w:hAnsi="Times New Roman"/>
          <w:sz w:val="20"/>
        </w:rPr>
      </w:pPr>
      <w:r>
        <w:rPr>
          <w:rFonts w:ascii="Times New Roman" w:hAnsi="Times New Roman"/>
          <w:b/>
          <w:i/>
          <w:color w:val="000000"/>
          <w:sz w:val="20"/>
        </w:rPr>
        <w:t>Data privacy and security obligations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the ordinary course of our business, we collect, receive, process, generate, use, transfer, disclose, make accessible, protect, secure, dispose of, transmit, share and store (“process”) proprietary, confidential and sensitive information, including personal data, intellectual property, trade secret, clinical trial data, and proprietary information owned or controlled by ourselves or third parties (collectively, sensitive data). Our data processing activities subject us to numerous data privacy and security obligations, including federal, state, local, and foreign laws, regulations, guidance, industry standards, external and internal privacy and security policies, contractual requirements, and other obligations related to data privacy and security. Such obligations may include, without limitation, the Federal Trade Commission Act, U.S. state comprehensive privacy laws, the European Union’s General Data Protection Regulation 2016/679 (“EU GDPR”) and the United Kingdom’s GDPR (“UK GDPR”). Obligations related to the processing of personal data worldwide is rapidly evolving. The number and scope of data privacy and security laws, regulations and other obligations are changing, subject to differing applications and interpretations, and may be inconsistent among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jurisdictions, or in conflict with other data processing obligations. Efforts to ensure that our current and future business operations and arrangements, including our relationship with our CROs, other vendors who process data on our behalf, and other third parties with whom we work comply with applicable data privacy and security obligations involve substantial costs.</w:t>
      </w:r>
    </w:p>
    <w:p>
      <w:pPr>
        <w:pStyle w:val="TextBody"/>
        <w:bidi w:val="0"/>
        <w:jc w:val="left"/>
        <w:rPr>
          <w:rFonts w:ascii="Times New Roman" w:hAnsi="Times New Roman"/>
          <w:b/>
          <w:color w:val="000000"/>
          <w:sz w:val="20"/>
        </w:rPr>
      </w:pPr>
      <w:r>
        <w:rPr>
          <w:rFonts w:ascii="Times New Roman" w:hAnsi="Times New Roman"/>
          <w:b/>
          <w:color w:val="000000"/>
          <w:sz w:val="20"/>
        </w:rPr>
        <w:t>Employees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of December 31, 2025, we had 69 full-time employees and two part-time employees. The majority of our employees are based at our facilities in San Jose and Fremont, California, with a contingent of employees based outside of California. None of our employees are represented by a labor union or are a party to a collective bargaining agreement and we believe that we have good relations with our employees. </w:t>
      </w:r>
    </w:p>
    <w:p>
      <w:pPr>
        <w:pStyle w:val="TextBody"/>
        <w:bidi w:val="0"/>
        <w:jc w:val="left"/>
        <w:rPr>
          <w:rFonts w:ascii="Times New Roman" w:hAnsi="Times New Roman"/>
          <w:b/>
          <w:color w:val="000000"/>
          <w:sz w:val="20"/>
        </w:rPr>
      </w:pPr>
      <w:r>
        <w:rPr>
          <w:rFonts w:ascii="Times New Roman" w:hAnsi="Times New Roman"/>
          <w:b/>
          <w:color w:val="000000"/>
          <w:sz w:val="20"/>
        </w:rPr>
        <w:t>Organizational Transactions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Rani Holdings was formed as a Delaware corporation in April 2021 for the purpose of facilitating an initial public offering (“IPO”) of its Class A common stock, to facilitate certain organizational transactions, and to operate the business of Rani LLC and its consolidated subsidiary at such time, RMS. In connection with the IPO, we established a holding company structure with Rani Holdings as a holding company and its principal asset is the Class A common units (“Class A Units”) of Rani LLC that it owns. As the sole managing member of Rani LLC, Rani Holdings operates and controls all of Rani LLC’s operations, and through Rani LLC, conducts all of Rani LLC’s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connection with the IPO, we were party to the following organizational transactions (the “Organizational Transactions”):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Amended and restated Rani LLC’s operating agreement (the “Rani LLC Agreement”) to appoint Rani Holdings as the sole managing member of Rani LLC and effectuated an exchange of all outstanding interests in Rani LLC into Class A Units and an equal number of voting noneconomic Class B units.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Amended and restated our certificate of incorporation to provide for the issuance of (i) Class A common stock, each share of which entitles its holders to one vote per share, (ii) Class B common stock, each share of which entitles its holders to ten votes per share on all matters presented to our stockholders, (iii) Class C common stock, which has no voting rights, except as otherwise required by law and (iv) preferred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holders of Class A Units tendered their Class A Units for shares of our Class A common stock. Certain holders of Class A Units continued to hold such Class A Units (“Continuing LLC Owners”) and received shares of our Class B common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Continuing LLC Owners are entitled to exchange, subject to the terms of the Rani LLC Agreement, the Class A Units they hold in Rani LLC, together with the shares they hold of our Class B common stock (together referred to as a "Paired Interest"), in return for shares of our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canceled on a one-for-one basis if we, at the election of the Continuing LLC Owners, redeem or exchange such Paired Interest pursuant to the terms of the Rani LLC Agreement.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Entered into a registration rights agreement and tax receivable agreement (“Tax Receivable Agreement” or “TRA”) with certain of the Continuing LLC Owners.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Private Placement, we implemented certain governance changes, including the following amendments to our organizational documents and the termination of certain existing agreements: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Termination of Tax Receivable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contemplated by the Private Placement, on December 31, 2025, we entered into a Tax Receivable Agreement Termination and Release Agreement (the “TRA Termination Agreement”) by and between us and InCube Labs, LLC (acting on behalf of all the TRA Parties (as defined therein)), pursuant to which the parties agreed to terminate that certain Tax Receivable Agreement, dated August 3, 2021 (the “TRA”) and disclaim any rights or interests thereunder. As a result of the termination, we have no further obligations under the TRA, and no tax benefit payments or early termination payments were required in connection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such termination. The TRA Termination Agreement provides for the mutual release of the parties from all obligations under the TRA, effective as of December 31, 2025. </w:t>
      </w:r>
    </w:p>
    <w:p>
      <w:pPr>
        <w:pStyle w:val="TextBody"/>
        <w:bidi w:val="0"/>
        <w:spacing w:before="240" w:after="283"/>
        <w:jc w:val="left"/>
        <w:rPr>
          <w:rFonts w:ascii="Times New Roman" w:hAnsi="Times New Roman"/>
          <w:sz w:val="20"/>
        </w:rPr>
      </w:pPr>
      <w:r>
        <w:rPr>
          <w:rFonts w:ascii="Times New Roman" w:hAnsi="Times New Roman"/>
          <w:i/>
          <w:color w:val="000000"/>
          <w:sz w:val="20"/>
        </w:rPr>
        <w:t>Amendment to Certificate of Incorporation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governance changes contemplated by the Private Placement, on December 31, 2025, we filed the Amended and Restated Certificate of Incorporation with the Secretary of State of the State of Delaware (the "Restated Charter"), which became effective upon such filing.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contemplated thereby, the Restated Charter, among other things, provides for: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Reducing the number of votes to which each share of Class B Common Stock is entitled from ten (10) votes to one (1) vote;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Elimination of separate vote of Class B Common Stock in certain circumstances;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Opting to be subject to subject to Section 203 of the Delaware General Corporation Law (the “DGCL”);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Requiring affirmative vote of the holders of at least two-thirds (2/3) of our outstanding voting power of the outstanding shares of Class A Common Stock and Class B Common Stock to amend or repeal the amended and restated bylaws and certain provisions of the Restated Charter; eliminating ability of stockholders to call a special meeting of stockholders or fill vacancies on the board of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Eliminating the ability of our stockholders to act by written consent;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Eliminating the provisions related to classified board of directors.</w:t>
      </w:r>
    </w:p>
    <w:p>
      <w:pPr>
        <w:pStyle w:val="TextBody"/>
        <w:bidi w:val="0"/>
        <w:spacing w:before="240" w:after="283"/>
        <w:jc w:val="left"/>
        <w:rPr>
          <w:rFonts w:ascii="Times New Roman" w:hAnsi="Times New Roman"/>
          <w:sz w:val="20"/>
        </w:rPr>
      </w:pPr>
      <w:r>
        <w:rPr>
          <w:rFonts w:ascii="Times New Roman" w:hAnsi="Times New Roman"/>
          <w:i/>
          <w:color w:val="000000"/>
          <w:sz w:val="20"/>
        </w:rPr>
        <w:t>Amendment to Bylaws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adoption of the Restated Charter, on December 31, 2025, we also adopted Amended and Restated Bylaws (the “Bylaws”), which became effective on such date. The Bylaws were adopted to reflect conforming changes resulting from the adoption of the Restated Charter.</w:t>
      </w:r>
    </w:p>
    <w:p>
      <w:pPr>
        <w:pStyle w:val="TextBody"/>
        <w:bidi w:val="0"/>
        <w:spacing w:before="240" w:after="283"/>
        <w:jc w:val="left"/>
        <w:rPr>
          <w:rFonts w:ascii="Times New Roman" w:hAnsi="Times New Roman"/>
          <w:sz w:val="20"/>
        </w:rPr>
      </w:pPr>
      <w:r>
        <w:rPr>
          <w:rFonts w:ascii="Times New Roman" w:hAnsi="Times New Roman"/>
          <w:i/>
          <w:color w:val="000000"/>
          <w:sz w:val="20"/>
        </w:rPr>
        <w:t>Sixth Amended and Restated LLC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adoption of the Restated Charter, on December 31, 2025, we entered into a Sixth Amended and Restated Limited Liability Company Agreement (the “LLC Agreement”) which became effective as of such date. The LLC Agreement was amended and restated to reflect conforming changes resulting from the adoption of the Restated Charter.</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Copies of our Annual Reports on Form 10-K, Quarterly Reports on Form 10-Q, Current Reports on Form 8-K, Proxy Statements, and all amendments to these reports, filed with or furnished to the Securities and Exchange Commission (“SEC”) pursuant to Section 13(a) or 15(d) of the Securities Exchange Act of 1934 as amended may be obtained from the SEC’s on-line database, which is located at www.sec.gov. Our common stock is traded on the Nasdaq Stock Market (“Nasdaq”) under the symbol “RANI.”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240" w:after="240"/>
        <w:jc w:val="left"/>
        <w:rPr>
          <w:rFonts w:ascii="Times New Roman" w:hAnsi="Times New Roman"/>
          <w:sz w:val="20"/>
        </w:rPr>
      </w:pPr>
      <w:r>
        <w:rPr>
          <w:rFonts w:ascii="Times New Roman" w:hAnsi="Times New Roman"/>
          <w:i/>
          <w:color w:val="000000"/>
          <w:sz w:val="20"/>
        </w:rPr>
        <w:t>Investing in our Class A common stock involves a high degree of risk. You should carefully consider the risks described below, including our consolidated financial statements and related notes, as well as the other information in this report, and in our other public filings, before investing in our Class A common stock. While we believe that the risks and uncertainties described below are the material risks currently facing us, additional risks that we do not yet know of or that we currently think are immaterial may also arise and materially affect our business. If any of the following risks materialize, our business, financial condition and results of operations could be adversely affected. In that case, the trading price of our Class A common stock could decline. You should consider all of the risk factors described when evaluating our business.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0"/>
        </w:rPr>
        <w:t>Risks Related to Operating History, Financial Position and Capital Requirements</w:t>
      </w:r>
      <w:r>
        <w:rPr>
          <w:rFonts w:ascii="Times New Roman" w:hAnsi="Times New Roman"/>
          <w:color w:val="000000"/>
          <w:sz w:val="20"/>
        </w:rPr>
        <w:t xml:space="preserve">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have incurred operating losses since our inception and expect to incur significant losses for the foreseeable future. We may never generate any revenue from commercial products or become profitable or, if we achieve profitability, we may not be able to sustain 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Biologics delivery is a highly speculative undertaking and involves a substantial degree of risk. We are an early clinical stage biopharmaceutical company with a limited operating history upon which you can evaluate our business and prospects. We were formed in 2012, and to date, we have devoted the majority of our resources to research and development, manufacturing automation and scaleup, and establishing our intellectual property portfolio. We are in early clinical development with a limited number of product candidates, and are in preclinical development with other product candidates. We have not yet demonstrated an ability to successfully complete pivotal clinical trials,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oral therapeutic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incurred significant operating losses since our formation. Our net loss for the year ended December 31, 2025 was approximately $$41.0 million. Our prior losses, combined with expected future losses, have had and will continue to have an adverse effect on our stockholders, deficit and working capital. The majority of our losses have resulted from expenses incurred in connection with research and development, manufacturing automation and scaleup, and establishing our intellectual property portfolio. All of our product candidates will require substantial additional development time and resources before we would be able to apply for or receive regulatory approvals and begin generating revenue from product sales. We expect to continue incurring significant research, development, manufacturing and other expenses related to our ongoing business operations and product development, and as a result, we expect to continue incurring losses for the foreseeable future. We also expect these losses to increase as we continue our development of, and seek regulatory approvals for, our product candidates.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do not anticipate generating revenue from sales of products for the foreseeable future, if ever, and our product candidates are in preclinical and early-stage clinical trials. If any of our product candidates fail in preclinical studies or clinical trials or do not gain regulatory approval, or even if approved, fail to achieve market acceptance, we may never become profitable. Even if we do achieve profitability, we may not be able to sustain or increase profitability on a quarterly or annual basis. Failure to become and remain profitable may adversely affect the market price of our Class A common stock and our ability to raise capital and continue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one or more of our product candidates is approved for commercial sale and we retain commercial rights, we anticipate incurring significant costs associated with manufacturing and commercializing such approved product. Therefore, even if we are able to generate revenue from the sale of any approved product, we may never become profitable.</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We are an early clinical stage biopharmaceutical company with no approved products and no historical commercial product revenue, which makes it difficult to assess our future prospects and financial results.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an early clinical stage biopharmaceutical company with a limited operating history upon which you can evaluate our business and prospects. Biologics development, especially as it relates to biologic-device combination products, is a highly speculative undertaking and involves a substantial degree of uncertainty. Our operations to date have been limited to developing our technology and undertaking preclinical studies and early clinical trials of our product candidates, which consist of investigational biologics delivered via the RaniPill capsule. We are in early clinical development with a limited number of product candidates, and are in preclinical development with other product candidates. As an early clinical stage company, we have not yet demonstrated an ability to generate revenue or successfully overcome many of the risks and uncertainties frequently encountered by companies in new and rapidly evolving fields such as biologics development and delivery. Consequently, the ability to accurately assess our future operating results or business prospects is significantly more limited than if we had a longer operating history or approved products on the market.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expect that our financial condition and operating results will fluctuate significantly from period to period due to a variety of factors, many of which are beyond our control, including, but not limited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clinical outcomes from the continued development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occurrence of adverse events or serious adverse events in preclinical studies or clinical trials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 side effects of our product candidates, whether caused by the biologic formulation or the RaniPill capsule, that could delay or prevent approval or cause an approved product to be taken off the market;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obtain, as well as the timeliness of obtaining, additional funding to develop, and potentially manufacture and commercialize our product candidates and develop the RaniPill HC;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manufacture our product candidates to our specifications and in a timely manner to support our preclinical studies and clinical trials, and, if approved, commercialization;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scale, optimize and expand automation of our manufacturing processes for our product candidates for the conduct of preclinical studies and clinical trials and, if approved, for successful commercialization;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competition from existing products directed against the same biologic target or therapeutic indications of our product candidates as well as new products that may receive marketing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of regulatory review and approval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acceptance of our product candidates that receive regulatory approval, if any, including perception of the safety and efficacy of the oral delivery of biologics;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enter into collaboration agreements with third parties who may desire to license our oral delivery technology for use with their own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expand our commercial reach by selectively entering into strategic partnerships on favorable terms or at all;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establish an effective sales and marketing infrastructure directly or through collaborations with third parties;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of patients or healthcare providers to obtain coverage or sufficient reimbursement for our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manufacture our product candidates in accordance with current Good Manufacturing Practices, for the conduct of preclinical studies and clinical trials and, if approved, for successful commercialization;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as well as the ability of any third-party collaborators, to obtain, maintain and protect intellectual property rights covering our product candidates and technologies, and our ability to develop, manufacture and commercialize our product candidates without infringing on the intellectual property rights of others;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add infrastructure and adequately manage our future growth;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attract and retain key personnel with appropriate expertise and experience to manage our business effectively.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Accordingly, the likelihood of our success must be evaluated in light of many potential challenges and variables associated with a clinical stage biopharmaceutical company, many of which are outside of our control, and past results, including operating or financial results, should not be relied on as an indication of future results.</w:t>
      </w:r>
    </w:p>
    <w:p>
      <w:pPr>
        <w:pStyle w:val="TextBody"/>
        <w:bidi w:val="0"/>
        <w:spacing w:before="0" w:after="240"/>
        <w:jc w:val="left"/>
        <w:rPr>
          <w:rFonts w:ascii="Times New Roman" w:hAnsi="Times New Roman"/>
          <w:sz w:val="20"/>
        </w:rPr>
      </w:pPr>
      <w:r>
        <w:rPr>
          <w:rFonts w:ascii="Times New Roman" w:hAnsi="Times New Roman"/>
          <w:b/>
          <w:i/>
          <w:color w:val="000000"/>
          <w:sz w:val="20"/>
        </w:rPr>
        <w:t>Raising additional capital may cause dilution to our existing stockholders, restrict our operations or require us to relinquish rights to our product candidates or technologies.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may seek additional funding through a combination of equity offerings, debt financings, collaborations and/or licensing arrangements. Additional funding may not be available to us on acceptable terms, or at all. To the extent that we raise additional capital through the sale of equity or convertible debt securities, current stockholders’ interests will be diluted, and the terms may include liquidation or other preferences that adversely affect the rights of existing stockholders. The incurrence of indebtedness and/or the issuance of certain equity securities could result in fixed payment obligations and could also result in certain additional restrictive covenants, such as limitations on our ability to incur debt and/or issue additional equity,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Class A common stock to decline. In the event that we enter into collaborations and/or licensing arrangements in order to raise capital, we may be required to accept unfavorable terms, including relinquishing or licensing to a third party on unfavorable terms our rights to the RaniPill capsule, the RaniPill HC or our product candidates that we otherwise would seek to develop or commercialize ourselves or potentially reserve for future potential arrangements when we might be able to achieve more favorable terms. </w:t>
      </w:r>
    </w:p>
    <w:p>
      <w:pPr>
        <w:pStyle w:val="TextBody"/>
        <w:bidi w:val="0"/>
        <w:spacing w:before="0" w:after="240"/>
        <w:jc w:val="left"/>
        <w:rPr>
          <w:rFonts w:ascii="Times New Roman" w:hAnsi="Times New Roman"/>
          <w:sz w:val="20"/>
        </w:rPr>
      </w:pPr>
      <w:r>
        <w:rPr>
          <w:rFonts w:ascii="Times New Roman" w:hAnsi="Times New Roman"/>
          <w:b/>
          <w:color w:val="000000"/>
          <w:sz w:val="20"/>
        </w:rPr>
        <w:t>Risks Related to the Development and Regulatory Approval of Our Product Candidates</w:t>
      </w:r>
      <w:r>
        <w:rPr>
          <w:rFonts w:ascii="Times New Roman" w:hAnsi="Times New Roman"/>
          <w:color w:val="000000"/>
          <w:sz w:val="20"/>
        </w:rPr>
        <w:t xml:space="preserve">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are early in our development efforts and have only a limited number of product candidates in clinical development, and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in the early stages of our development efforts and have only a limited number of product candidates in early clinical development. Other product candidates are still in preclinical stage. We will need to progress our product candidates through Investigational New Drug (IND)-enabling studies and submit INDs to the FDA or equivalent regulatory filings to foreign regulatory authorities prior to initiating their clinical development. None of our product candidates has advanced into a pivotal study.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successful enrollment in clinical trials and completion of preclinical studies and clinical trials with favorable results;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acceptance of INDs by the FDA or similar regulatory filings by comparable foreign regulatory authorities for the conduct of clinical trials of our product candidates and our proposed design of future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demonstrating safety and efficacy to the satisfaction of applicable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receipt of marketing approvals from applicable regulatory authorities, including BLAs or NDAs, from the FDA, and maintaining such approvals;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clinical and commercial manufacturing capabilities, and securing adequate supply of drugs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expanding automation of our manufacturing machinery and procedures;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establishing and maintaining multiple suppliers for our critical manufacturing materials;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launching commercial sales of our products, if and when approved, whether alone or in collaboration with others;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establishing and maintaining patent and trade secret protection or regulatory exclusivity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maintaining an acceptable safety profile and shelf life of our products following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class of drugs that are included in our product candidates continuing to represent the standard-of-care for the respective disease target and continuing to have a long-term favorable safety profile;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maintaining and growing an organization of people who can develop our products and technology.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success of our business, including our ability to finance our company and generate any revenue in the future, will depend on the successful development, regulatory approval and commercialization of our product candidates, which may never occur. We may not succeed in demonstrating efficacy and safety for any product candidates in clinical trials or in obtaining marketing approval thereafter. We may not be able to successfully deliver the biologic payload to the intestinal wall with great enough certainty to achieve adequate efficacy or safety for any of our product candidates or to the satisfaction of the FDA or other regulatory bodies or potential collaborators.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pStyle w:val="TextBody"/>
        <w:bidi w:val="0"/>
        <w:spacing w:before="0" w:after="240"/>
        <w:jc w:val="left"/>
        <w:rPr>
          <w:rFonts w:ascii="Times New Roman" w:hAnsi="Times New Roman"/>
          <w:sz w:val="20"/>
        </w:rPr>
      </w:pPr>
      <w:r>
        <w:rPr>
          <w:rFonts w:ascii="Times New Roman" w:hAnsi="Times New Roman"/>
          <w:b/>
          <w:i/>
          <w:color w:val="000000"/>
          <w:sz w:val="20"/>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business and future profitability are substantially dependent on our ability to successfully develop, obtain regulatory approval for and then successfully commercialize our product candidates. Our approach presents a novel method of delivering biologics directly into the intestinal wall, and we are not permitted to market or promote any of our product candidates before we receive regulatory approval from the FDA or any comparable foreign regulatory authorities. The pathway for obtaining regulatory approval for our approach has not been definitively established, and we may never receive such regulatory approval for any of our product candidates. Further, the regulatory pathway for our product candidates is dependent on the molecule being delivered. As such, the regulatory pathway may vary for each of our product candidates, which may impact our ability to rely on prior interactions with FDA for current or future product candidates. The time required to obtain approval by the FDA and comparable foreign authorities is unpredictable, typically takes many years following the commencement of clinical trials and depends upon numerous factors, including the substantial discretion of regulatory authorities. Approval policies, regulations and the types and amount of clinical and manufacturing data necessary to gain approval may change during the course of clinical development and may vary among jurisdictions. We have not obtained regulatory approval for any product candidate and it is possible that none of our existing product candidates or any product candidates we have in development or may seek to develop in the future will ever obtain regulatory approval.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and effective for its proposed indication;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of clinical trials may fail to achieve the level of statistical significance required by the FDA or comparable foreign regulatory authorities for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submitted in support of regulatory approval;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data collected from preclinical studies and clinical trials of our product candidates may not be sufficient to support the submission of a BLA or other regulatory submissions necessary to obtain regulatory approval in the United States or elsewhere;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meet the cGMP and other applicable requirements for manufacturing processes, procedures, documentation and facilities necessary for approval by the FDA or comparable foreign regulatory authorities;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to the approval policies or regulations of the FDA or comparable foreign regulatory authorities with respect to our product candidates may result in our clinical data becoming insufficient for approval.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lengthy regulatory approval process as well as the unpredictability of future clinical trial results may result in our failing to obtain regulatory approval to market the RaniPill capsule with our core programs and any other biologics, which would harm our business, results of operations and prospects significantly.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even if we were to obtain regulatory approval, regulatory authorities may approve our product candidates for fewer or more limited indications than what we requested approval for, may include safety warnings or other restrictions that may negatively impact the commercial viability of our product candidates, including the potential for a favorable price or reimbursement at a level that we would otherwise intend to charge for our products. Likewise, regulatory authorities may grant approval contingent on the performance of costly post-marketing clinical trials, which could significantly reduce the potential for commercial success or viability of our product candidates. Any of the foregoing possibilities could materially harm the prospects for our product candidates and business and operations.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have not previously submitted a BLA, or a marketing authorization application, (“MAA”), or any corresponding drug approval filing to the FDA or any comparable foreign regulatory authorities for any product candidate. Further, our product candidates may not receive regulatory approval even if we complete such filing. If we do not receive regulatory approvals for our product candidates, we may not be able to continue our operations. </w:t>
      </w:r>
    </w:p>
    <w:p>
      <w:pPr>
        <w:pStyle w:val="TextBody"/>
        <w:bidi w:val="0"/>
        <w:spacing w:before="0" w:after="240"/>
        <w:jc w:val="left"/>
        <w:rPr>
          <w:rFonts w:ascii="Times New Roman" w:hAnsi="Times New Roman"/>
          <w:sz w:val="20"/>
        </w:rPr>
      </w:pPr>
      <w:r>
        <w:rPr>
          <w:rFonts w:ascii="Times New Roman" w:hAnsi="Times New Roman"/>
          <w:b/>
          <w:i/>
          <w:color w:val="000000"/>
          <w:sz w:val="20"/>
        </w:rPr>
        <w:t>Clinical development is a lengthy and expensive process with an uncertain outcome, and results of earlier studies and trials may not be predictive of future trial results. Clinical failure can occur at any stage of clinical development.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Clinical testing is expensive and can take many years to complete, and its outcome is inherently uncertain. Failure can occur at any time during the clinical development process. The results of preclinical studies and early clinical trials of our product candidates and studies and trials of other products may not be predictive of the results of later-stage clinical trials. Product candidates in later stages of clinical trials may fail to show the desired safety and efficacy traits despite having progressed through preclinical studies and initial clinical trials. For example, the results generated to date in preclinical studies and the Phase 1 clinical trials of RT-102 and RT-111 do not ensure that future Phase 2 or later clinical trials of these product candidates will have similar results or be successful. In the Phase 1 clinical trials of RT-102 and RT-111, we tested the RaniPill capsule in a limited number of healthy volunteers. While we have not observed any serious adverse events as a result of these clinical trials, we have not widely tested the RaniPill capsule in humans and cannot be certain how the RaniPill capsule will perform when more widely tested in humans in any additional or later clinical trials. In addition to our ongoing and planned preclinical studies and clinical trials, we expect to have to complete at least two large scale, or adequate, well-controlled trials to demonstrate substantial evidence of efficacy and safety for each product candidate we intend to commercialize. Further, given the patient populations for which we are developing biologics, we expect to have to evaluate long-term exposure to establish the safety of our biologics in a chronic dose setting.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Clinical trial failures may result from a multitude of factors including, but not limited to, flaws in trial design, dose and formulation selection, placebo effect, patient enrollment criteria and failure to demonstrate favorable safety and/or efficacy traits of the product candidate.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regulators may require us, to conduct additional preclinical studies or clinical trials.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may experience delays in ongoing clinical trials, and we do not know whether planned clinical trials will begin on time, need to be redesigned, enroll patients on time or be completed on schedule, if at all. Clinical trials can be delayed for a variety of reasons, including delays related to: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obtaining regulatory approvals to commence a clinical trial;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fraud or negligence on the part of consultants or contractors;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institutional review board or ethics committee approval at each site;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recruiting suitable patients to participate in a clinical trial;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having patients complete a clinical trial or return for post-treatment follow-up;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sites deviating from the clinical trial’s protocol or dropping out of a clinical trial;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adding new clinical trial sites;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manufacturing sufficient quantities of product candidate for use in our preclinical studies and clinical trials, including product candidates manufactured in accordance with our specifications.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we could encounter delays if a clinical trial is modified, suspended or terminated by us, by the IRBs or ethics committees of the institutions in which such clinical trials are being conducted, by a Data Safety Monitoring Board for such trial or by the FDA or comparable foreign regulatory authorities. Such authorities may impose a modification, suspension or termination due to a number of factors, including failure to conduct the clinical trial in accordance with regulatory requirements or our clinical trial protocols, inspection of the clinical trial operations or clinical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 from any of these product candidates will be delayed. Any delays in completing our clinical trials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Moreover, data obtained from trials and studies are susceptible to varying interpretations, and regulators may not interpret our data as favorably as we do, which may delay, limit or prevent regulatory approval. Further, if patients drop out of our clinical trials, miss scheduled doses or follow-up visits, or otherwise fail to follow clinical trial protocols the integrity of data from our clinical trials may be compromised or not accepted by the FDA or comparable foreign regulatory authorities, which would represent a significant setback for the applicable program.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foregoing reasons, our ongoing and planned preclinical studies and clinical trials may not be successful. Any safety concerns observed in any one of our clinical trials in our targeted or contemplated indications could limit the prospects for regulatory approval of our product candidates in those and other indications, which could have an adverse effect on our business, financial condition and results of operations.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Any inability to develop, or difficulties or delays in developing, formulations of drugs for our product candidates could prevent or delay our ability to advance our existing product candidates or develop new product candidates, which could adversely affect our commercial prospects and ability to generate revenues.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develop microtablets of drugs for use in the RaniPill GO and may need to develop or modify formulations of drugs for use in the RaniPill HC or future versions of the RaniPill capsule. Drug formulation work is difficult and the outcomes are uncertain. If we are not able to develop a drug formulation suitable for use with our RaniPill capsule, it could prevent, limit or delay our ability to pursue or advance product candidates. Even if we are successful in developing drug formulations of product candidates that are suitable for the RaniPill capsule, such formulations may cause the drug to perform differently than another formulation of the drug and could result in our product candidates having a safety or efficacy profile different or worse than other formulations of the drug. If we are unable to develop, or have difficulties or delays in developing, suitable formulations of drugs for the RaniPill capsule, our ability to develop and commercialize product candidates, to expand use of the RaniPill oral delivery technology and to generate revenues could be adversely affected.</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conduct extensive clinical trials to demonstrate the safety and efficacy of our product candidates in humans. We are in the early stages of our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development efforts and have a limited number of product candidates in early clinical development. Other product candidates are still in the preclinical stage. While we intend to advance our product candidates into initial and later stages of clinical development, we have not, to date, submitted an IND for any of our product candidates. We will be required to submit applicable equivalent regulatory filings to foreign regulatory authorities to the extent we initiate clinical trials outside of the United States.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do not know whether our planned clinical trials will begin on time or be completed on schedule, if at all. The commencement and completion of clinical trials can be delayed for a number of reasons, including delays related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FDA or comparable foreign regulatory authorities disagreeing with the design or implementation of our clinical trials or the risks and benefits of the product candidate;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regulatory authorizations to commence a trial, or reaching a consensus with regulatory authorities on trial design;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failure or delay in reaching an agreement with contract research organizations (“CROs”) and clinical trial sites, the terms of which can be subject to extensive negotiation and may vary significantly among different CROs and trial sites;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approval from one or more IRBs;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IRBs refusing to approve, suspending or terminating the trial at an investigational site, precluding enrollment of additional volunteers or withdrawing their approval of the trial;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to clinical trial protocol;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sites deviating from trial protocol or dropping out of a trial;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manufacturing sufficient quantities of a product candidate or obtaining sufficient quantities of other therapies or active pharmaceutical ingredients for use in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volunteers failing to enroll or remain in our trial at the rate we expect, or failing to return for post-treatment follow-up;</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volunteers choosing an alternative treatment for the indication for which we are developing our product candidates, or participating in competing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lack of adequate funding to continue the clinical trial;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volunteers experiencing severe or unexpected drug-related or device-related adverse effects;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occurrence of serious adverse events in clinical trials of the same class of agents conducted by other companies;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analysis of the resulting data;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changes to our manufacturing process or product formulation that may be necessary or desired;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shortages in, or delays in obtaining, raw materials for manufacturing our product candidates or adequately scaling our manufacturing processes and procedures to deliver sufficient quantities for use in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clinical investigators losing the licenses or permits necessary to perform our clinical trials, not performing our clinical trials on our anticipated schedule or consistent with the clinical protocol or relevant regulatory requirements;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contractors not performing data collection or analysis in a timely or accurate manner;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contractors becoming debarred or suspended or otherwise penalized by the FDA or other government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Regulatory authorities may require that filings related to the commencement, continuation or termination of a clinical trial be submitted through specific electronic systems or in a specific manner (e.g., format), which may differ from one jurisdiction to another. We may seek to conduct a clinical trial in multiple jurisdictions in an effort to enroll sufficient numbers of patients or to do so in a timely manner or for other reasons. Meeting the requirements of various regulatory agencies could be costly and any delay in meeting, or inability to meet, the regulatory requirements of different jurisdictions regarding submissions could delay or negatively impact our ability to initiate or complete our clinical trials as planned. Any failure or inability by us to submit required regulatory documents for our planned or future clinical trials or any failure or inability to do so in the required manner could delay or prevent us from initiating or completing our planned or future clinical trials when we are otherwise ready or at all.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protocols to IRBs for reexamination, which may impact the costs, timing or successful completion of a clinical trial.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 conducting clinical trials in foreign countries, as we may do for our product candidates, presents additional risks that may delay completion of our clinical trials. These risks include the failure of enrolled participants in foreign countries to adhere to clinical protocol as a result of differences in healthcare services or cultural customs, managing additional administrative burdens associated with foreign regulatory schemes and data protection regulations, as well as political and economic risks relevant to such foreign countries.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we work with third parties to manufacture, develop, and supply the drug payloads for inclusion in the RaniPill capsule, a development process that is lengthy and expensive. Some of the active ingredients we are utilizing in our development are used by other sponsors to make biosimilars in the United States, and others are not. We and our third-party manufacturers may discover, even late in the process, that a particular drug payload does not demonstrate the necessary characteristics or is unacceptable to the FDA or other regulatory authorities, and we may be forced to abandon such manufacturing and development efforts for such compound and pursue alternative sourcing, or conduct additional, more involved development work to be able to use such compound, which could have an adverse effect on our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or clinical trials to bridge our modified product candidates to earlier versions. Any delays to our clinical trials that occur as a result could shorten any period during which we may have the exclusive right to commercialize our product candidates and our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competitors may be able to bring products to market before we do, and the commercial viability of our product candidates could be significantly reduced. Any of these occurrences may harm our business, financial condition and prospects significantly.</w:t>
      </w:r>
    </w:p>
    <w:p>
      <w:pPr>
        <w:pStyle w:val="TextBody"/>
        <w:bidi w:val="0"/>
        <w:spacing w:before="0" w:after="240"/>
        <w:jc w:val="left"/>
        <w:rPr>
          <w:rFonts w:ascii="Times New Roman" w:hAnsi="Times New Roman"/>
          <w:sz w:val="20"/>
        </w:rPr>
      </w:pPr>
      <w:r>
        <w:rPr>
          <w:rFonts w:ascii="Times New Roman" w:hAnsi="Times New Roman"/>
          <w:b/>
          <w:i/>
          <w:color w:val="000000"/>
          <w:sz w:val="20"/>
        </w:rPr>
        <w:t>Enrollment and retention of patients in clinical trials is an expensive and time-consuming process and could be made more difficult or rendered impossible by multiple factors outside our control.</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may encounter delays in enrolling, or be unable to enroll or maintain, a sufficient number of patients to complete any of our clinical trials. Patient enrollment and retention in clinical trials is a significant factor in the timing of clinical trials and depends on many factors, including the size and nature of the patient population, the nature of the trial protocol, the existing body of safety and efficacy data with respect to the study drug, the number and nature of competing treatments and ongoing clinical trials of competing drugs for the same indication, the proximity of patients to clinical trial sites and the eligibility criteria for the clinical trial.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most of our product candidates, we are working to deliver known biologic products via the RaniPill platform, and accordingly, patients who are currently prescribed or eligible to be prescribed the approved injectable versions of these biologics may be unable or unwilling to participate in our clinical trials to test an unapproved delivery system of these medications. Our inability to enroll a sufficient number of patients for any of our current or future clinical trials would result in significant delays or may require us to abandon one or more clinical trials altogether.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Furthermore, any negative results we may report in clinical trials of our product candidates may make it difficult or impossible to recruit and retain patients in other clinical trials of that same candidate. Also, negative results in clinical trials by other companies regarding the biologics we are using or biosimilars or analogs thereof can additionally make it difficult or impossible to recruit and retain patients in our clinical trials. Delays or failures in planned patient enrollment or retention may result in increased costs, program delays or both, which could have a harmful effect on our ability to develop our product candidates, or could render further development impossible.</w:t>
      </w:r>
    </w:p>
    <w:p>
      <w:pPr>
        <w:pStyle w:val="TextBody"/>
        <w:bidi w:val="0"/>
        <w:spacing w:before="0" w:after="240"/>
        <w:jc w:val="left"/>
        <w:rPr>
          <w:rFonts w:ascii="Times New Roman" w:hAnsi="Times New Roman"/>
          <w:sz w:val="20"/>
        </w:rPr>
      </w:pPr>
      <w:r>
        <w:rPr>
          <w:rFonts w:ascii="Times New Roman" w:hAnsi="Times New Roman"/>
          <w:b/>
          <w:i/>
          <w:color w:val="000000"/>
          <w:sz w:val="20"/>
        </w:rPr>
        <w:t>Our product candidates or similar investigational or approved drugs may cause undesirable side effects or have other properties impacting safety that could delay or prevent the regulatory approval of, limit the commercial profile of an approved label for, or result in limiting the commercial opportunity for our product candidates if approved.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Undesirable side effects that may be caused by our product candidates or caused by similar investigational or approved drugs within the same class by other companies, could cause us or regulatory authorities to interrupt, delay or halt clinical trials and could result in a more restrictive label or the delay or denial of regulatory approval by the FDA or other comparable foreign authorities. Results of our clinical trials could reveal a high and unacceptable severity and prevalence of side effects or adverse events related to our product candidates. In such an event, our clinical trials could be suspended or terminated, and the FDA or comparable foreign regulatory authorities could order us to cease further development of our product candidates for any or all targeted biologic indications.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example, in our Phase 1 clinical trial of RT-102, the RaniPill capsule was well tolerated by all subjects, and no subjects had difficulty swallowing the pill. Capsule remnants were passed by all trial subjects and no serious adverse events were observed. However, we have generated limited clinical data with the RaniPill capsule to date, and further testing and analysis may reveal adverse events inconsistent with the safety profile observed to date.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Drug-related side effects could negatively affect patient recruitment or the ability of enrolled patients to complete the trial and even if our clinical trials are completed and our product candidate is approved, drug-related side effects could restrict the label or result in potential product liability claims. Any of these occurrences could significantly harm our business, financial condition and prospects.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Moreover, since our product candidates are being developed for indications for which subcutaneous and IV injectable pharmaceuticals have been approved, we expect that our clinical trials would need to show a risk/benefit profile that is competitive with those existing products and product candidates in order to obtain regulatory approval or, if approved, a product label that is favorable for commercialization.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similar investigational or approved drugs within the same class as our product candidates may encounter serious adverse events. In the event these products encounter serious adverse events, the FDA may remove the class of drugs from the market, impose a class wide REMS, or require other class wide regulatory requirements. We may face increased regulatory scrutiny and ultimately may have to abandon our product candidate of the same class, which would have an adverse effect on our business, financial condition and operations.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Additionally, if one or more of our product candidates receives marketing approval and we or others later identify undesirable side effects caused by such products, a number of potentially significant negative consequences could result,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regulatory authorities may withdraw approvals of such product;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required to create a medication guide outlining the risks of such side effects for distribution to patients;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particular product candidate which could significantly harm our business and prospects. Also, any undesirable side effects caused by or safety concerns related to our delivery device apart from a drug or biologic could delay, limit or prevent us from developing and commercializing any product candidates.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As an organization, we have conducted limited early clinical development, have not submitted an IND to the FDA and we have never conducted later-stage clinical trials or submitted a BLA or NDA, and may be unable to do so for any of our product candidates.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early in our development efforts for our product candidates, and we will need to successfully complete later-stage and pivotal clinical trials in order to obtain FDA or comparable foreign regulatory approval to market our current or any future product candidates. Carrying out later-stage clinical trials and the submission of a successful BLA or NDA is a complicated process. As an organization, we have conducted Phase 1 clinical trials in Australia. We have not previously conducted any later stage or pivotal clinical trials, have limited experience as a company in preparing, submitting and prosecuting regulatory filings and have not previously submitted a BLA, NDA or other comparable foreign regulatory submission for any product candidate. We also plan to conduct a number of clinical trials for multiple product candidates in parallel over the next several years. This may be a difficult process to manage with our limited resources and may divert the attention of management. In addition, we have had limited interactions with the FDA, and we have never filed an IND. We cannot be certain about the regulatory pathway for each of our product candidates, which may vary depending on the molecule being delivered, how many clinical trials of our product candidates will be required or how such trials will have to be designed. For example, we anticipate relying on data developed on the RaniPill platform to enable shortened or more efficient development for subsequent product candidates, but this may not be the case and the FDA or other regulatory authorities may require us to perform a full suite of studies for each of our product candidates. Consequently, we may be unable to successfully and efficiently commence,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BLAs or NDAs for and commercializing our product candidates.</w:t>
      </w:r>
    </w:p>
    <w:p>
      <w:pPr>
        <w:pStyle w:val="TextBody"/>
        <w:bidi w:val="0"/>
        <w:spacing w:before="0" w:after="240"/>
        <w:jc w:val="left"/>
        <w:rPr>
          <w:rFonts w:ascii="Times New Roman" w:hAnsi="Times New Roman"/>
          <w:sz w:val="20"/>
        </w:rPr>
      </w:pPr>
      <w:r>
        <w:rPr>
          <w:rFonts w:ascii="Times New Roman" w:hAnsi="Times New Roman"/>
          <w:b/>
          <w:i/>
          <w:color w:val="000000"/>
          <w:sz w:val="20"/>
        </w:rPr>
        <w:t>Our product candidates are subject to extensive regulation and compliance, which is costly and time consuming, and such regulation may cause unanticipated delays or prevent the receipt of the required approvals to commercialize our product candidates.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to review and approve new products can be affected by a variety of factors, including government budget and funding levels and the ability to hire and retain key personnel and accept the payment of user fees. In addition, approval policies or regulations may change, and the FDA has substantial discretion in the approval process, including the ability to delay, limit or deny approval of a product candidate for many reasons. Despite the time and expense invested in clinical development of product candidates, regulatory approval is never guaranteed.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FDA or comparable foreign regulatory authorities can delay, limit or deny approval of a product candidate for many reasons,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such authorities may disagree with the design or implementation of our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negative or ambiguous results from our clinical trials or results may not meet the level of statistical significance required by the FDA or comparable foreign regulatory authorities for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serious and unexpected drug-related side effects may be experienced by participants in our clinical trials or by individuals using drugs similar to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population studied in the clinical trial may not be sufficiently broad or representative to assure safety in the full population for which we seek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not accept clinical data from trials which are conducted at clinical facilities or in countries where the standard of care is potentially different from that of the United States;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disagree with our interpretation of data from preclinical studies or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not agree that the data collected from clinical trials of our product candidates are acceptable or sufficient to support the submission of a BLA or other submission or to obtain regulatory approval in the United States or elsewhere, and such authorities may impose requirements for additional preclinical studies or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disagree regarding the formulation, labeling and/or the specifications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approval may be granted only for indications that are significantly more limited than what we apply for and/or with other significant restrictions on distribution and use;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find deficiencies in the manufacturing processes or facilities of our third-party manufacturers with which we contract for clinical and commercial supplies;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regulations of such authorities may significantly change in a manner rendering our or any of our potential future collaborators’ clinical data insufficient for approval;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not accept a submission due to, among other reasons, the content or formatting of the submission.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biologics may result in increased cautiousness by the FDA and comparable foreign regulatory authorities in reviewing new biologics based on safety, efficacy or other regulatory considerations and may result in significant delays in obtaining regulatory approvals. Any delay in obtaining, or inability to obtain, applicable regulatory approvals would prevent us from commercializing our product candidates.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Because we have limited financial and managerial resources, we focus on specific product candidates, indications and development programs. We also plan to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In addition, we are focused on developing the RaniPill capsule in addition to the drug formulations for use in the RaniPill capsule. While we intend to focus on well-characterized molecules with attractive commercial characteristics, focusing both on drug delivery and formulation will require substantial resources and attention. In addition, we are developing the RaniPill HC, and in the future we may seek to develop other variations of the RaniPill capsule. In such cases, we need to redesign and conduct additional preclinical and clinical studies of any new design of the RaniPill capsule.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pStyle w:val="TextBody"/>
        <w:bidi w:val="0"/>
        <w:spacing w:before="0" w:after="240"/>
        <w:jc w:val="left"/>
        <w:rPr>
          <w:rFonts w:ascii="Times New Roman" w:hAnsi="Times New Roman"/>
          <w:sz w:val="20"/>
        </w:rPr>
      </w:pPr>
      <w:r>
        <w:rPr>
          <w:rFonts w:ascii="Times New Roman" w:hAnsi="Times New Roman"/>
          <w:b/>
          <w:i/>
          <w:color w:val="000000"/>
          <w:sz w:val="20"/>
        </w:rPr>
        <w:t>A breakthrough therapy designation or Fast Track designation by the FDA for a drug may not lead to a faster development or regulatory review or approval process, and it would not increase the likelihood that the drug will receive marketing approval.</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the future, we may seek a breakthrough therapy designation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biologics license application.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candidates no longer meet the conditions for qualification, or it may decide that the time period for FDA review or approval will not be shortened.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may seek Fast Track designation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 is eligible for this designation, the FDA may not decide to grant it. Even if we do receive Fast Track designation, we may not experience a faster development process, review, or approval compared to conventional FDA procedures. If our clinical development program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and priority review do not change the standards for approval. The FDA may withdraw Fast Track designation if it believes that the designation is no longer supported by data from our clinical development program. Fast Track designation alone does not guarantee qualification for the FDA’s priority review procedures.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Product candidates comprising a biologic or drug within the RaniPill capsule employ novel technologies that have not yet been approved by the FDA or comparable foreign regulatory authorities, and we anticipate that our applications will have to be submitted as original, standalone BLAs or NDAs. These regulatory authorities have limited experience in evaluating our technologies and product candidates. Our novel technologies also make it difficult to predict the time and cost of product candidate development.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developing product candidates based on novel technologies, and we, directly or with potential collaboration partners, intend to understand and deliver the requisite demonstration of safety and efficacy that the FDA and comparable foreign regulatory authorities may seek for the approval of our product candidates, which comprise a biologic or drug within the RaniPill capsule. It is possible that the regulatory approval process may take significant time and resources and require deliverables from independent third parties not under our control. For some of our product candidates, the regulatory approval path and requirements may not be clear or may change, which could add significant delay and expense. For example, although we have engaged in pre-submission meetings with the FDA, we have limited feedback from the FDA on the clinical trials that will be necessary to support BLA or NDA submissions for any of our product candidates. The FDA or regulatory authorities outside the U.S. may require more or different data or documentation regarding the RaniPill technology or our product candidates than we generate or anticipate, which could cause delays to planned clinical activities. Delays or failure to obtain regulatory approval of any of the product candidates that we or potential collaboration partners develop using our novel technologies would adversely affect our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we are still developing our platform and any development problems we experience in the future may cause significant delays or unanticipated costs, and such development problems may not be able to be overcome. We may also experience delays in developing a sustainable, reproducible and scalable manufacturing process or transferring that process to commercial partners, which may prevent us from completing our clinical trials or commercializing our products on a timely or profitable basis, if at all. In addition, our expectations with regard to our scalability and costs of manufacturing may vary significantly as we develop our product candidates and understand these critical factors.</w:t>
      </w:r>
    </w:p>
    <w:p>
      <w:pPr>
        <w:pStyle w:val="TextBody"/>
        <w:bidi w:val="0"/>
        <w:spacing w:before="0" w:after="240"/>
        <w:jc w:val="left"/>
        <w:rPr>
          <w:rFonts w:ascii="Times New Roman" w:hAnsi="Times New Roman"/>
          <w:sz w:val="20"/>
        </w:rPr>
      </w:pPr>
      <w:r>
        <w:rPr>
          <w:rFonts w:ascii="Times New Roman" w:hAnsi="Times New Roman"/>
          <w:b/>
          <w:i/>
          <w:color w:val="000000"/>
          <w:sz w:val="20"/>
        </w:rPr>
        <w:t>We have limited clinical data on our product candidates to indicate whether they are safe or effective for long-term use in humans.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limited clinical data on our product candidates and we have not conducted any studies to evaluate whether they are safe or effective for long-term use in humans, including to evaluate the safety of any degradation products that may result after the drug is injected into the intestinal wall. In our Phase 1 clinical trials, we tested the RaniPill capsule in a limited number of healthy volunteers. While we have not observed any serious adverse events as a result of these preclinical studies or our clinical trials, we have not widely tested the RaniPill capsule in humans and cannot be certain how the RaniPill capsule will perform when more widely tested in humans in any later clinical trials.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If treatment with any of our product candidates in our ongoing or future clinical trials results in concerns about their safety or efficacy, we and/or any collaboration partners may be unable to successfully develop or commercialize any or all of our product candidates or enter into collaborations with respect to our product candidates.</w:t>
      </w:r>
    </w:p>
    <w:p>
      <w:pPr>
        <w:pStyle w:val="TextBody"/>
        <w:bidi w:val="0"/>
        <w:spacing w:before="0" w:after="240"/>
        <w:jc w:val="left"/>
        <w:rPr>
          <w:rFonts w:ascii="Times New Roman" w:hAnsi="Times New Roman"/>
          <w:sz w:val="20"/>
        </w:rPr>
      </w:pPr>
      <w:r>
        <w:rPr>
          <w:rFonts w:ascii="Times New Roman" w:hAnsi="Times New Roman"/>
          <w:b/>
          <w:i/>
          <w:color w:val="000000"/>
          <w:sz w:val="20"/>
        </w:rPr>
        <w:t>We have conducted and may in the future conduct clinical trials for current or future product candidates outside the United States, and the FDA and comparable foreign regulatory authorities may not accept data from such trials.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conducted and may in the future choose to conduct one or more clinical trials outside the United States. For example, we have conducted Phase 1 clinical trials in Australia.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or potential collaboration partners may develop not receiving approval for commercialization in the applicable jurisdiction.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Negative results arising from ProGen’s development or future commercialization of PG-102, the therapeutic compound used in RT-114, could have materially adverse effects on our development of RT-114, or limit the commercial profile or an approved label for or result in limiting the commercial opportunity for RT-114, if approved.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therapeutic compound utilized in RT-114 is a GLP-1/GLP-2 dual agonist from ProGen known as PG-102. ProGen is developing PG-102, independent of our collaboration, as a subcutaneous injection for obesity and type-II diabetes. ProGen may develop PG-102 for other indications. If ProGen’s clinical or preclinical testing of PG-102 results in data that is negative, or perceived to be negative, including without limitation safety concerns, adverse events or uncompetitive or poor efficacy data, or if ProGen encounters challenges obtaining regulatory approval for or commercial success with PG-102, such results could materially adversely affect the development, potential for regulatory approval for and/or commercial opportunity of RT-114, since RT-114 utilizes the same compound. In addition, if ProGen, itself or through a partner, succeeds in developing, obtaining regulatory approval for, and commercializing PG-102 outside of our collaboration, that product could compete with RT-114 and have a material adverse effect on the commercial opportunity for RT-114.</w:t>
      </w:r>
    </w:p>
    <w:p>
      <w:pPr>
        <w:pStyle w:val="TextBody"/>
        <w:bidi w:val="0"/>
        <w:spacing w:before="0" w:after="240"/>
        <w:jc w:val="left"/>
        <w:rPr>
          <w:rFonts w:ascii="Times New Roman" w:hAnsi="Times New Roman"/>
          <w:sz w:val="20"/>
        </w:rPr>
      </w:pPr>
      <w:r>
        <w:rPr>
          <w:rFonts w:ascii="Times New Roman" w:hAnsi="Times New Roman"/>
          <w:b/>
          <w:color w:val="000000"/>
          <w:sz w:val="20"/>
        </w:rPr>
        <w:t>Risks Related to Commercialization of Our Product Candidates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0"/>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requirements imposed by the FDA and comparable foreign regulatory authorities, including ensuring that quality control and manufacturing procedures conform to cGMP regulations. As such, we and our contract manufacturers, if any, will be subject to continual review and inspections to assess compliance with cGMP and adherence to commitments made in any BLA or MAA. Accordingly, we and others with whom we work must continue to expend time, money, and effort in all areas of regulatory compliance, including manufacturing, production, and quality control.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and comparable foreign regulatory authorities.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a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issue warning letters that would result in adverse publicity;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impose civil or criminal penalties;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suspend or withdraw regulatory approvals;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suspend any of our ongoing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refuse to approve pending applications or supplements to approved applications submitted by us;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impose restrictions on our operations, including closing our contract manufacturers’ facilities;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seize or detain products;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require a product recall.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 </w:t>
      </w:r>
    </w:p>
    <w:p>
      <w:pPr>
        <w:pStyle w:val="TextBody"/>
        <w:bidi w:val="0"/>
        <w:spacing w:before="0" w:after="240"/>
        <w:jc w:val="left"/>
        <w:rPr>
          <w:rFonts w:ascii="Times New Roman" w:hAnsi="Times New Roman"/>
          <w:sz w:val="20"/>
        </w:rPr>
      </w:pPr>
      <w:r>
        <w:rPr>
          <w:rFonts w:ascii="Times New Roman" w:hAnsi="Times New Roman"/>
          <w:b/>
          <w:i/>
          <w:color w:val="000000"/>
          <w:sz w:val="20"/>
        </w:rPr>
        <w:t>Even if our product candidates receive marketing approval, they may fail to achieve market acceptance by physicians, patients, government payors (including Medicare and Medicaid programs), private insurers, and other third-party payors, or others in the medical community necessary for commercial success.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any of our product candidates receive marketing approval, they may nonetheless fail to gain sufficient market acceptance by physicians, patients, government payors, other third-party payors and other healthcare providers. If any of our approved products fail to achieve an adequate level of acceptance, we may not generate significant revenue to become profitable. The degree of market acceptance, if approved for commercial sale, will depend on a number of factors, including but not limited to: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potential or perceived advantages or disadvantages of the oral delivery of biologics as compared to subcutaneous or IV injections of biologics;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efficacy of our product candidates compared to alternative treatments;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shelf-life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effectiveness of sales and marketing efforts;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 of treatment in relation to alternative treatments;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offer our product candidates for sale at competitive prices;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the RaniPill capsule;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class of drugs that are included in our product candidates continuing to represent the standard-of-care for the respective disease target and continuing to have a long-term favorable safety profile;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willingness of physicians to prescribe use of the RaniPill capsule and to prescribe biologics that utilize the RaniPill capsule;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willingness of the medical community to offer patients our product candidates in addition to or in the place of current subcutaneous and IV injectable therapies;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availability of government and third-party coverage and adequate reimbursement;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manufacture sufficient supply to meet patients’ demand;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restrictions on the use of our product candidates together with other medications or treatments.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Because we expect sales of our product candidates, if approved, to generate revenue for us to achieve profitability, the failure of our product candidates to achieve market acceptance would harm our business and could require us to seek collaborations or undertake additional financings sooner than we would otherwise plan. </w:t>
      </w:r>
    </w:p>
    <w:p>
      <w:pPr>
        <w:pStyle w:val="TextBody"/>
        <w:bidi w:val="0"/>
        <w:spacing w:before="0" w:after="240"/>
        <w:jc w:val="left"/>
        <w:rPr>
          <w:rFonts w:ascii="Times New Roman" w:hAnsi="Times New Roman"/>
          <w:sz w:val="20"/>
        </w:rPr>
      </w:pPr>
      <w:r>
        <w:rPr>
          <w:rFonts w:ascii="Times New Roman" w:hAnsi="Times New Roman"/>
          <w:b/>
          <w:i/>
          <w:color w:val="000000"/>
          <w:sz w:val="20"/>
        </w:rPr>
        <w:t>The FDA and comparable foreign regulatory authorities actively enforce the laws and regulations prohibiting the promotion of off-label uses. If we are found or alleged to have improperly promoted off-label uses, we may become subject to significant liability.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FDA and comparable foreign regulatory authorities strictly regulate the promotional claims that may be made about prescription products, as our product candidates would be, if approved. In particular, a product may not be promoted for uses that are not approved by the FDA or comparable foreign regulatory authorities as reflected in the product’s approved labeling. However, companies may share truthful and not misleading information that is otherwise consistent with a product’s FDA approved labeling. If we receive marketing approval for any one of our product candidates, physicians could prescribe such product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adversely affect our business and financial condition. </w:t>
      </w:r>
    </w:p>
    <w:p>
      <w:pPr>
        <w:pStyle w:val="TextBody"/>
        <w:bidi w:val="0"/>
        <w:spacing w:before="0" w:after="240"/>
        <w:jc w:val="left"/>
        <w:rPr>
          <w:rFonts w:ascii="Times New Roman" w:hAnsi="Times New Roman"/>
          <w:sz w:val="20"/>
        </w:rPr>
      </w:pPr>
      <w:r>
        <w:rPr>
          <w:rFonts w:ascii="Times New Roman" w:hAnsi="Times New Roman"/>
          <w:b/>
          <w:i/>
          <w:color w:val="000000"/>
          <w:sz w:val="20"/>
        </w:rPr>
        <w:t>The insurance coverage and reimbursement status of newly approved products is uncertain. Failure to obtain or maintain adequate coverage and reimbursement for our product candidates could limit our ability to generate revenue.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availability and extent of reimbursement by governmental and private payors are essential for most patients to be able to afford medications and therapies.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coverage is provided, the approved reimbursement amount may not be high enough to allow us to establish or maintain adequate pricing that will allow us to realize a sufficient return on our investment.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Factors payors consider in determining reimbursement are based on whether the product is: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 covered benefit under its health plan;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safe, effective and medically necessary;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appropriate for the specific patient;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cost-effective;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neither experimental nor investigational.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There is significant uncertainty related to the insurance coverage and reimbursement of newly approved products. In the United States, the principal decisions about reimbursement for new products are typically made by the Centers for Medicare and Medicaid Services, an agency within the United States Department of Health and Human Services ("CMS"). CMS decides whether and to what extent a new product will be covered and reimbursed under Medicare. Private payors tend to follow CMS to a substantial degree. It is difficult to predict what CMS will decide with respect to reimbursement for novel products such as ours since there is no body of established practices and precedents for these new products. Reimbursement agencies in Europe may be more conservative than CMS.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Outside the United States,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than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United States. Certain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For example, the U.S. Department of Health and Human Services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w:t>
      </w:r>
    </w:p>
    <w:p>
      <w:pPr>
        <w:pStyle w:val="TextBody"/>
        <w:bidi w:val="0"/>
        <w:spacing w:before="0" w:after="240"/>
        <w:jc w:val="left"/>
        <w:rPr>
          <w:rFonts w:ascii="Times New Roman" w:hAnsi="Times New Roman"/>
          <w:sz w:val="20"/>
        </w:rPr>
      </w:pPr>
      <w:r>
        <w:rPr>
          <w:rFonts w:ascii="Times New Roman" w:hAnsi="Times New Roman"/>
          <w:b/>
          <w:i/>
          <w:color w:val="000000"/>
          <w:sz w:val="20"/>
        </w:rPr>
        <w:t>We face significant competition from other biotherapeutics and pharmaceutical companies, and our operating results will suffer if we fail to compete effectively.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biotherapeutics and pharmaceutical industries are intensely competitive and subject to rapid and significant technological change. We have competitors worldwide, including major multinational pharmaceutical companies, biotherapeutics companies, specialty pharmaceutical and generic pharmaceutical companies as well as universities and other research institutions.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Many of our competitors have substantially greater financial, technical and other resources, such as larger research and development staff, and experienced marketing and manufacturing organizations. Mergers and acquisitions in our industry may result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Competition may increase further as a result of advances in the commercial applicability of newer technologies and greater availability of capital for investment in these industries. Our competitors may succeed in developing, acquiring or licensing, on an exclusive basis, pharmaceutical products that are easier to develop, more effective or less costly than any product candidates that we are currently developing or that we may develop. Technological advances to those of our technologies may be developed by these competitors. If approved, our product candidates are expected to face competition from commercially available drugs as well as drugs and devices that are in the development pipelines of our competitors.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Pharmaceutical companies may invest heavily to accelerate discovery and development of novel technologies or to in-license novel technologies that could make our product candidates less competitive. In addition, any new product that competes with an approved product must demonstrate advantages in efficacy, convenience, tolerability or safety in order to overcome price competition and to be commercially successful. If our competitors succeed in obtaining FDA or comparable foreign regulatory approval before we do or develop blocking intellectual property to which we do not have a license, there would be a material adverse impact on the future prospects for our product candidates and business.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face competition from current and future (generic and biosimilars) manufacturers of subcutaneous and IV injectable versions of our product candidates, such as AbbVie Inc., Eli Lilly and Company, Janssen Biotech, Inc., as well as obesity treatments from Eli Lilly and Company, Novo Nordisk A/S, ProGen and others. We may also face competition from companies that develop oral small molecule therapeutics to the same biological targets as the biologics incorporated into our RaniPill capsule, as well as device-based technologies such as the SOMA and LUMI from the Novo Nordisk-MIT collaboration and devices being developed by Biograil ApS, Biora Therapeutics, Inc. and Alma Therapeutics. In December 2024, Biora undertook a Chapter 11 sale process. After the sale process concluded in May 2025, the bankruptcy case converted from Chapter 11 to Chapter 7, indicating a liquidation of Biora’s remaining assets. Additionally, we face competition from companies that are pursuing the development and manufacture of oral biologics, including, for example, Oramed Pharmaceuticals, Inc., Entera Bio Ltd., Protagonist Therapeutics, Inc., Chiesi Farmaceutici SpA, Intract Pharma, Novo Nordisk A/S, and Eli Lily and Company. We also face competition from implantable device companies, such as Vivani Medical Inc., and gene and cell therapy companies. Further, our product candidates aim to treat chronic diseases. As a result, we also compete with curative therapies on the basis that they cure the chronic disease we are intending to treat. We believe that our ability to successfully compete will depend on, among other things: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efficacy and safety of our product candidates, in particular compared to marketed products and products in late-stage development;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time it takes for our product candidates to complete clinical development and receive regulatory approval, if at all;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to commercialize and market any of our product candidates that receive regulatory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price of our products, including in comparison to branded or generic competitors;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whether coverage and adequate levels of reimbursement are available under private and governmental health insurance plans, including Medicare;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to protect our intellectual property rights related to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to avoid infringing on the intellectual property rights of others;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to manufacture and sell commercial quantities of any of our product candidates that receive regulatory approval;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acceptance of any of our product candidates, if approved, by payors, patients, and physicians and other healthcare providers, including perception of the safety and efficacy of the oral delivery of biologics.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Because our research approach depends on our proprietary RaniPill platform, it may be difficult for us to continue to successfully compete in the face of rapid changes in technology. If we fail to continue to advance the RaniPill platform,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technological change may impair our ability to compete effectively and technological advances or products developed by our competitors may render our technologies or product candidates obsolete, less competitive or not economical. </w:t>
      </w:r>
    </w:p>
    <w:p>
      <w:pPr>
        <w:pStyle w:val="TextBody"/>
        <w:bidi w:val="0"/>
        <w:spacing w:before="0" w:after="240"/>
        <w:jc w:val="left"/>
        <w:rPr>
          <w:rFonts w:ascii="Times New Roman" w:hAnsi="Times New Roman"/>
          <w:sz w:val="20"/>
        </w:rPr>
      </w:pPr>
      <w:r>
        <w:rPr>
          <w:rFonts w:ascii="Times New Roman" w:hAnsi="Times New Roman"/>
          <w:b/>
          <w:i/>
          <w:color w:val="000000"/>
          <w:sz w:val="20"/>
        </w:rPr>
        <w:t>We currently have no marketing and sales organization. To the extent any of our product candidates for which we maintain commercial rights is approved for marketing, if we are unable to establish marketing and sales capabilities or enter into agreements with third parties to market and sell our product candidates, we may not be able to effectively market and sell any of our product candidates, or generate product revenue.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currently do not have a marketing or sales organization for the marketing, sales and distribution of biologics products. In order to commercialize any product candidates that receive marketing approval, we would have to build marketing, sales, distribution, managerial and other non-technical capabilities or make arrangements with third parties to perform these services, and we may not be successful in doing so. In the event of successful development of any of our product candidates, we may elect to build a targeted specialty sales force which will be expensive and time consuming. Any failure or delay in the development of our internal sales, marketing and distribution capabilities would adversely impact the commercialization of these products. With respect to our product candidates, we may choose to partner with third parties that have direct sales forces and established distribution systems, either to augment our own sales force and distribution systems or in lieu of our own sales force and distribution systems. If we are unable to enter into collaborations with third parties for the commercialization of approved products, if any, on acceptable terms or at all, or if any such partner does not devote sufficient resources to the commercialization of our products or otherwise fails in commercialization efforts, we may not be able to successfully commercialize any of our product candidates that receive regulatory approval. If we are not successful in commercializing our product candidates, either on our own or through collaborations with one or more third parties, our future revenue will be materially and adversely impacted. </w:t>
      </w:r>
    </w:p>
    <w:p>
      <w:pPr>
        <w:pStyle w:val="TextBody"/>
        <w:bidi w:val="0"/>
        <w:spacing w:before="0" w:after="240"/>
        <w:jc w:val="left"/>
        <w:rPr>
          <w:rFonts w:ascii="Times New Roman" w:hAnsi="Times New Roman"/>
          <w:sz w:val="20"/>
        </w:rPr>
      </w:pPr>
      <w:r>
        <w:rPr>
          <w:rFonts w:ascii="Times New Roman" w:hAnsi="Times New Roman"/>
          <w:b/>
          <w:i/>
          <w:color w:val="000000"/>
          <w:sz w:val="20"/>
        </w:rPr>
        <w:t>If the market opportunities for any product that we develop are smaller than we believe they are, our commercial revenue may be adversely affected and our business may suffer.</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projections of both the number of people who have the diseases we may be targeting, as well as the subset of people with these health issues who have the potential to benefit from treatment with our current and any of our future product candidates are based on our beliefs and estimates. For example, we are developing RT-114, an oral administration of a dual GLP-1/GLP-2 agonist for the treatment of obesity, for which we estimate that 20% of the U.S, adult population in 2024 was living with obesity; and RT-111 for the treatment of inflammatory conditions, for which we estimate the patient population to be seven million for psoriasis and three million for Crohn’s disease or ulcerative colitis in the United States as of 2021. These estimates, and estimates for our other product candidates,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for indications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patients,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Even if we obtain significant market share for our products, if approved, if the potential target populations are small, we may never achieve profitability without obtaining regulatory approval for additional indications.</w:t>
      </w:r>
    </w:p>
    <w:p>
      <w:pPr>
        <w:pStyle w:val="TextBody"/>
        <w:bidi w:val="0"/>
        <w:spacing w:before="0" w:after="240"/>
        <w:jc w:val="left"/>
        <w:rPr>
          <w:rFonts w:ascii="Times New Roman" w:hAnsi="Times New Roman"/>
          <w:sz w:val="20"/>
        </w:rPr>
      </w:pPr>
      <w:r>
        <w:rPr>
          <w:rFonts w:ascii="Times New Roman" w:hAnsi="Times New Roman"/>
          <w:b/>
          <w:i/>
          <w:color w:val="000000"/>
          <w:sz w:val="20"/>
        </w:rPr>
        <w:t>Additional time may be required to obtain regulatory approval for our product candidates because they are combination products.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believe our product candidates are biologic-device combination products that require coordination within the FDA and comparable foreign regulatory authorities for review of their device and biologic components. Although the FDA and comparable foreign regulatory authorities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40"/>
        <w:jc w:val="left"/>
        <w:rPr>
          <w:rFonts w:ascii="Times New Roman" w:hAnsi="Times New Roman"/>
          <w:sz w:val="20"/>
        </w:rPr>
      </w:pPr>
      <w:r>
        <w:rPr>
          <w:rFonts w:ascii="Times New Roman" w:hAnsi="Times New Roman"/>
          <w:b/>
          <w:i/>
          <w:color w:val="000000"/>
          <w:sz w:val="20"/>
        </w:rPr>
        <w:t>Even if we obtain and maintain approval for any of our product candidates from the FDA, we may never obtain approval for our product candidates outside of the United States, which would limit our market opportunities and adversely affect our business.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Sales of our product candidates outside of the United States will be subject to foreign regulatory requirements governing clinical trials and marketing approval and, to the extent that we retain commercial rights following clinical development, we would plan to seek regulatory approval to commercialize our product candidates in the United States, the European Union and additional foreign countries. Even if the FDA grants marketing approval for a product candidate, comparable foreign regulatory authorities must also approve the manufacturing and marketing of that product candidate in those countries. Approval procedures vary among jurisdictions and can involve requirements and administrative review periods different from, and greater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is also subject to approval. We may decide to submit an MAA to the EMA for approval in the European Economic Area (“EEA”). As with the FDA, obtaining approval of an MAA from the EMA is a similarly lengthy and expensive process and the EMA has its own procedures for approval of product candidates. Even if a product is approved, the FDA or the EMA, as the case may be, may limit the indications for which the product may be marketed, require extensive warnings on the product labeling or require expensive and time-consuming clinical trials or reporting as conditions of approval. Foreign regulatory authorities in countries outside of the United States and the EEA also have requirements for approval of drug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comparable foreign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fail to receive applicable marketing approvals, our target market will be reduced and our ability to realize the full market potential of our product candidates will be harmed and our business will be adversely affected. </w:t>
      </w:r>
    </w:p>
    <w:p>
      <w:pPr>
        <w:pStyle w:val="TextBody"/>
        <w:bidi w:val="0"/>
        <w:spacing w:before="0" w:after="240"/>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0"/>
        </w:rPr>
        <w:t>Our collaboration with Chugai may not be successful, and we may not realize the anticipated benefits of the Chugai Collaboration and License Agreement.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October 2025, we entered into the Chugai Collaboration and License Agreement with Chugai to develop, manufacture, seek regulatory approvals for and, if approved, commercialize the Chugai Product combining Chugai’s Compound, which is in development for hemophilia, and the RaniPill® HC for use in humans. Under the Collaboration and License Agreement, we received an upfront payment of $10.0 million ($2.0 million in accounts receivable related to tax withheld) and we are eligible to receive up to $18.0 million in technology transfer milestones, up to $57.0 million in development milestones, up to $100.0 million in sales-based milestones, contingent upon approval and the commercial success of the Chugai Product, and single-digit royalties on net sales, contingent on approval and commercialization of the Chugai Product. The success of this collaboration is subject to numerous risks and uncertainties, many of which are outside of our control.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ability to receive milestone or royalty payments depends on the achievement of specified technology transfer, development, regulatory, and commercial events, many of which depend on both parties' efforts and on the ultimate performance, approval and commercialization of the Chugai Product, including the Compound and the RaniPill HC. As a result, we may not receive any or all of the potential milestone or royalty payments contemplated by the Chugai Collaboration and License Agreement. Chugai has primary responsibility for preclinical and clinical development, regulatory filings, and commercialization of the Chugai Product, while we are responsible for development of the device and for certain manufacturing and supply activities.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Moreover, the development of the Chugai Product is subject to significant scientific, regulatory, and commercial risks inherent in drug and combination product development. There can be no assurance that the Chugai Product will successfully complete preclinical or clinical studies, obtain regulatory approval, or achieve commercial success, if approved.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Chugai holds certain options and rights under the Agreement, including a one-time right to replace the compound, a right of first refusal for certain additional drug targets, and options to extend its rights to additional drug targets. The exercise of these rights could alter the scope or economics of the collaboration, or may not occur at all, which could affect the potential value of the arrangement to us. If the collaboration is significantly delayed or terminates early, whether due to breach, convenience, or other circumstances, we may be unable to continue development of the Chugai Product. Any of these events could materially harm our business, financial condition, and results of operations.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We may not be successful in obtaining or maintaining development, manufacturing and/or commercialization collaborations, and any potential partner may not devote sufficient resources to our product candidates or may otherwise fail in development, manufacturing and/or commercialization efforts, which could adversely affect our ability to develop certain of our product candidates and adversely affect our financial condition and operating results.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the past, we have entered into agreements with Chugai, ProGen, Celltrion and certain other pharmaceutical companies concerning the evaluation, formulation, manufacture and/or commercialization of oral versions of certain molecules.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October 2025, we entered into a Collaboration and License Agreement with Chugai to develop, manufacture, seek regulatory approvals for and, if approved, commercialize a Chugai Product (RT-117) combining Chugai’s Compound, which is in development for hemophilia, and the RaniPill HC capsule for use in humans. If Chugai fails to devote sufficient resources to the collaboration or otherwise determines to reprioritize or discontinue development of the Chugai Product, our ability to advance the program would be materially and adversely affected.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June 2024, we entered into a Collaboration Agreement with ProGen for the development, manufacture and commercialization of RT-114, an oral version of a GLP-1/GLP-2 dual agonist in the RaniPill HC capsule, worldwide. In January and July 2023, we entered into License and Supply Agreements with Celltrion, under which we receive supply of ustekinumab biosimilar for RT-111 and adalimumab biosimilar for RT-105. Celltrion received rights of first negotiation to obtain development and commercialization rights for RT-111and RT-105 after completion of a Phase 1 clinical trial for the respective molecule that meets its primary endpoint(s). The right of first negotiation with respect to RT-111 has expired and we have not yet initiated a Phase 1 clinical trial with RT-105. Further, Celltrion has a right to terminate the Celltrion Agreement with respect to RT-105 because we did not initiate a Phase 1 clinical trial within a certain period specified in the agreement. If ProGen does not adequately resource or support our collaboration for the development, manufacture and commercialization of RT-114, including providing timely supply of GLP-1/GLP-2 dual agonist for use in RT-114, our ability to develop, manufacture and/or commercialize RT-114 may be adversely affected. Further, if we and Celltrion enter into an agreement granting Celltrion development and commercialization rights for RT-111 or RT-105, we may be reliant on Celltrion to develop and commercialize the applicable product(s) in certain countries or worldwide.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Future evaluation agreements, supply agreements or collaborations entered into, may not ultimately be successful, which could have a negative impact on our business, results of operations, financial condition and growth prospects. While we plan to expand our reach by selectively entering into strategic partnerships, we may not be able to enter into such partnerships, and if we do, we may not be able to maintain significant rights or control of future development and commercialization of our product candidates. Accordingly, if we collaborate with a third party for development and commercialization of a product candidate, we may relinquish some or all of the control over the future success of that product candidate to the third party, and that partner may not devote sufficient resources to the formulation and manufacture of our product candidate or may otherwise fail in these efforts, in which event the formulation and manufacture of the product candidate in the collaboration could be delayed or terminated and our business could be substantially harmed.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believe our product candidates are biologic-device combination products that we anticipate will be regulated under the biologic regulations of the FDA based on their primary mode of action as a biologic. Third-party manufacturers may not be able to comply with the regulatory requirements, known as cGMP, applicable to biologic-device combination products, including applicable provisions of the FDA’s drug and biologics cGMP regulations, device cGMP requirements embodied in the medical device Quality System Regulations ("QSRs"),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any BLA or NDA to the FDA.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the terms of any potential collaboration or other arrangement that we may establish may not be favorable to us or may not be perceived as favorable, which may negatively impact the price of our Class A common stock. In some cases, we may be responsible for continuing formulation and manufacture of a product candidate under a collaboration, and the payments we receive from our partner may be insufficient to cover the cost of this work or may result in a dispute between the parties. Moreover, collaborations and sales and marketing arrangements are complex and time consuming to negotiate, document and implement and they may require substantial resources to maintain, which may be detrimental to the development of our other product candidates.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subject to a number of additional risks associated with our dependence on collaborations with third parties, the occurrence of which could cause our collaboration arrangements to fail. Conflicts may arise between us and partners, such as conflicts concerning the implementation of development plans, efforts and resources dedicated to the product candidate,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interpretation of clinical data, the achievement of milestones, the interpretation of financial provisions or the ownership of intellectual property developed during the collaboration. If any such conflicts arise, a collaborator could act in its own self-interest, which may be adverse to our interests. Any such disagreement between us and a partner could result in one or more of the following, each of which could delay or prevent the development or commercialization of our product candidates, and in turn prevent us from generating sufficient revenue to achieve or maintain profitability: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reductions in the payment of royalties or other payments we believe are due pursuant to the applicable collaboration arrangement;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actions taken by a partner inside or outside our collaboration which could negatively impact our rights or benefits under our collaboration;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unwillingness on the part of a partner to keep us informed regarding the progress of its development and commercialization activities or to permit public disclosure of the results of those activities.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the termination of a collaboration may limit our ability to obtain rights to the product or intellectual property developed by our collaborator under terms that would be sufficiently favorable for us to consider further development or investment in the terminated collaboration product candidate, even if it were returned to us.</w:t>
      </w:r>
    </w:p>
    <w:p>
      <w:pPr>
        <w:pStyle w:val="TextBody"/>
        <w:bidi w:val="0"/>
        <w:spacing w:before="0" w:after="240"/>
        <w:jc w:val="left"/>
        <w:rPr>
          <w:rFonts w:ascii="Times New Roman" w:hAnsi="Times New Roman"/>
          <w:sz w:val="20"/>
        </w:rPr>
      </w:pPr>
      <w:r>
        <w:rPr>
          <w:rFonts w:ascii="Times New Roman" w:hAnsi="Times New Roman"/>
          <w:b/>
          <w:i/>
          <w:color w:val="000000"/>
          <w:sz w:val="20"/>
        </w:rPr>
        <w:t>We rely on third parties to conduct our preclinical studies and clinical trials. If these third parties do not successfully carry out their contractual duties or do not meet regulatory requirements or expected deadlines, we may not be able to obtain timely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have relied upon and plan to continue to rely upon third-party CROs to monitor and manage clinical trials and collect data during our preclinical studies and clinical programs. We rely on these parties for execution of our preclinical studies and clinical trials, and control only certain aspects of their activities. Nevertheless, we are responsible for ensuring that their conduct meets regulatory requirements and that each of our studies and trials is conducted in accordance with the applicable protocol, legal, regulatory and scientific standards, and our reliance on CROs does not relieve us of our regulatory responsibilities. Thus, we and our CROs are required to comply with GCPs, which are regulations and guidelines promulgated by the FDA and comparable foreign regulatory authorities for all of our product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not accept the data or may require us to perform additional clinical trials before considering our filing for regulatory approval or approving our marketing application. We cannot assure you that upon inspection by a regulatory authority, such regulatory authority will determine that any of our clinical trials complies with GCPs. While we have agreements governing activities of our CROs, we may have limited influence over their actual performance and the qualifications of their personnel conducting work on our behalf. Failure to comply with applicable regulations in the conduct of the clinical studies for our product candidates may require us to repeat clinical trials, which would delay the regulatory approval process.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Some of our CROs have the ability to terminate their respective agreements with us if it can be reasonably demonstrated that the safety of the volunteers participating in our clinical trials warrants such termination, if we make a general assignment for the benefit of our creditors or if we are liquidated.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substantially and our ability to generate revenue could be delayed significantly.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Our collaboration agreement with ProGen Co., Ltd. includes certain restrictions and obligations that may limit our flexibility in developing and commercializing RT-114 or require us to bear costs we otherwise would not incur or did not expect to incur.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June 2024, we entered into a Collaboration Agreement with ProGen for the worldwide development and commercialization of RT-114, a GLP-1/GLP-2 dual agonist in the RaniPill® HC capsule, for weight management. Under the terms of the ProGen Agreement, the parties will share equally the costs and revenues from development and commercialization of RT-114. Each party has certain rights, restrictions and obligations under the ProGen Agreement with respect to the development, manufacture and commercialization of RT-114, including certain rights to provide input on or approve activities of the other party or costs related thereto. As a result, we may not be able to develop and commercialize RT-114 in the manner or timeframe we believe to be most advantageous, and may be obligated to share costs that we otherwise would not incur. In addition, under the terms of the ProGen Agreement, each party has the right to opt-out of the collaboration, including the cost and revenue sharing, for RT-114, in which case the continuing party would bear all costs for further development, manufacture and commercialization of RT-114, other than certain costs already then-approved, and receive all future revenues from the program, subject to a low-to-mid single-digit royalty to the other party, depending on when the opt-out occurred. ProGen is a clinical-stage company and does not currently generate revenues from any marketed products. If ProGen were to opt-out, we would bear all such costs for further development, manufacture and commercialization of RT-114, which we may not be able to do in a timely manner or at all. In such an event, the development, manufacture and/or commercialization of RT-114 could be significantly disrupted and delayed and we may be required to abandon certain activities related to this or other product candidates to address the loss of expected cost-sharing by ProGen.</w:t>
      </w:r>
    </w:p>
    <w:p>
      <w:pPr>
        <w:pStyle w:val="TextBody"/>
        <w:bidi w:val="0"/>
        <w:jc w:val="left"/>
        <w:rPr>
          <w:rFonts w:ascii="Times New Roman" w:hAnsi="Times New Roman"/>
          <w:b/>
          <w:i/>
          <w:color w:val="000000"/>
          <w:sz w:val="20"/>
        </w:rPr>
      </w:pPr>
      <w:r>
        <w:rPr>
          <w:rFonts w:ascii="Times New Roman" w:hAnsi="Times New Roman"/>
          <w:b/>
          <w:i/>
          <w:color w:val="000000"/>
          <w:sz w:val="20"/>
        </w:rPr>
        <w:t>We depend on third-party suppliers for key materials used in our manufacturing processes as well as for the manufacturing of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rely on third-party suppliers for the supply of the raw materials and APIs or drug substances required for the production of our product candidates, and we may to some extent rely on third-party manufacturers for the commercial supply of any of our product candidates for which we seek to obtain marketing approval. In addition, we work with third parties to manufacture and develop biologics for inclusion in the RaniPill capsule and for use in our clinical trials. For example, ProGen manufactures, or uses a third party to manufacture, the drug substance used in RT-114 and Celltrion manufactures, or uses a third party to manufacture, the drug substances for RT-111 and RT-105.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dependence on these third parties and the challenges we may face in obtaining adequate supplies of raw materials, APIs and drug substances involve several risks, including limited control over pricing, availability, quality, delivery schedules and non-exclusivity. As a small company, our negotiation leverage is limited, and we are likely to get lower priority than our competitors who are larger than we are. We do not have long-term supply agreements, and we purchase our required supplies on a development manufacturing services agreement or purchase order basis or the like. These third parties may not continue to provide us with the quantities of these materials that we require to satisfy our anticipated specifications and quality requirements. Any supply interruption in limited or sole sourced raw materials, APIs or drug substances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prevent us from conducting, or cause delays to, our current or planned clinical trials, commercialization of our products, if approved, and have an adverse effect on our business, financial condition and results of operations.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may seek to enter into collaborations, licenses and other similar arrangements and may not be successful in doing so, and even if we are, we may not realize the benefits of such relationships.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may seek to enter into, and have entered into, collaborations, joint ventures, licenses and other similar arrangements for the development or commercialization of our product candidates, due to capital costs required to develop or commercialize the product candidate or manufacturing constraints. In addition, we may seek to enter into collaborations, joint ventures, licenses and other similar arrangements with third party biopharmaceutical companies for use of the RaniPill technology in developing and commercializing their own molecules. We may not be successful in our efforts to establish or maintain such collaborations because our research and development pipeline may be insufficient, our product candidates or technology may be deemed to be at too early of a stage of development for collaborative effort or third parties may not view our product candidates or technology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January 2023, we entered into a License and Supply Agreement with Celltrion, under which Celltrion had a right of first negotiation to obtain development and commercialization rights for RT-111 after completion of a Phase 1 clinical trial that meets its primary endpoint(s). In June 2023, we entered into another License and Supply Agreement with Celltrion, under which we receive supply of adalimumab biosimilar from Celltrion for RT-105 and Celltrion has a right of first negotiation to obtain development and commercialization rights for RT-105 after completion of a Phase 1 clinical trial that meets its primary endpoint(s). Celltrion’s right of first negotiation with respect to RT-111 has expired. For RT-105, Celltrion has no obligation to exercise its right of first negotiation, and if it does exercise such right we may not be able to agree on terms favorable to us or acceptable to us or Celltrion. Accordingly, there can be no assurance that the parties will enter into an agreement granting Celltrion development and commercialization rights for RT-105 following completion of a Phase 1 trial that meets its primary endpoint(s) or any exercise of the right of first negotiation. In November 2023, we announced that we have paused the RT-105 program until we have appropriate resources to continue the development. While the License and Supply Agreement with Celltrion regarding adalimumab biosimilar for RT-105 remains in place, Celltrion has a right to terminate the agreement because we did not initiate a Phase 1 trial with RT-105 within a certain time period specified in the agreement. In addition, as a result of a pausing of the RT-105 program, Celltrion’s interest in exercising its right of first negotiation with respect to that program or negotiating a collaboration for that program could diminish.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Even if we are successful in our efforts to establish a collaboration with Celltrion or collaborations with other third parties,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existing collaborations or any potential future collaborations may be terminable by our strategic partners, and we may not be able to adequately protect our rights under these agreements. Furthermore, strategic partners may have or negotiate for certain rights to control decisions regarding the development and, if approved, commercialization of our product candidates, and may not conduct those activities in the same manner as we do. Any termination of existing collaboration or collaborations that we may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pStyle w:val="TextBody"/>
        <w:bidi w:val="0"/>
        <w:spacing w:before="0" w:after="240"/>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any guidance we may provide.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timing, degree of success and cost of, and level of investment in, research, development, regulatory approval and commercialization activities relating to our product candidates, which may change from time to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coverage and reimbursement policies with respect to our product candidates, if approved, and potential future drugs that compete with our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 of manufacturing our product candidates, which may vary depending on the quantity of production;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expenditures that we may incur to acquire, develop or commercialize additional product candidates and technologies;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of demand for any approved products, which may vary significantly;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and success or failure of preclinical studies or clinical trials for our product candidates or competing product candidates, or any other change in the competitive landscape of our industry, including consolidation among our competitors or partners.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 </w:t>
      </w:r>
    </w:p>
    <w:p>
      <w:pPr>
        <w:pStyle w:val="TextBody"/>
        <w:bidi w:val="0"/>
        <w:spacing w:before="0" w:after="240"/>
        <w:jc w:val="left"/>
        <w:rPr>
          <w:rFonts w:ascii="Times New Roman" w:hAnsi="Times New Roman"/>
          <w:sz w:val="20"/>
        </w:rPr>
      </w:pPr>
      <w:r>
        <w:rPr>
          <w:rFonts w:ascii="Times New Roman" w:hAnsi="Times New Roman"/>
          <w:b/>
          <w:i/>
          <w:color w:val="000000"/>
          <w:sz w:val="20"/>
        </w:rPr>
        <w:t>We are heavily dependent on the success of our product candidates in our core programs, and if any of these product candidates fail to enter clinical trials, receive regulatory approval or are not successfully commercialized, our business would be adversely affected.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currently have no product candidates that are in late-stage clinical trials or are approved for commercial sale, and we may never be able to develop a marketable product. We have a limited number of product candidates in early clinical development. We expect that a substantial portion of our efforts and expenditures over the next few years will be devoted to the development of the RaniPill platform that is designed to enable the oral administration of a broad range of biologics and drugs used to treat multiple diseases and disorders. The RaniPill capsule may not receive regulatory approval in connection with any biologic or drug or, if approved, it may not be successfully commercialized. The research, testing, manufacturing, labeling, approval, sale, marketing and distribution of our product candidates for the indications we are seeking will remain subject to extensive regulation by the FDA and comparable foreign regulatory authorities in the United States and other countries, each of which has differing regulations. In addition, even if approved, pricing and reimbursement will be subject to further review and discussions with payors. We are not permitted to market any product candidate in the United States until after approval of a BLA or NDA from the FDA, or a similar marketing authorization from comparable authorities in any foreign countries until after approval of a marketing application by corresponding foreign regulatory authorities. We have conducted early clinical development of some of our product candidates. We will need to conduct larger, more extensive clinical trials in the target patient populations for these product candidates and their indications to support a potential application for regulatory approval by the FDA or corresponding foreign regulatory authorities.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not previously submitted a BLA or NDA to the FDA, or similar product approval filings to comparable foreign authorities, for any product candidate, and our product candidates may not be successful in clinical trials or receive regulatory approval. Filing an application and obtaining regulatory approval for a biologic product candidate or drug product candidate is an extensive, lengthy, expensive and inherently uncertain process, and the regulatory authorities may delay, limit or deny approval of our product candidates for many reasons, including: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may not be able to demonstrate that any of our product candidates is safe and effective to the satisfaction of the FDA or comparable foreign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require additional preclinical studies or clinical trials prior to granting approval, which would increase our costs and extend the pre-approval development process;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of our clinical trials may not meet the level of statistical or clinical significance required by the FDA or comparable foreign regulatory authorities for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number, design, size, conduct or statistical analysis of one or more of our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or not accept, our interpretation of data from our preclinical studies and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identify deficiencies in our manufacturing processes or facilities which would be required to be corrected prior to regulatory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 or further approval of competitor products approved in indications in which we undertake development of our product candidates may change the standard of care or change the standard for approval of our product candidate in our proposed indications;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change their approval policies or adopt new regulations.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product candidates will require additional research, clinical development, manufacturing activities, regulatory approval in multiple jurisdictions (if regulatory approval can be obtained at all), securing sources of commercial manufacturing supply and building of or partnering with a commercial organization. Our planned clinical trials for our product candidates may not be initiated or completed in a timely manner or successfully, or at all. Further we may not advance any other product candidates into clinical trials. Moreover, any delay or setback in the development of any product candidate would be expected to adversely affect our business and cause our stock price to fall.</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may not be successful in our efforts to use and expand our proprietary RaniPill platform to build a pipeline of product candidates and partnered programs.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key element of our strategy is to leverage the RaniPill platform to expand our pipeline of product candidates and to enter into collaborations, licenses or similar arrangements with third party biopharmaceutical companies to use the RaniPill technology in developing and commercializing the third party’s molecules. In order to do so, we must continue to invest in the RaniPill platform and development capabilities. Although our research and development efforts to date have resulted in a pipeline of our core product candidates, these product candidates may not be safe and effective and may not obtain regulatory approval. In addition, although we plan to develop the RaniPill platform to deliver a diverse pipeline of product candidates across multiple diseases and disorders (alone or with partners), we may not prove to be successful at doing so. Potential partners may not see the opportunities created by the RaniPill platform the same way we do, or at all, and even if they do we may not be able to negotiate and enter into licensing or other transactions with potential partners on favorable terms, or at all. Even if we are successful in continuing to build our pipeline or establishing licensing arrangements with third parties regarding use of our platform for their molecules, the potential product candidates that we or they identify may not be suitable for clinical development, including as a result of being shown to have harmful side effects or other characteristics that indicate that they are unlikely to be products that will receive marketing approval or achieve market acceptance. Even after approval, if we or potential partners cannot successfully develop or commercialize products using the RaniPill technology, or if serious adverse events are discovered after commercialization, we will not be able to generate any product revenue, which would adversely affect our business.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Changes in regulatory requirements and guidance may also occur and we may need to amend clinical trial protocols submitted to applicable regulatory authorities to reflect these changes. Amendments may require us to resubmit clinical trial protocols to IRBs or ethics committees for re-examination, which may impact the costs, timing or successful completion of a clinical trial.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policies of the FDA and comparable foreign regulatory authorities may change, and additional government regulations may be enacted that could prevent, limit or delay regulatory approval of our current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prospects, financial condition and results of operations.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we are required to conduct additional clinical trials or other preclinical studies with respect to our current or future product candidates, or if we are unable to successfully complete our preclinical studies or planned clinical trials, we may be delayed in obtaining regulatory approval of our current or any of our future product candidates, we may not be able to obtain regulatory approval at all or we may obtain approval for indications that do not provide a broad commercial opportunity. Our product development costs will also increase if we experience delays in testing or approvals, and we may not have sufficient funding to complete the testing and approval process for our current or any of our future product candidates. Significant clinical trial delays could allow our competitors to bring products to market before we do and impair our ability to commercialize our products if and when approved. If any of this occurs, our business would be harmed.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Most of our product candidates are in research or preclinical development and have not entered into clinical trials. If we are unable to develop, test and commercialize our product candidates, our business will be adversely affected.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part of our strategy, we seek to discover, develop and commercialize a portfolio of product candidates that deliver different biologics through the RaniPill capsule. Research programs to identify appropriate biological targets and product candidates require substantial scientific,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financial and internal resources are insufficient;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methodology used may not be successful in identifying potential product candidates;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uncompetitive;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may be shown to have harmful side effects or other characteristics that indicate such product candidate is unlikely to be effective or otherwise unlikely to achieve applicable regulatory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may not be capable of being produced in commercial quantities at an acceptable cost, or at all;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may not be accepted by patients, the medical community, healthcare providers or third-party payors. </w:t>
      </w:r>
    </w:p>
    <w:p>
      <w:pPr>
        <w:pStyle w:val="TextBody"/>
        <w:bidi w:val="0"/>
        <w:spacing w:before="240" w:after="240"/>
        <w:jc w:val="left"/>
        <w:rPr>
          <w:rFonts w:ascii="Times New Roman" w:hAnsi="Times New Roman"/>
          <w:sz w:val="20"/>
        </w:rPr>
      </w:pPr>
      <w:r>
        <w:rPr>
          <w:rFonts w:ascii="Times New Roman" w:hAnsi="Times New Roman"/>
          <w:b/>
          <w:i/>
          <w:color w:val="000000"/>
          <w:sz w:val="20"/>
        </w:rPr>
        <w:t>Our proprietary RaniPill platform may not result in any products of commercial value.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have developed a proprietary platform designed to enable the administration of biologics previously only administrable by subcutaneous or IV injection, and this approach forms the basis of our overall development strategy for all of our product candidates.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multiple reasons, the RaniPill platform may not ultimately be commercially valuable,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RaniPill platform may not work in conjunction with our targeted biologic indications or future indications to yield product candidates that can enter clinical development;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successful in our efforts to expand the applicability of the RaniPill platform beyond our current product pipeline;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enter into licensing or partnership agreements on suitable terms to obtain and develop oral versions of biologics;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medical community may not accept the RaniPill platform and physicians may not prescribe our products to patients, if approved.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addition, we have designed our platform to be drug-agnostic, which we believe could enable us to expand into additional markets beyond our current pipeline. While our research and development efforts support the use of the peptides and antibodies we have evaluated to date for inclusion in the RaniPill capsule, there could be molecules that are unable to be inserted in the RaniPill capsule, whether as a result of payload capacity, mechanism of action, or otherwise, the result of which would significantly harm our product candidates’ commercial potential.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Furthermore, certain of the product candidates contemplated by our current product pipeline may require use of the RaniPill HC, which is in early clinical testing. There is no guarantee that we will be able to complete development of the RaniPill HC or that it will be compatible for use with product candidates or that it will achieve test results sufficient to advance it or our product candidates to later stages of development and/or commercialization,, any of which could adversely affect the commercial potential of the RaniPill platform. Additionally, to the extent we are able to develop RaniPill HC or another device with a larger payload capacity, we may be required to conduct additional preclinical or clinical studies to establish performance characteristics of the updated design, and for regulatory authorities to permit evaluation of the updated design in human subjects.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a result of a failure in any one of these factors, our business, financial condition and results of operations could be adversely affected.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Our high-capacity oral delivery device, RaniPill HC, is in early stages of development, and it is subject to the inherent risks and uncertainties of developing a novel, innovative technology. Our efforts to develop RaniPill HC may not be successful.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RaniPill HC is in early stages of development, and it is subject to the inherent risks and uncertainties of developing a novel, innovative potential technology. Development of a new delivery device is time-consuming and costly, and could distract the attention of our management or other employee resources from our existing and future business. Our efforts to develop RaniPill HC may not be successful or RaniPill HC may require modifications that could limit its utility or viability as an oral delivery device. We may not be able to complete development of RaniPill HC in a timely manner, or at all, or such development may require an amount of time and resource that we are not able to devote to it or believe is not warranted based on the estimated benefits. The potential value of RaniPill HC may never be realized for a variety of reasons, including that we are not able to successfully develop RaniPill HC, third parties develop competitive technologies or products similar to or more effective or attractive than RaniPill HC, we are not able to develop manufacturing processes to produce RaniPill HC consistently and reliably or within a cost range that makes RaniPill HC products commercially viable. Any such factor could reduce or eliminate the potential value of RaniPill HC or product candidates that could be developed using RaniPill HC. In addition, while we currently expect that RaniPill HC will be able to leverage many of the same components and manufacturing processes as are used for our existing delivery device, it may turn out that such components or manufacturing processes are not suited for RaniPill HC or RaniPill HC may require modifications that negatively affect our ability to use common components or processes between the RaniPill GO and RaniPill HC. Any of the foregoing factors or circumstances may adversely affect our business prospects, our attractiveness as a business partner or collaborator, our ability to raise additional capital, and our financial results.</w:t>
      </w:r>
    </w:p>
    <w:p>
      <w:pPr>
        <w:pStyle w:val="TextBody"/>
        <w:bidi w:val="0"/>
        <w:spacing w:before="0" w:after="240"/>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any of our product candidates, if approved.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stop development or, if approved, limit commercialization of our product candidates. Even successful defense would require significant financial and management resources. Regardless of the merits or eventual outcome, liability claims may result in: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delay or termination of clinical studies;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decreased demand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loss of revenue from product sales;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inability to commercialize any of our product candidates, if approved.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inability to obtain and retain sufficient product liability insurance at an acceptable cost to protect against potential product liability claims could prevent or inhibit the development or commercialization of our product candidates. Although we maintain clinical trial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w:t>
      </w:r>
    </w:p>
    <w:p>
      <w:pPr>
        <w:pStyle w:val="TextBody"/>
        <w:bidi w:val="0"/>
        <w:spacing w:before="0" w:after="240"/>
        <w:jc w:val="left"/>
        <w:rPr>
          <w:rFonts w:ascii="Times New Roman" w:hAnsi="Times New Roman"/>
          <w:sz w:val="20"/>
        </w:rPr>
      </w:pPr>
      <w:r>
        <w:rPr>
          <w:rFonts w:ascii="Times New Roman" w:hAnsi="Times New Roman"/>
          <w:b/>
          <w:i/>
          <w:color w:val="000000"/>
          <w:sz w:val="20"/>
        </w:rPr>
        <w:t>The manufacture and packaging of biologics is subject to FDA requirements and those of comparable foreign regulatory authorities. If we or our third-party manufacturers fail to satisfy these requirements, our product development and commercialization efforts may be harmed.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manufacture and packaging of biologics is regulated by the FDA and comparable foreign regulatory authorities and must be conducted in accordance with the FDA’s cGMP and comparable requirements of foreign regulatory authorities. There is a limited number of manufacturers that operate under these cGMP regulations who are both capable of manufacturing biologics and willing to do so. Failure by us or our third-party manufacturers to comply with applicable regulations or requirements could result in sanctions being imposed on us, including fines, injunctions, civil penalties, failure of regulatory authorities to grant marketing approval of our products, delays, suspension or withdrawal of approvals, seizures or voluntary recalls of product, operating restrictions and criminal prosecutions, any of which could harm our business. Our product candidates require aseptic manufacturing techniques that may present additional manufacturing challenges compared to other oral route of administration products. The same requirements and risks are applicable to the suppliers of the key raw material used to manufacture the active pharmaceutical ingredients or drug substances for the biologics of our product candidates.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Manufacturers of combination products need to comply with both pharmaceutical cGMPs and medical device QSRs enforced by the FDA through its facilities inspection programs. These requirements include, among other things, quality control, quality assurance and the maintenance of records and documentation. We or third-party manufacturers of our product candidates may be unable to comply with these cGMP and QSR requirements and with other FDA and foreign regulatory requirements. A failure to comply with these requirements may result in fines and civil penalties, suspension of production, suspension or delay in product approval, product seizure or recall, or withdrawal of product approval. If the safety of any of our product candidates is compromised due to failure to adhere to applicable laws or for other reasons, we may not be able to successfully commercialize such product candidate, and we may be held liable for any injuries sustained as a result. Any of these factors could cause a delay in the commercialization of our product candidates, entail higher costs or even prevent us from effectively commercializing our product candidates.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and QSRs. Any new facility is subject to a pre-approval inspection by the FDA and would again require us to demonstrate product comparability to the FDA. We would also need to verify, such as through a manufacturing comparability study, that any new manufacturing process would produce our product candidate according to the specifications previously submitted to the FDA, and there are comparable foreign requirements. The delays associated with the verification of a new third-party manufacturer could negatively affect our ability to develop product candidates or commercialize our products in a timely manner or within budget. This review may be costly and time consuming and could delay or prevent the launch of a product.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Furthermore, in order to obtain approval of our product candidates by the FDA and comparable foreign regulatory authorities, we will be required to consistently produce our formulation of the API or drug substance, and the finished product in commercial quantities and of specified quality on a repeated basis and document our ability to do so. This requirement is referred to as process validation. Each of our potential API and drug substance suppliers will likely use a different method to manufacture API or drug substance, which has the potential to increase the risk to us that our manufacturers will fail to meet applicable regulatory requirements. We also need to complete process validation on the finished product in the packaging we propose for commercial sales. This includes testing of stability, measurement of impurities and testing of other product specifications by validated test methods. If the FDA does not consider the result of the process validation or required testing to be satisfactory, we may not obtain approval to launch the product or approval, launch or commercial supply after launch may be delayed.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FDA and comparable foreign regulatory authorities may also implement new requirements, or change their interpretation and enforcement of existing requirements, for manufacture, packaging or testing of products at any time. If we are unable to comply, we may be subject to regulatory actions, civil actions or penalties which could harm our business.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As a vertically-integrated manufacturer of a novel oral delivery technology, we may require significant time to develop manufacturing operations and processes capable of producing safe and reliable product at sufficient scale to meet business needs, if we are able to do so at all.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Since our RaniPill capsule employs novel technologies, we manufacture many of the components and have customized equipment needed for manufacturing the RaniPill capsule and we are required to develop novel manufacturing processes. This requires the development of new methods and know-how, as well as specifications and testing appropriate for manufacture of the RaniPill capsule. It may take significant time to develop manufacturing operations and processes capable of producing safe and reliable product at sufficient scale to meet business needs, if we are able to do so at all. We may find that certain materials used for the RaniPill capsule are not suitable for use with some or any product candidates, that certain processes as designed do not perform as intended and must be re-designed, or that certain operations as currently performed cannot be scaled up or automated as planned or at all. Even if we are able to develop manufacturing operations and processes that perform as we intend, the FDA, EMA or other regulatory authorities or potential collaboration partners may not deem such operations or processes to be acceptable, in which event we may need to change such operations, processes, specifications or testing or develop new operations, processes, specifications or testing, which may result in delays in or adversely affect the development or potential approval of product candidates or the negotiation or completion of third party collaboration arrangements, or require us to divert resources and attention from our product candidates or other business opportunities. Any such event could have a material adverse impact on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directly or indirectly, to federal and state healthcare fraud and abuse laws, false claims laws health information privacy and security laws, and other healthcare laws and regulations. Violations of such laws and regulations could subject us to significant penalties.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may be subject, directly or indirectly, to federal and state healthcare fraud and abuse laws, false claims laws data privacy and security laws, and other healthcare laws and regulations. If we are unable to comply, or have not fully complied, with such laws, we could face substantial penalties. Healthcare providers and third-party payors will play a primary role in the recommendation and prescription of any product candidates for which we obtain marketing approval. Our arrangements with third-party payors and customers may expose us to broadly applicable fraud and abuse and other healthcare laws and regulations that may affect the business or financial arrangements and relationships through which we would market, sell and distribute our products.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The laws that may affect our ability to operate include, but are not limited to: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a federal healthcare programs such as Medicare and Medicaid. A person or entity does not need to have actual knowledge of this statute or specific intent to violate it in order to have committed a violation;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false claims and civil monetary penalties laws, including the False Claims Act, which can be enforced through civil whistleblower or qui tam actions, impose criminal and civil penalties against individuals or entities for knowingly presenting, or causing to be presented, to the federal government, claims for payment that are false, fictitious,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HIPAA, which created new federal criminal statutes that prohibit a person or entity from,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HIPAA, as amended by HITECH, and their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Physician Payment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certain payments and other “transfers of value” made to physicians (defined to include doctors, dentists, optometrists, podiatrists and chiropractors), other healthcare professionals (such as physician assistants and nurse practitioners), and teaching hospitals, and requires applicable manufacturers to report annually to the government ownership and investment interests held by the physicians described above and their immediate family members;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which may apply to sales or marketing arrangements and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state and local laws that require certain regulatory licenses to manufacture or distribute our products commercially and/or the registration of pharmaceutical sales representatives; and state and foreign laws governing the data privacy and security of health information in some circumstances, many of which differ from each other in significant ways and often are not preempted by HIPAA, thus complicating compliance efforts.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Further, in March 2010, the ACA,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 Moreover, while we do not submit claims and our customers make the ultimate decision on how to submit claims, from time to time, we may provide reimbursement guidance to our customers.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scope and enforcement of each of these laws is uncertain and subject to rapid change in the current environment of healthcare reform. Federal and state enforcement bodies have continued their scrutiny of interactions between healthcare companies and healthcare providers, which has led to a number of investigations, prosecutions, convictions and significant settlements in the healthcare 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these laws or any other governmental laws and regulations that may apply to us, we, or our directors, officers, employees, independent contractors, and/or agents, may be subject to significant civil, criminal and administrative penalties, damages, fines, disgorgement, imprisonment, exclusion from government funded healthcare programs, such as Medicare and Medicaid, contractual damages, reputational harm, diminished profits and the curtailment or restructuring of our operations. If any of the physicians or other healthcare providers or entities with whom we expect to do business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is found to be not in compliance with applicable laws, they may be subject to criminal, civil or administrative sanctions, including exclusions from government funded healthcare programs. </w:t>
      </w:r>
    </w:p>
    <w:p>
      <w:pPr>
        <w:pStyle w:val="TextBody"/>
        <w:bidi w:val="0"/>
        <w:spacing w:before="0" w:after="240"/>
        <w:jc w:val="left"/>
        <w:rPr>
          <w:rFonts w:ascii="Times New Roman" w:hAnsi="Times New Roman"/>
          <w:sz w:val="20"/>
        </w:rPr>
      </w:pPr>
      <w:r>
        <w:rPr>
          <w:rFonts w:ascii="Times New Roman" w:hAnsi="Times New Roman"/>
          <w:b/>
          <w:i/>
          <w:color w:val="000000"/>
          <w:sz w:val="20"/>
        </w:rPr>
        <w:t>Recently enacted and future legislation may increase the difficulty and cost for us to obtain marketing approval of and commercialize our product candidates and affect the prices we may obtain.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the United States and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example, in the United States in March 2010, the ACA was enacted to increase access to health insurance, reduce or constrain the growth of healthcare spending, enhance remedies against fraud and abuse, add new transparency requirements for health care and the health insurance industries, impose new taxes and fees on the health industry and impose additional health policy reforms. There have executive, judicial and Congressional challenges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These changes include aggregate reductions to Medicare payments to providers of 2% per fiscal year, which began in 2013 and will remain in effect until 2032 unless additional Congressional action is taken.</w:t>
      </w:r>
    </w:p>
    <w:p>
      <w:pPr>
        <w:pStyle w:val="TextBody"/>
        <w:bidi w:val="0"/>
        <w:jc w:val="left"/>
        <w:rPr>
          <w:rFonts w:ascii="Times New Roman" w:hAnsi="Times New Roman"/>
          <w:color w:val="000000"/>
          <w:sz w:val="20"/>
        </w:rPr>
      </w:pPr>
      <w:r>
        <w:rPr>
          <w:rFonts w:ascii="Times New Roman" w:hAnsi="Times New Roman"/>
          <w:color w:val="000000"/>
          <w:sz w:val="20"/>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materially and adversely affect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expect that additional state and federal healthcare reform measures will be adopted in the future, any of which could limit the amounts that federal and state governments will pay for healthcare therapies, which could result in reduced demand for our product candidates or additional pricing pressures.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0" w:after="240"/>
        <w:jc w:val="left"/>
        <w:rPr>
          <w:rFonts w:ascii="Times New Roman" w:hAnsi="Times New Roman"/>
          <w:sz w:val="20"/>
        </w:rPr>
      </w:pPr>
      <w:r>
        <w:rPr>
          <w:rFonts w:ascii="Times New Roman" w:hAnsi="Times New Roman"/>
          <w:b/>
          <w:i/>
          <w:color w:val="000000"/>
          <w:sz w:val="20"/>
        </w:rPr>
        <w:t>Governments outside the United States tend to impose strict price controls, which may adversely affect our revenues, if any.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 </w:t>
      </w:r>
    </w:p>
    <w:p>
      <w:pPr>
        <w:pStyle w:val="TextBody"/>
        <w:bidi w:val="0"/>
        <w:spacing w:before="0" w:after="240"/>
        <w:jc w:val="left"/>
        <w:rPr>
          <w:rFonts w:ascii="Times New Roman" w:hAnsi="Times New Roman"/>
          <w:sz w:val="20"/>
        </w:rPr>
      </w:pPr>
      <w:r>
        <w:rPr>
          <w:rFonts w:ascii="Times New Roman" w:hAnsi="Times New Roman"/>
          <w:b/>
          <w:i/>
          <w:color w:val="000000"/>
          <w:sz w:val="20"/>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industry has experienced a high rate of turnover of management personnel in recent years. Our ability to compete in the highly competitive biotherapeutics and pharmaceuticals industries depends upon our ability to attract and retain highly qualified managerial, scientific, medical, engineering and regulatory personnel. We are highly dependent on our existing senior management team. We are not aware of any present intention of any of these individuals to leave us. All of our employees may terminate their employment with us at any time, with or without notice. In addition, we manufacture the RaniPill capsule internally. As a result, we rely and will continue to rely on highly qualified manufacturing personnel to manufacture the RaniPill capsule. The loss of the services of any of our executive officers or other key employees and our inability to find suitable replacements would harm our manufacturing efforts as well as our business, financial condition and prospects. Our success depends on our ability to continue to attract, retain and motivate highly skilled and experienced personnel with scientific, technical, medical, regulatory, manufacturing and management training and skills.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may not be able to attract or retain qualified personnel in the future due to the intense competition for a limited number of qualified personnel among biotherapeutics, biotechnology, pharmaceutical, medical device and other businesses. Many of the other biopharmaceutical companies that we compete against for qualified personnel have greater financial and other resources, different risk profiles and a longer history in the industry than we do. Our competitors may provide higher compensation or more diverse opportunities and better opportunities for career advancement. Any or all of these competing factors may limit our ability to continue to attract and retain high quality personnel, which could negatively affect our ability to successfully develop and commercialize product candidates and to grow our business and operations as currently contemplated.</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will need to expand the size of our organization, and we may experience difficulties in managing this growth.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our development and commercialization plans and strategies develop and we operate as a public company, we expect to need additional managerial, operational, scientific, sales, marketing, development, regulatory, technical, manufacturing, financial and other resources. Future growth would impose significant added responsibilities on members of management, including: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designing and managing our clinical trials effectively;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recruiting, maintaining, motivating and integrating additional employees;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managing our manufacturing and development efforts effectively;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improving our managerial, development, operational and financial systems and controls;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managing collaborations with third parties; and</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expanding our facilities.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At such time as our operations expand, we expect that we will need to manage relationships with our partners, suppliers, vendors and other third parties. Our future financial performance and our ability to develop and commercialize our product candidates and to compete effectively will depend, in part, on our ability to manage any future growth effectively. We may not be successful in accomplishing these tasks in growing our company, and our failure to accomplish any of them could adversely affect our business and operations.</w:t>
      </w:r>
    </w:p>
    <w:p>
      <w:pPr>
        <w:pStyle w:val="TextBody"/>
        <w:bidi w:val="0"/>
        <w:spacing w:before="0" w:after="240"/>
        <w:jc w:val="left"/>
        <w:rPr>
          <w:rFonts w:ascii="Times New Roman" w:hAnsi="Times New Roman"/>
          <w:sz w:val="20"/>
        </w:rPr>
      </w:pPr>
      <w:r>
        <w:rPr>
          <w:rFonts w:ascii="Times New Roman" w:hAnsi="Times New Roman"/>
          <w:b/>
          <w:i/>
          <w:color w:val="000000"/>
          <w:sz w:val="20"/>
        </w:rPr>
        <w:t>If we do not achieve our projected development and commercialization goals in the timeframes we announce and expect, the commercialization of our product candidates may be delayed, and our business will be harmed.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available capital resources or capital constraints we experience;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receipt of approvals by the FDA and comparable foreign regulatory authorities and the timing thereof;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actions, decisions or rules issued by regulators;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access sufficient, reliable and affordable supplies of compounds used in the manufacture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of our suppliers to reliably provide the quantity of materials needed to manufacture and commercialize our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non-occurrence of adverse events or serious adverse events in preclinical studies or clinical trials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efforts of our collaborators and the success of our own efforts with respect to the commercialization of our products;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securing of, costs related to, and timing issues associated with, product manufacturing, including scale and automation processes, as well as sales and marketing activities.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If we fail to achieve announced milestones in the timeframes we announce and expect, our stock price may decrease, the commercialization of our product candidates may be delayed and our business and results of operations may be harmed.</w:t>
      </w:r>
    </w:p>
    <w:p>
      <w:pPr>
        <w:pStyle w:val="TextBody"/>
        <w:bidi w:val="0"/>
        <w:spacing w:before="0" w:after="240"/>
        <w:jc w:val="left"/>
        <w:rPr>
          <w:rFonts w:ascii="Times New Roman" w:hAnsi="Times New Roman"/>
          <w:sz w:val="20"/>
        </w:rPr>
      </w:pPr>
      <w:r>
        <w:rPr>
          <w:rFonts w:ascii="Times New Roman" w:hAnsi="Times New Roman"/>
          <w:b/>
          <w:i/>
          <w:color w:val="000000"/>
          <w:sz w:val="20"/>
        </w:rPr>
        <w:t>We may engage in strategic transactions that could impact our liquidity, increase our expenses and present significant distractions to our management.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From time to time, 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 </w:t>
      </w:r>
    </w:p>
    <w:p>
      <w:pPr>
        <w:pStyle w:val="TextBody"/>
        <w:bidi w:val="0"/>
        <w:spacing w:before="0" w:after="240"/>
        <w:jc w:val="left"/>
        <w:rPr>
          <w:rFonts w:ascii="Times New Roman" w:hAnsi="Times New Roman"/>
          <w:sz w:val="20"/>
        </w:rPr>
      </w:pPr>
      <w:r>
        <w:rPr>
          <w:rFonts w:ascii="Times New Roman" w:hAnsi="Times New Roman"/>
          <w:b/>
          <w:i/>
          <w:color w:val="000000"/>
          <w:sz w:val="20"/>
        </w:rPr>
        <w:t>Our insurance policies are expensive and only protect us from some business risks, which will leave us exposed to significant uninsured liabilities.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Some of the policies we currently maintain include products and completed operations liability, business personal property and directors’ and officers’ insurance. We do not know, however, if we will be able to maintain insurance with adequate levels of coverage. Any significant uninsured liability may require us to pay substantial amounts, which would adversely affect our financial position and results of operations. </w:t>
      </w:r>
    </w:p>
    <w:p>
      <w:pPr>
        <w:pStyle w:val="TextBody"/>
        <w:bidi w:val="0"/>
        <w:spacing w:before="0" w:after="240"/>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t>
      </w:r>
    </w:p>
    <w:p>
      <w:pPr>
        <w:pStyle w:val="TextBody"/>
        <w:bidi w:val="0"/>
        <w:spacing w:before="0" w:after="240"/>
        <w:jc w:val="left"/>
        <w:rPr>
          <w:rFonts w:ascii="Times New Roman" w:hAnsi="Times New Roman"/>
          <w:sz w:val="20"/>
        </w:rPr>
      </w:pPr>
      <w:r>
        <w:rPr>
          <w:rFonts w:ascii="Times New Roman" w:hAnsi="Times New Roman"/>
          <w:b/>
          <w:i/>
          <w:color w:val="000000"/>
          <w:sz w:val="20"/>
        </w:rPr>
        <w:t>Our employees, independent contractors, principal investigators, consultants and vendors may engage in misconduct or other improper activities, including noncompliance with regulatory standards and requirements, which could have a material adverse effect on our business.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principal investigators, consultants and vendors may engage in fraudulent conduct or other illegal activity.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to the FDA, (ii) manufacturing standards, (iii) federal and state data privacy, security, fraud and abuse and other healthcare laws and regulations established and enforced by comparable foreign regulatory authorities, or (iv)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 </w:t>
      </w:r>
    </w:p>
    <w:p>
      <w:pPr>
        <w:pStyle w:val="TextBody"/>
        <w:bidi w:val="0"/>
        <w:spacing w:before="0" w:after="240"/>
        <w:jc w:val="left"/>
        <w:rPr>
          <w:rFonts w:ascii="Times New Roman" w:hAnsi="Times New Roman"/>
          <w:sz w:val="20"/>
        </w:rPr>
      </w:pPr>
      <w:r>
        <w:rPr>
          <w:rFonts w:ascii="Times New Roman" w:hAnsi="Times New Roman"/>
          <w:b/>
          <w:i/>
          <w:color w:val="000000"/>
          <w:sz w:val="20"/>
        </w:rPr>
        <w:t>Our headquarters and certain of our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and some of the third-party service providers on which we depend for various support functions, such as data storage, are vulnerable to damage from catastrophic events, such as power loss, natural disasters, terrorism and similar unforeseen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events beyond our control. Our corporate headquarters is located in San Jose, California, which in the past has experienced severe earthquakes and fires.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do not carry earthquake insurance. Earthquakes or other natural disasters could severely disrupt our operations, and have a material adverse effect on our business, results of operations, financial condition and prospects.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a natural disaster, power outage or other event occurred that prevented us from using all or a significant portion of our headquarters, damaged critical infrastructure, such as our data storage facilities or financial systems, or that otherwise disrupted operations, it may be difficult or, in certain cases, impossible for us to continue our business for a substantial period of time. We do not have a disaster recovery and business continuity plan in place. We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development plans and business.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 public health crisis could adversely impact our business including our ongoing and planned preclinical studies and clinical trials.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public health crisis may cause delays in our preclinical and planned clinical development activities and may impact our third-party manufacturers and suppliers, which could disrupt its supply chain or the availability or cost of materials. If governmental authorities reinstate or issue new public health directives as a result of a public health crisis, these may negatively impact productivity, disrupt our business, and delay clinical programs and timelines and future clinical trials, the magnitude of which will depend, in part, on the length and severity of the restrictions and other limitations on our ability to conduct business in the ordinary course. These and similar, and perhaps more severe, disruptions in our operations could negatively impact business, results of operations and financial condition, including our ability to obtain financing. Such disruptions could severely impact our business, current and planned clinical trials and preclinical studies, including as a result of:</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inability of our management to travel in connection with establishing partnerships and collaborations;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delays in receiving the supplies, materials and services needed to conduct preclinical studies and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disruption of our access to capital in the global financial markets;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or difficulties in enrolling patients in future planned clinical trials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delays or difficulties in clinical site initiation, including difficulties in recruiting clinical site investigators and clinical site staff;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diversion of healthcare resources away from the conduct of clinical trials, including the diversion of hospitals serving as our clinical trial sites and hospital staff supporting the conduct of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limitations in resources, including our employees, that would otherwise be focused on the conduct of our business or our current or planned preclinical studies or clinical trials, including because of sickness, the desire to avoid contact with large groups of people or restrictions on movement or access to our facility as a result of government-imposed “shelter in place” or similar working restrictions;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interruptions or delays in the operations of the FDA or comparable foreign regulatory authorities, which may impact review and approval timelines;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regulations as part of a response to a public health crisis or other such disruptions which may require us to change the ways in which our clinical trials are conducted, which may result in unexpected costs or require us to discontinue clinical trials altogether;</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interruptions or delays to our pipeline and research programs;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delays in necessary interactions with regulators, ethics committees and other important agencies and contractors due to limitations in employee resources or furlough of government or contractor personnel.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Further, as a result of a public health crisis, we may be required to develop and implement additional clinical trial policies and procedures designed to help protect trial participants, which may include using telemedicine visits, remote monitoring of patients and clinical sites, and measures to ensure that data from clinical trials that may be disrupted as a result of the crisis are collected pursuant to the trial protocol and consistent with GCPs, with any material protocol deviation reviewed and approved by the site IRB. In addition, potential patients in our planned clinical trials may choose to not enroll, not participate in follow-up clinical visits, or drop out of the trial as a precaution during any such crisis.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Additionally, governmental and medical resources and attention may be focused on the applicable crisis, which may make it more difficult to obtain required reviews or approvals, necessary materials, or clinical or preclinical sites or slots, or manufacturing slots for the products needed for our planned clinical trials, which could lead to delays in these trials.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continued and prolonged public health crisis could have a material negative impact on our business, financial condition, and operating results. It could also have the effect of heightening many of the other risks described in this “Risk Factors” section.</w:t>
      </w:r>
    </w:p>
    <w:p>
      <w:pPr>
        <w:pStyle w:val="TextBody"/>
        <w:bidi w:val="0"/>
        <w:jc w:val="both"/>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the ordinary course of business, we process personal data and other sensitive data, including proprietary and confidential business data, trade secrets, intellectual property, and data we collect about trial participants in connection with clinical trials (collectively, sensitive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These state laws allow for statutory fines for noncompliance. For example,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Although the CCPA exempts some data processed in the context of clinical trials, if we become subject to the CCPA, it may increase our compliance costs and potential liability with respect to other personal data we maintain about California residents.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may further complicate compliance efforts if we become subject to those laws, potentially increasing our legal risk and compliance costs for us and the third parties with whom we work.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govern data privacy and security. For example, the EU GDPR, the United Kingdom (“UK”) GDPR, Australia’s Privacy Act, and China’s Personal Information Protection Law (“PIPL”), impose strict requirements for processing personal data. For example, under the EU and UK GDPR (collectively, “GDPR”), companies may face temporary or definitive bans on data processing and other corrective actions; fines of up to 20 million Euros under the EU GDPR, 17.5 million pounds sterling under the UK GDPR or, in each case 4% of annual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global revenue, whichever is greater; or private litigation related to processing of personal data brought by classes of data subjects or consumer protection organizations authorized at law to represent their interests. As another example, Australia’s Privacy Act imposes substantial penalties for serious or repeated interferences with privacy, including penalties up to the greater of: AUD 50 million; three times the value of any benefit derived from the breach, if quantifiable; or 30% of a company’s adjusted annual turnover during the breach period. We conduct clinical trials in Australia. In addition, we work with vendors for clinical trials that conduct data processing activities in Europe and the UK.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We publish a privacy policy on our website. If this policy or other privacy or security-related statements or materials we may publish is found to be deficient, lacking in transparency, deceptive, unfair, misleading or misrepresentative of our practices, we may be subject to investigation, enforcement actions by regulators, or other adverse consequences.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with whom we work. 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orders to destroy or not use personal data; and imprisonment of company officials.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as relevant, clinical trials);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the ordinary course of our business, we and the third parties with whom we work process sensitive data, and as a result, we face a variety of evolving threats that could cause security incidents.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retaliatory cyber-attacks, that could materially disrupt our systems and operations, supply chain, and ability to produce, develop, test and distribute our capsules, product candidates, and other goods and services.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fires, floods, and other similar threats.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regularly have employees that work remotely. Remote work has increased risks to our information technology systems and data, as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our reliance on third-party collaborators, consultants, contractors, suppliers, and service providers could introduce new cybersecurity risks and vulnerabilities, including supply-chain attacks, and other threats to our business operations. We rely on third parties and technologies to operate critical business systems to process sensitive data in a variety of contexts, including, without limitation, contract research organizations, employee email, and other functions. We also rely on third parties to provide other products, services, parts, or otherwise to operate our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ability to monitor these third parties’ information security practices is limited, and these third parties may not have adequate information security measures in place. If our third parties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however, detected and remediated (and may not in the future detect and remediate) all such vulnerabilities including on a timely basis. Further, we have experienced (and may in the future experience) delays in developing and deploying remedial measures and patches designed to address identified vulnerabilities. Vulnerabilities could be exploited and result in a security incident.</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Certain of the previously identified or similar threats have in the past and may in the future cause a security incident or other interruption that have in the past resulted and may in the future result in unauthorized, unlawful, or accidental acquisition, modification, destruction, loss, alteration, encryption, disclosure of, or access to our sensitive data or our information technology systems, or those of the third parties with whom we work. For example, we have been the target of unsuccessful phishing attempts in the past and expect such attempts will continue in the future. A security incident or other interruption could disrupt our ability (and that of third parties with whom we work) to provide our products.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expended resources and structured our business activities (including our clinical trial activities) to try to protect against security incidents. Certain data privacy and security obligations require us to implement and maintain specific security measures, or industry-standard or reasonable security measures to protect our information technology systems and sensitive data.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Applicable data privacy and security obligations may require us, or we may voluntarily choose, to notify relevant stakeholders, including affected individuals, customers, regulators, and investors, of security incidents, or take other actions, such as providing credit monitoring and identity theft protection services. Such disclosures and related actions can be costly, and the disclosure or the failure to comply with such applicable requirements could lead to adverse consequences.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services, deter new customers from using our services, and negatively impact our ability to grow and operate our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Some of our contracts do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such coverage will continue to be available on commercially reasonable terms or at all, or that such coverage will pay future claims.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data about us from public sources, such as through our employee’s unauthorized use of public generative artificial intelligence (AI) tools, data brokers, or other means that reveals competitively sensitive details about our organization and could be used to undermine our competitive advantage or market position.</w:t>
      </w:r>
    </w:p>
    <w:p>
      <w:pPr>
        <w:pStyle w:val="TextBody"/>
        <w:bidi w:val="0"/>
        <w:spacing w:before="0" w:after="240"/>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0"/>
        </w:rPr>
        <w:t>Our commercial success may depend in part on our ability to build and maintain our intellectual property portfolio.</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commercial success may depend in part, and perhaps in large part, on having a strong portfolio of intellectual property rights globally to prevent others from copying our products. We rely on a combination of contractual provisions, patent rights, trademark rights, and trade secrets to protect our core technology and products. However, these legal measures may only afford limited protection. For example, we may not be able to obtain or maintain intellectual property rights that we believe are important to our business, or in a form that provides us with a competitive advantage.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Moreover, obtaining and maintaining intellectual property protection is expensive, and reduces the budget available for research, development, and other expenditures. We must balance the need for intellectual property protection against the need for furthering our development and commercialization activities, which may mean that aspects of our technology and methodology may not be protected by our intellectual property portfolio.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Where our intellectual property rights are insufficient to prevent or limit commercialization of competitive products in a jurisdiction, potential competitors might be able to enter or expand in a market more easily, which could have a material adverse effect on our business.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following ways in which our intellectual property portfolio may be limited represent risks to our capability to reduce competition and thus risks to our business.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We may not be able to obtain sufficient patent coverage.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process of applying for and obtaining a patent is considerably time consuming and expensive, and we may not have the resources to prepare, file, prosecute, or maintain all desirable patent applications and patents in all jurisdictions where protection may be commercially advantageous. It is also possible that we may fail to identify patentable aspects of inventions made in the course of development and commercialization activities before it is too late to obtain patent protection on them, or before others file patent applications covering our product candidates. Moreover, we might not have been the first to make the inventions for which we apply for patents and therefore not be entitled to a patent on such inventions.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Additionally, the scope of our patent coverage may not provide desired coverage for all aspects of our product candidates in all jurisdictions, and scope may differ between jurisdictions. For example, examination of each national or regional patent application is an independent proceeding; as a result, patent applications in the same family may issue with claims of different scope in various jurisdictions, or may even be refused in some or all jurisdictions. If we fail to achieve the desired coverage for all aspects of our product candidates, competitors may be able to copy our technology or design around our patents, and our business may be harmed.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Because the patent position of companies in our industry involves complex legal and factual questions, we cannot predict the validity and enforceability of our patents or provide any assurances that any of our patent applications will be found to be patentable, with certainty. Our issued patents may not provide us with any competitive advantages, may be held invalid or unenforceable as a result of legal challenges by third parties or could be circumvented. Our competitors may also independently develop processes, technologies or products similar to ours or design around or otherwise circumvent any patents issued to, or licensed by, us. Thus, any patents that we own or license from others may not provide adequate protection against competitors. Our pending patent applications, those we may file in the future or those we may license from third parties may not result in patents being issued. If these patents are issued, they may not provide us with proprietary protection or competitive advantages. After the completion of development and registration of our patents, third parties may still manufacture or market our products despite our patent protected rights. If the protection of our proprietary rights is inadequate to prevent use or appropriation by third parties, the value of our brand and other intangible assets may be diminished and competitors may be able to more effectively mimic our technology. If competitors were to mimic our technology, it may result in loss of sales and material litigation expenses. Such infringement of our patent protected rights is likely to cause us damage and lead to a reduction in the prices of our products, thereby reducing our anticipated profits.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may also inadvertently lose patent assets by failing to follow agency procedures. The U.S. Patent and Trademark Office (“USPTO”) and various foreign governmental patent agencies require compliance with a number of procedural, documentary, fee payment and other similar provisions during the patent application process and after a patent issues. Non-compliance with provisions of the various patent agencies can result in the expiration or abandonment of a patent or patent application, resulting in partial or complete loss of associated patent rights in the relevant jurisdiction.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example, periodic maintenance fees, renewal fees, and annuity fees must often be paid to the USPTO and various foreign governmental patent agencies over the lifetime of a patent and/or patent application. These maintenance and annuity fees for our patents and patent applications are handled by a third-party annuity provider. Any errors by the annuity provider, including but not limited to, incomplete patent information, missed payment instructions, or errors in fund transfers may cause granted patents to expire and pending patent applications to be deemed abandoned. If we are unable to timely pay the annuity provider for their services, they may cease to pay the maintenance and annuity fees, and our patents and applications may lapse and no longer be in force. Additional non-compliance events that could result in abandonment or lapse of a patent or patent application include failure to respond to official actions within prescribed time limits and failure to properly legalize and submit formal documents within prescribed time limits.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This may create opportunities for competitors to enter the market, which could hurt our competitive position and could impair our ability to successfully commercialize our product candidates in any indication for which they are approved. For these and other reasons, we cannot guarantee that our patents will provide a basis for an exclusive market for our commercially viable products, or will even provide us with any competitive advantage.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It is possible that defects of form in the preparation, filing or prosecution of our patents or patent applications may exist, or may arise in the future, for example with respect to proper priority claims, inventorship, claim scope or requests for patent term adjustments. If we fail to establish, maintain or protect such patent rights, they may be reduced or eliminated.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We may not be able to obtain sufficient brand protection.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may rely on a combination of trademarks, service marks, brand names, trade names, and trade dress, and in some cases pending applications for the same, to protect our brands, in an effort to distinguish our products from the products of our competitors. Some of these mechanisms are protectable under state, federal, and foreign trademark laws and regulations. Although limited protection is available without registration, it is preferable to register trademarks in jurisdictions where we may commercialize.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have registered or applied to register several trademarks in the United States and many other jurisdictions globally. We cannot ensure that our pending trademark applications will be approved. During trademark registration proceedings, our applications may be rejected by the USPTO or foreign agencies, or may be opposed by third parties. Although we are given an opportunity to respond, we may be unable to overcome such rejections or oppositions. In addition, third parties may seek to cancel registered trademarks, and our trademarks may not survive such proceedings. In the event that our trademarks are finally rejected or successfully challenged, we could be forced to rebrand, which could result in loss of brand recognition and could require us to devote resources towards advertising and marketing with new branding.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existing trademarks, whether registered or unregistered, face additional hurdles which may have a material adverse effect on our business. For example: one or more of our current or future trademarks may become used by the public in a manner that the use of the trademark becomes generic and loses its trademark protection in one or more jurisdictions; competitors may adopt trade names or trademarks similar to ours, thereby impeding our ability to build brand identity and possibly leading to market confusion; and, if we are unable to establish name recognition based on our branding, then we may not be able to compete effectively. Any of the foregoing could have a material adverse effect on our competitiveness.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our competitors may infringe or otherwise violate our trademarks and we may not have adequate resources to enforce our trademarks.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Domain names are also important to our brand identity and commercialization efforts and we have many registered domain names. However, there are several dozens of top-level domains and more coming, and there are several trademarks or other names that we may wish to incorporate into domain names. The combination of domains and names that may be of interest to our business could number in the hundreds or the thousands. Further, many domain names of interest are already registered by a third party. Therefore, we will not be able to obtain each and every domain name that may be of interest to our business. There is a risk that a competitor or other third party could register a domain name that inhibits our ability to advertise, confuses our customers, or redirects our potential business to other companies.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Trademarks and domain names are intended, and in some cases required, to be used by their owners. In the absence of meaningful use, we may be forced to forfeit various ones of our trademarks and domain names. </w:t>
      </w:r>
    </w:p>
    <w:p>
      <w:pPr>
        <w:pStyle w:val="TextBody"/>
        <w:bidi w:val="0"/>
        <w:spacing w:before="0" w:after="240"/>
        <w:jc w:val="left"/>
        <w:rPr>
          <w:rFonts w:ascii="Times New Roman" w:hAnsi="Times New Roman"/>
          <w:sz w:val="20"/>
        </w:rPr>
      </w:pPr>
      <w:r>
        <w:rPr>
          <w:rFonts w:ascii="Times New Roman" w:hAnsi="Times New Roman"/>
          <w:b/>
          <w:i/>
          <w:color w:val="000000"/>
          <w:sz w:val="20"/>
        </w:rPr>
        <w:t>Intellectual property law and regulation could affect the value of our intellectual property portfolio.</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Interpretation of existing laws and regulations is uncertain and may depend on specific facts of a case. Therefore, we cannot be certain of the effectiveness of our intellectual property against third parties. Further, laws and regulations in general may not provide sufficient protection to prevent, or provide adequate remedy for, the infringement, use, violation or misappropriation of our patents, trademarks, data, technology and other intellectual property and services.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Moreover, changes in laws, or changes in interpretations of laws, may unpredictably weaken our ability to obtain, defend, or enforce our intellectual property rights. A weakened ability to obtain, defend, or enforce rights covering our proprietary technologies could materially and adversely affect our business prospects and financial condition. For example, the United States Supreme Court and the United States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could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cannot predict interpretations of existing laws and regulations, future changes to laws or regulations, or changes in the interpretation of laws or regulations. Such changes could increase uncertainty with respect to the value of patents and trademarks once obtained. </w:t>
      </w:r>
    </w:p>
    <w:p>
      <w:pPr>
        <w:pStyle w:val="TextBody"/>
        <w:bidi w:val="0"/>
        <w:spacing w:before="0" w:after="240"/>
        <w:jc w:val="left"/>
        <w:rPr>
          <w:rFonts w:ascii="Times New Roman" w:hAnsi="Times New Roman"/>
          <w:sz w:val="20"/>
        </w:rPr>
      </w:pPr>
      <w:r>
        <w:rPr>
          <w:rFonts w:ascii="Times New Roman" w:hAnsi="Times New Roman"/>
          <w:b/>
          <w:i/>
          <w:color w:val="000000"/>
          <w:sz w:val="20"/>
        </w:rPr>
        <w:t>Intellectual property rights do not provide complete protection for our business activities.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combination of contractual provisions, confidentiality procedures, and intellectual property rights that we rely on to protect the proprietary aspects of our products, brands, technologies and data afford limited protection. The degree of protection is uncertain, and our intellectual property rights may not adequately protect our business or permit us to maintain our competitive advantage. </w:t>
      </w:r>
    </w:p>
    <w:p>
      <w:pPr>
        <w:pStyle w:val="TextBody"/>
        <w:bidi w:val="0"/>
        <w:spacing w:before="0" w:after="240"/>
        <w:jc w:val="left"/>
        <w:rPr>
          <w:rFonts w:ascii="Times New Roman" w:hAnsi="Times New Roman"/>
          <w:sz w:val="20"/>
        </w:rPr>
      </w:pPr>
      <w:r>
        <w:rPr>
          <w:rFonts w:ascii="Times New Roman" w:hAnsi="Times New Roman"/>
          <w:b/>
          <w:i/>
          <w:color w:val="000000"/>
          <w:sz w:val="20"/>
        </w:rPr>
        <w:t>We may not be able to successfully commercialize our products prior to patent expiration.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Given the amount of time required for the development, testing and regulatory review of new product candidates, patents protecting such candidates might expire before or soon after such candidates are commercialized. The exclusivity period provided by a patent is limited; in the United States, if all maintenance fees are timely paid, the expiration of a patent is generally 20 years from its earliest claimed United States non-provisional filing date. Even if patents covering our future products are obtained, once the patent life has expired, we may be open to competition from competitive products entering the market and we may suffer a subsequent decline in market share and profits. Although there may be a possibility to extend the term of one or more of our patents through various laws and regulations, most of our patents will not be eligible for such term extension. An example of legislation providing patent term extension is the Drug Price Competition and Patent Term Restoration Act of 1984, referred to as the Hatch-Waxman Amendments, and similar legislation in some foreign jurisdictions, which provides a patent term extension of up to five years for patent term lost during product development and the FDA regulatory review process. </w:t>
      </w:r>
    </w:p>
    <w:p>
      <w:pPr>
        <w:pStyle w:val="TextBody"/>
        <w:bidi w:val="0"/>
        <w:spacing w:before="0" w:after="240"/>
        <w:jc w:val="left"/>
        <w:rPr>
          <w:rFonts w:ascii="Times New Roman" w:hAnsi="Times New Roman"/>
          <w:sz w:val="20"/>
        </w:rPr>
      </w:pPr>
      <w:r>
        <w:rPr>
          <w:rFonts w:ascii="Times New Roman" w:hAnsi="Times New Roman"/>
          <w:b/>
          <w:i/>
          <w:color w:val="000000"/>
          <w:sz w:val="20"/>
        </w:rPr>
        <w:t>Our intellectual property rights may not be effective against certain competitive products.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While we seek to protect our intellectual property rights in our expected significant markets, we cannot ensure that we will be able to initiate or maintain similar efforts in all jurisdictions in which we may wish to market our product candidates. Accordingly, our intellectual property position in various jurisdictions may be inadequate in posing an effective challenge to competitive products, and also may not be conducive to successfully commercializing our product candidates in such jurisdictions.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Further, it is quite possible that a competitor may duplicate portions of our technology, or may develop a similar or alternative technology, without infringing our intellectual property rights; or a competitor may offer similar, duplicative, or competitive products for sale in major commercial markets not covered by our intellectual property rights. Further, termination of our Exclusive License Agreement with ICL may allow a third party to develop alternative technology while exploiting or bypassing our intellectual property rights.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Some countries also have compulsory licensing laws under which a patent owner may be compelled to grant licenses to third parties. In those countries, the patent owner may have limited remedies, which could materially diminish the value of such patents. If we are forced to grant a license to third parties with respect to any patents relevant to our business, our competitive position may be impaired. In addition, some countries limit the enforceability of patents against government agencies or government contractors.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the U.S. federal government retains certain rights in inventions produced with its financial assistance under the Bayh-Dole Act which could allow the government, in specified circumstances, to require a company to grant a license to a third party. We do not currently have intellectual property falling under these provisions. We cannot be sure that if we acquire intellectual property in the future it will be free from government rights or regulations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Third parties may hold intellectual property rights that cover our product candidates.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intellectual property rights, including our patent rights, do not give us the right to practice our patented inventions. Third parties may have blocking patents that could prevent us from marketing our own products and practicing our own technology. In some cases, it may be advantageous to license or acquire such patents. However, we may be unable to do so on commercially reasonable terms, such as on terms that would allow us to make an appropriate return on our investment. In addition, companies that perceive us to be a competitor may be unwilling to transfer or license rights to us. Moreover, the licensing or acquisition of third-party intellectual property rights is a competitive area, and other companies may pursue strategies to license or acquire third-party intellectual property rights that we may consider important to our business. Some such companies may have a competitive advantage over us due to their size, capital resources, clinical development stage, or commercialization capabilities.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we are unable to successfully obtain or maintain rights to third-party intellectual property rights which we deem important to an aspect of our business, we may deem it to be in our best interests to forego further development of the relevant program or product candidate, which could have a material adverse effect on our business.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may seek to in-license certain intellectual property rights from other third parties in the future. Such license agreements may impose fee, royalty, insurance, milestone, and other obligations on us. If we fail to comply with our obligations to a licensor, that licensor may have the right to terminate our license, in which event we might not be able to develop, manufacture or market any product that is covered by the intellectual property we in-license. Such an occurrence would materially adversely affect our business prospects.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presently party to a Service Agreement with ICL effective January 1, 2021, as amended in March 2022 and March 2024 (as amended, the "Rani LLC-ICL Service Agreement"), pursuant to which Rani LLC and ICL agreed to provide personnel services to the other upon requests, and Rani LLC occupies certain facilities leased by ICL. Pursuant to the Rani LLC-ICL Service Agreement, we may engage ICL to perform development work on behalf of our company. We will wholly own intellectual property resulting from such development work only if it relates to the oral delivery of a biotherapeutic agent or sensor (the “Rani Field”), and was developed on our time and with our resources. All other resulting intellectual property will be wholly owned by ICL. ICL has agreed to exclusively license certain intellectual property to us for use solely within the Rani Field, but we may not obtain a license on favorable terms.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intellectual property rights that we in-license in the future may be sublicensed under intellectual property owned by third parties, in some cases through multiple tiers. The actions of our licensors may therefore affect our rights to use our sublicensed intellectual property, even if we are in compliance with all of the obligations under our sublicense agreements. Should our licensors or any of the upstream licensors fail to comply with their obligations under the agreements pursuant to which they obtain the rights that are sublicensed to us, or should such agreements be terminated or amended, or if we fail to comply with our development obligations under our license agreements when applicable, our ability to develop and commercialize our product candidates may be materially harmed.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we do not control the prosecution, maintenance and enforcement of our in-licensed intellectual property, we will not be certain that the prosecution, maintenance and enforcement of the licensed intellectual property rights will be in a manner consistent with the best interests of our business.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Competitors could purchase our products and attempt to replicate or reverse engineer some or all of the competitive advantages we derive from our development efforts, willfully infringe our intellectual property rights, or design around our patents, any of which could materially affect our business, and we may not be able to prevent or stop such actions from occurring. </w:t>
      </w:r>
    </w:p>
    <w:p>
      <w:pPr>
        <w:pStyle w:val="TextBody"/>
        <w:bidi w:val="0"/>
        <w:spacing w:before="0" w:after="240"/>
        <w:jc w:val="left"/>
        <w:rPr>
          <w:rFonts w:ascii="Times New Roman" w:hAnsi="Times New Roman"/>
          <w:sz w:val="20"/>
        </w:rPr>
      </w:pPr>
      <w:r>
        <w:rPr>
          <w:rFonts w:ascii="Times New Roman" w:hAnsi="Times New Roman"/>
          <w:b/>
          <w:i/>
          <w:color w:val="000000"/>
          <w:sz w:val="20"/>
        </w:rPr>
        <w:t>Others may challenge our intellectual property in administrative proceedings.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Administrative proceedings available for challenging issued patents include re-examination, post grant review, inter partes review, and similar proceedings in foreign jurisdictions as applicable. Such a proceeding could result in a patent being deemed invalid, or the scope of the patent coverage being reduced. Similarly, a registered trademark may be challenged, which could result in loss of the trademark, or reduction in the scope of the trademark. Patents and trademarks that we in-license may also be deemed invalid, or the scope reduced. Any of the foregoing outcomes could affect our ability to commercialize our products. In addition, any such proceedings may distract management from other business operations or involve expenses that reduce the resources available to spend on other aspects of our business.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Our European patents are presently being, or have been, challenged in Europe, and additional patents of ours may be challenged in the future, which could reduce the patent protection we have on our oral delivery technology or product candidates and make it easier for third parties to compete with our business or product candidates.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patent portfolio includes numerous issued European patents and pending European patent applications directed to various technical aspects of our business. The European Patent Office (“EPO”) provides for an opposition proceeding that could result in revocation of or amendment to a European patent. We are presently, or have been, involved in opposition proceedings involving four of our European patents at the EPO, all of which opposition proceedings were asserted against us by Novo Nordisk A/S. The four patents relate to the delivery of solid dosage form of drug which is associated with the RaniPill GO version of our oral delivery technology, and do not relate to liquid dosage form of drug which is utilized by the RaniPill HC (high-capacity) version of our oral delivery technology.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first opposition proceeding involved European Patent No. 2515992, which is generally directed to an ingestible device. On May 15, 2024, oral proceedings were conducted before the Appeal Board. At conclusion of oral proceedings before the EPO Appeal Board, the Board upheld the decision of the Opposition Division to maintain the patent in amended form. The amended patent has been revalidated in the previous European jurisdictions.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second opposition proceeding involved European Patent No. 2544668, which is generally directed to a therapeutic agent preparation. The third opposition proceeding involved European Patent No. 3461478, which is in the same family as European Patent No. 2515992 noted above. We made the decision to withdraw these patents. As a result, these patents at issue in the second and third oppositions are no longer in force in Europe. We have additional European patent applications in the same families that are in a condition for allowance.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fourth opposition proceeding involves European Patent No. 3653223, which is generally directed to a swallowable device. In October 2023, the EPO Opposition Division issued a decision resulting in an amendment to the claims of the patent. Both parties subsequently filed a notice of appeal with the EPO Appeal Board and we are awaiting a final decision.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Novo Nordisk A/S or other parties may seek to invalidate or reduce additional patents in Europe or other jurisdictions. If current or future opposition proceedings or similar proceedings result in the revocation or amendment of one or more of our patents that cover important aspects of our technology, it could have a material adverse impact on our ability to commercialize and/or our ability to defend against potential competitors in Europe or the applicable jurisdiction(s).</w:t>
      </w:r>
    </w:p>
    <w:p>
      <w:pPr>
        <w:pStyle w:val="TextBody"/>
        <w:bidi w:val="0"/>
        <w:spacing w:before="0" w:after="240"/>
        <w:jc w:val="left"/>
        <w:rPr>
          <w:rFonts w:ascii="Times New Roman" w:hAnsi="Times New Roman"/>
          <w:sz w:val="20"/>
        </w:rPr>
      </w:pPr>
      <w:r>
        <w:rPr>
          <w:rFonts w:ascii="Times New Roman" w:hAnsi="Times New Roman"/>
          <w:b/>
          <w:i/>
          <w:color w:val="000000"/>
          <w:sz w:val="20"/>
        </w:rPr>
        <w:t>We may assert challenges against others of infringement of our intellectual property.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may determine that our competitors are infringing our patents or trademarks. In such case we could initiate infringement proceedings against them. Such proceedings are generally quite expensive in terms of money and employee time, and may be prohibitively expensive so that we may decide it not to be cost effective. Indeed, there can be no assurance that we will have sufficient financial or other resources to file and pursue all such proceedings. The monetary costs of such proceedings, the fact that they could last for years before they are concluded, and the diversion of the attention of our management and scientific personnel could outweigh any benefit we receive as a result of the proceedings. We may also be hindered or prevented from enforcing our rights with respect to a government entity or instrumentality because of the doctrine of sovereign immunity.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Additionally, a legal proceeding might harm our business relationships, and thus we may determine that it is in our best interests not to pursue such course. Moreover, any claims we assert against perceived infringers or other third parties could provoke those parties to assert counterclaims against us alleging, for example, that we infringe their patents or other proprietary rights, that our patents or other proprietary rights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any patent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or selling similar or competitive products. Similarly, if we assert trademark infringement claims, a court may determine that the marks we have asserted are unenforceable, that the alleged infringing mark does not infringe our trademark rights or that the party against whom we have asserted trademark infringement has superior rights to the marks in question. In this last instance, we could ultimately be forced to cease use of such trademarks. Any of these outcomes could adversely affect our competitive business position, financial condition and results of operations.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Even if our patents or other intellectual property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thus, may not be commercially meaningful. However, we may not prevail in any legal challenge that we do initiate. Additionally, if a defendant were to prevail on invalidity of our asserted patents, we may lose some, and perhaps all, of the intellectual property protection on our product candidates, which could have a material adverse impact on our business.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that may be required in connection with intellectual property litigation, there is a risk that some of our proprietary information could be compromised by disclosure during litigation.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There could also be public announcements of the results of hearings, motions, or other interim proceedings or developments; if securities analysts or investors perceive these results to be negative, it could have a material adverse effect on the price of our stock. </w:t>
      </w:r>
    </w:p>
    <w:p>
      <w:pPr>
        <w:pStyle w:val="TextBody"/>
        <w:bidi w:val="0"/>
        <w:spacing w:before="0" w:after="240"/>
        <w:jc w:val="left"/>
        <w:rPr>
          <w:rFonts w:ascii="Times New Roman" w:hAnsi="Times New Roman"/>
          <w:sz w:val="20"/>
        </w:rPr>
      </w:pPr>
      <w:r>
        <w:rPr>
          <w:rFonts w:ascii="Times New Roman" w:hAnsi="Times New Roman"/>
          <w:b/>
          <w:i/>
          <w:color w:val="000000"/>
          <w:sz w:val="20"/>
        </w:rPr>
        <w:t>We may be subject to challenges asserting infringement of intellectual property of a third party.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commercial success depends, in part, upon our ability to develop, manufacture, market and sell our products and use our proprietary technologies without infringing the intellectual property rights of third parties.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However, despite our efforts to avoid infringement, we may face infringement challenges by competitors, or from non-practicing entities which purchase intellectual property assets for the purpose of making assertions of infringement to extract settlements. Third parties may assert infringement claims against us based on existing patents or patents that may be granted in the future, regardless of merit. Even if we believe an infringement challenge to be without merit, a court could find infringement, which could have a negative impact on the commercial success of our current and future products. We do not know the nature of claims contained in unpublished patent applications around the world and it is not possible to know which countries patent applicants may choose for the extension of their filings under the Patent Cooperation Treaty. Accordingly, third parties may seek or may have already obtained patents that will limit, interfere with or eliminate our ability to make, use and sell our product candidates. Additionally, our products include components that we purchase from vendors, and may include components that are outside of our direct control. Vendors from whom we purchase components may not indemnify us if our products incorporating their components are accused of infringing a third party’s patent or trademark or of misappropriating a third party’s trade secret.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we are found to infringe a third party’s intellectual property rights, we could be found liable for monetary damages, including treble damages and attorneys’ fees if we are found to have willfully infringed. In addition, we could be forced, including by court order, to cease developing, manufacturing and commercializing the infringing technology or product. In some cases, we could pursue a license to continue developing, manufacturing and commercializing our products and technology. However, we may not be able to obtain a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Further, we generally indemnify our customers with respect to infringement by our products of the proprietary rights of third parties. If third parties assert infringement challenges against our customers, these challenges may require us to initiate or defend litigation on behalf of our customers. If any of these challenges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cost to us of any infringement challenge, even if resolved in our favor, could be substantial. Some of our competitors may be able to sustain the costs of an infringement challenge more effectively because of their greater financial resources. In addition to absorbing significant financial resources, an infringement challenge may also consume management’s time. Consequently, there is no assurance that we will be able to develop or commercialize a product candidate in line with our business objectives in the event of an infringement challenge.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Further, the outcome of any infringement challenge is subject to uncertainties that cannot be adequately quantified in advance, including the demeanor and credibility of witnesses and the identity of any adverse party. This is especially true in patent infringement cases that may turn on the testimony of experts as to technical facts upon which the experts may reasonably disagree.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We may be subject to challenges asserting misappropriation of intellectual property of a third party.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employ or contract with individuals who were previously employed elsewhere, including at other biopharmaceutical companies such as our competitors or potential competitors. Some of these employees, consultants or contractors may have executed proprietary rights, non-disclosure, or non-competition agreements in connection with such previous employment or contracting. In addition, we use proprietary information and materials from third parties which may be subject to agreements that include restrictions on use or disclosure. Although we strive to ensure proper safeguards, we cannot guarantee strict compliance with such agreements, nor can we be sure that our employees, consultants and advisors do not use proprietary information, materials, or know-how of others in their work for us.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may be subject to challenges that we or our employees, consultants, or contractors have inadvertently or otherwise used or disclosed proprietary information of our employees’ former employers or other third parties. There is no guarantee of success in defending such challenges, and if we are not successful, we may be blocked from using the technology that is the subject of the misappropriation challenge. </w:t>
      </w:r>
    </w:p>
    <w:p>
      <w:pPr>
        <w:pStyle w:val="TextBody"/>
        <w:bidi w:val="0"/>
        <w:spacing w:before="0" w:after="240"/>
        <w:jc w:val="left"/>
        <w:rPr>
          <w:rFonts w:ascii="Times New Roman" w:hAnsi="Times New Roman"/>
          <w:sz w:val="20"/>
        </w:rPr>
      </w:pPr>
      <w:r>
        <w:rPr>
          <w:rFonts w:ascii="Times New Roman" w:hAnsi="Times New Roman"/>
          <w:b/>
          <w:i/>
          <w:color w:val="000000"/>
          <w:sz w:val="20"/>
        </w:rPr>
        <w:t>We may be subject to challenges to the inventorship or ownership of our intellectual property.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may in the future be subject to challenges by our former employees or consultants asserting an ownership right in our intellectual property, as a result of the work they performed on our behalf. Although we generally require all of our employees and consultants and any other partners or collaborators who have access to our proprietary know-how, information or technology to assign or grant rights to us regarding inventions related to our business,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If we fail in defending any such challenges, we may lose valuable intellectual property rights, including the loss of exclusive ownership of, or right to use, such intellectual property.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Additionally, we may be subject to a challenge from a third party challenging our ownership interest in intellectual property we regard as our own, based on assertions that our employees or consultants have breached an obligation to assign inventions to another employer, to a former employer, or to another person or entity. Litigation may be necessary to defend against any such a challenge. It may be necessary or we may desire to enter into a license to settle any such challenge; however, there can be no assurance that we would be able to obtain a license on commercially reasonable terms, if at all. If our defense to a challenge fails, in addition to paying monetary damages, a court could prohibit us from using technologies or features that are essential to our products, if such technologies or features are found to incorporate or be derived from the proprietary information of the former employer. An inability to incorporate technologies or features that are important or essential to our products may prevent us from selling our products. </w:t>
      </w:r>
    </w:p>
    <w:p>
      <w:pPr>
        <w:pStyle w:val="TextBody"/>
        <w:bidi w:val="0"/>
        <w:spacing w:before="0" w:after="240"/>
        <w:jc w:val="left"/>
        <w:rPr>
          <w:rFonts w:ascii="Times New Roman" w:hAnsi="Times New Roman"/>
          <w:sz w:val="20"/>
        </w:rPr>
      </w:pPr>
      <w:r>
        <w:rPr>
          <w:rFonts w:ascii="Times New Roman" w:hAnsi="Times New Roman"/>
          <w:b/>
          <w:i/>
          <w:color w:val="000000"/>
          <w:sz w:val="20"/>
        </w:rPr>
        <w:t>Third parties may obtain our proprietary information, which could harm our business and competitive position.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any of our proprietary information, including trade secrets and know-how, were to be lawfully obtained or independently developed by a competitor, we would have no right to prevent them, or those to whom they communicate it, from using that technology or information to compete with us and our competitive position would be harmed.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seek to maintain the confidentiality of our proprietary information, relying heavily on confidentiality provisions that we have in agreements with our employees, consultants, collaborators and others upon the commencement of their relationship with us. However, we cannot guarantee that we have entered into such agreements with each party that may have or have had access to our proprietary technology and processes and cannot guarantee that such agreements will not be breached. Moreover, these agreements can be difficult and costly to enforce or may not provide adequate remedies. We also seek to preserve the integrity and confidentiality of our data and other proprietary information by maintaining physical security of our premises and physical and electronic security of our information technology systems. While we have confidence in these security measures and systems, agreements or security measures may be breached.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Detecting the disclosure or misappropriation of proprietary information and enforcing an assertion that a party illegally disclosed or misappropriated proprietary information is difficult, expensive and time-consuming, the outcome is unpredictable, there may not be an adequate remedy for breach, and many foreign countries do not have laws adequate to protect proprietary rights.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theft or unauthorized use or publication of our proprietary information could reduce the differentiation of our products and harm our business, the value of our investment in development or business acquisitions could be reduced, and if a third party’s proprietary information is disclosed we may face litigation by such third party. Any of the foregoing could materially and adversely affect our business and financial condition.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Risks Related to Our Organizational Structure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0"/>
        </w:rPr>
        <w:t>We are a holding company and our principal asset is our interest in Rani LLC. Accordingly, we will depend on distributions from Rani LLC to pay our taxes, expenses and dividends. Rani’s ability to make such distributions may be subject to various limitations and restrictions.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a holding company and have no material assets other than our ownership of LLC Interests of Rani LLC. As such, we have no independent means of generating net sales or cash flow, and our ability to pay our taxes and operating expenses or declare and pay dividends in the future, if any, is dependent upon the financial results and cash flows of Rani LLC and distributions we receive from Rani LLC. Rani LLC may not generate sufficient cash flow to distribute funds to us and applicable state law and contractual restrictions, including negative covenants in our debt instruments, may not permit such distributions.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anticipate that Rani LLC will continue to be treated as a partnership for U.S. federal income tax purposes and, as such, generally will not be subject to any entity-level U.S. federal income tax. Instead, taxable income will be allocated to holders of LLC Interests. Accordingly, we will incur income taxes on our allocable share of any net taxable income of Rani LLC and will also incur expenses related to our operations, which we expect could be significant. Furthermore, our allocable share of Rani LLC’s net taxable income will increase over time as the Continuing LLC Owners redeem or exchange their LLC Interests for shares of our Class A common stock.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intend, as its managing member, to cause Rani LLC to make cash distributions to the owners of LLC Interests, including us, in an amount sufficient to (i) fund their or our tax obligations in respect of allocations of taxable income from Rani LLC and (ii) cover our operating expenses. However, Rani LLC’s ability to make such distributions may be subject to various limitations and restrictions, such as restrictions on distributions that would either violate any contract or agreement to which Rani LLC is then a party, including debt agreements, or any applicable law, or that would have the effect of rendering Rani LLC insolvent. In addition, for taxable years beginning after December 31, 2017, liability for adjustments to a partnership’s tax return can be imposed on the partnership itself in certain circumstances, absent an election to the contrary. Rani LLC could be subject to material liabilities pursuant to adjustments to its partnership tax returns if, for example, its calculations or allocations of taxable income or loss are incorrect, which also could limit its ability to make distributions to us.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we do not have sufficient funds to pay taxes or other liabilities or to fund our operations, we may have to borrow funds, which could adversely affect our liquidity and financial condition and subject us to various restrictions imposed by any such lenders. In addition, if Rani LLC does not have sufficient funds to make distributions, our ability to declare and pay cash dividends will also be restricted or impaired. </w:t>
      </w:r>
    </w:p>
    <w:p>
      <w:pPr>
        <w:pStyle w:val="TextBody"/>
        <w:bidi w:val="0"/>
        <w:spacing w:before="0" w:after="240"/>
        <w:jc w:val="left"/>
        <w:rPr>
          <w:rFonts w:ascii="Times New Roman" w:hAnsi="Times New Roman"/>
          <w:sz w:val="20"/>
        </w:rPr>
      </w:pPr>
      <w:r>
        <w:rPr>
          <w:rFonts w:ascii="Times New Roman" w:hAnsi="Times New Roman"/>
          <w:b/>
          <w:i/>
          <w:color w:val="000000"/>
          <w:sz w:val="20"/>
        </w:rPr>
        <w:t>Rani LLC may make distributions of cash to us substantially in excess of the amounts we use to make distributions to our stockholders and pay our expenses. To the extent we do not distribute such excess cash as dividends on our Class A common stock, the holders of units of Rani LLC would benefit from any value attributable to such cash as a result of their ownership of Class A common stock upon an exchange or redemption of their units of Rani LLC.</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will receive a portion of any distributions made by Rani LLC. Subject to having available cash and subject to limitations imposed by applicable law and contractual restrictions (including pursuant to our debt instruments), the Rani LLC operating agreement requires Rani LLC to make certain distributions to us and the Continuing LLC Owners, pro rata, to facilitate the payment of taxes with respect to the income of Rani LLC that is allocated to us and them. These distributions are based on an assumed tax rate, and to the extent the distributions we receive exceed the amounts we actually require to pay taxes, and other expenses, we will not be required to distribute such excess cash. Our board of directors may, in its sole discretion, choose to use such excess cash for any purpose, including (i) to make distributions to the holders of our Class A common stock, (ii) to acquire additional newly issued LLC Interests, and/or (iii) to repurchase outstanding shares of our Class A common stock. Unless and until our board of directors chooses, in its sole discretion, to declare a distribution, we will have no obligation to distribute such cash (or other available cash other than any declared dividend) to our stockholders.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No adjustments to the redemption or exchange ratio of LLC Interests for shares of our Class A common stock will be made as a result of either (i) any cash distribution by us or (ii) any cash that we retain and do not distribute to our stockholders. To the extent we do not distribute such cash as dividends on our Class A common stock and instead, for example, hold such cash balances, buy additional LLC Interests or lend them to Rani LLC, this may result in shares of our Class A common stock increasing in value relative to the LLC Interests. The holders of LLC Interests may benefit from any value attributable to such cash balances if they acquire shares of Class A common stock in redemption of or exchange for their LLC Interests or if we acquire additional LLC Interests (whether from Rani LLC or from holders of LLC Interests) at a price based on the market price of our Class A common stock at the time.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i/>
          <w:color w:val="000000"/>
          <w:sz w:val="20"/>
        </w:rPr>
        <w:t>If we were deemed to be an investment company under the 1940 Act as a result of our ownership of Rani LLC, applicable restrictions could make it impractical for us to continue our business as contemplated and could adversely affect our business, results of operations and financial condition.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United States government securities and cash items) on an unconsolidated basis. We do not believe that we are an “investment company,” as such term is defined in either of those sections of the 1940 Act.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the sole managing member of Rani LLC, we will control and operate Rani LLC. On that basis, we believe that our interest in Rani LLC is not an “investment security” as that term is used in the 1940 Act. However, if we were to cease participation in the management of Rani LLC, our interest in Rani LLC could be deemed an “investment security” for purposes of the 1940 Act.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and Rani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adversely affect our business, results of operations and financial condition. </w:t>
      </w:r>
    </w:p>
    <w:p>
      <w:pPr>
        <w:pStyle w:val="TextBody"/>
        <w:bidi w:val="0"/>
        <w:jc w:val="left"/>
        <w:rPr>
          <w:rFonts w:ascii="Times New Roman" w:hAnsi="Times New Roman"/>
          <w:b/>
          <w:i/>
          <w:color w:val="000000"/>
          <w:sz w:val="20"/>
        </w:rPr>
      </w:pPr>
      <w:r>
        <w:rPr>
          <w:rFonts w:ascii="Times New Roman" w:hAnsi="Times New Roman"/>
          <w:b/>
          <w:i/>
          <w:color w:val="000000"/>
          <w:sz w:val="20"/>
        </w:rPr>
        <w:t>We occupy space within a facility owned by ICL pursuant to a service agreement. If we were required to replicate or replace this space sooner than planned or if the service agreement is terminated, our operations could be adversely affected.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Pursuant to a service agreement dated January 1, 2021 originally between RMS and ICL but which was assigned by RMS to Rani LLC in April 2022 and amended in March 2024 (the “RMS-ICL Service Agreement”), we sublease from ICL certain office, laboratory and manufacturing space used for our operations (“Occupancy Services”). In March 2024, we entered into an amendment to the RMS-ICL Service Agreement to increase the Occupancy Services from 23,000 square feet to 24,000 square feet.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Termination of Occupancy Services under the RMS-ICL Service Agreement requires six months’ notice. In the event the RMS-ICL Service Agreement is terminated by us or ICL, we will need to replicate or replace the occupied space to which we will no longer have the same access. Such changes may be costly to implement and disruptive to our business. Transfer of our operations from the current facility in San Jose, California to that facility would require us to identify and negotiate terms for suitable alternative space, personnel would need to commute to a new location, and we would need to move equipment to and re-calibrate and re-qualify certain equipment in the new space. All of these activities would take time, may delay our ability to operate certain aspects of our business, and may result in significant additional costs.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our ability to attract or retain personnel may be negatively impacted by a change in location. Also, we may not be able to move, re-calibrate or re-qualify equipment in a timely manner, or at all, which could result in needing to repair or replace equipment, which may require significant lead time and could delay our ongoing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may not be able to replace this occupied space or enter into appropriate third-party agreements therefor on terms and conditions, including cost, comparable to those that we receive from ICL under the RMS-ICL Service Agreement, or in a time period that minimizes disruption to our operations. The loss of services or the use of the occupied space under the RMS-ICL Service Agreement or our inability to replace such occupied space in a timely or cost-effective manner could have an adverse effect on our operations and financial results.</w:t>
      </w:r>
    </w:p>
    <w:p>
      <w:pPr>
        <w:pStyle w:val="TextBody"/>
        <w:bidi w:val="0"/>
        <w:spacing w:before="0" w:after="240"/>
        <w:jc w:val="left"/>
        <w:rPr>
          <w:rFonts w:ascii="Times New Roman" w:hAnsi="Times New Roman"/>
          <w:sz w:val="20"/>
        </w:rPr>
      </w:pPr>
      <w:r>
        <w:rPr>
          <w:rFonts w:ascii="Times New Roman" w:hAnsi="Times New Roman"/>
          <w:b/>
          <w:i/>
          <w:color w:val="000000"/>
          <w:sz w:val="20"/>
        </w:rPr>
        <w:t>The multi-class structure of our common stock may adversely affect the trading price or liquidity of our Class A common stock.</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existence of three classes of our common stock could result in less liquidity for any such class than if there were only one class of our capital stock. In addition, S&amp;P Dow Jones and FTSE Russell have announced changes to their eligibility criteria for inclusion of shares of public companies on certain indices that will exclude companies with multiple classes of shares of common stock from being added to such indices. Several stockholder advisory firms also have announced their opposition to the use of multiple class structures. As a result, the multi-class structure of our common stock may prevent the inclusion of our Class A common stock in such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Risks Related to Our Class A Common Stock</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0"/>
        </w:rPr>
        <w:t>Our stock price may be volatile and the value of our Class A common stock may decline.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market price of our Class A common stock may be highly volatile and may fluctuate or decline substantially as a result of a variety of factors, some of which are beyond our control, including limited trading volume. In addition to the factors discussed in this “Risk Factors” section and elsewhere in this Annual Report on Form 10-K, these factors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ability to obtain and maintain regulatory approvals for our current or any of our future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laws or regulations applicable to our current or any of our future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adverse developments concerning any of our third-party collaborators and suppliers;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obtain adequate product supply for our current or any of our future product candidates or our inability to do so at acceptable prices;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scale, optimize and expand automation of our manufacturing processes for our product candidates for the conduct of preclinical studies and clinical trials and, if approved, for successful commercialization;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degree and rate of physician and market adoption of our current or any of our future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by us or our competitors of significant business developments, new technologies, acquisitions, or new offerings;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negative publicity associated with issues related to our technology 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inability to establish collaborations, if needed;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sales of our Class A common stock or other securities, by us or our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senior management or key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volume of our Class A common stock;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performance or news releases by other companies in our industry including about adverse developments related to safety, effectiveness, accuracy and usability of their products, reputational concerns, reimbursement coverage, regulatory compliance, and product recalls;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economic, regulatory and market conditions, including economic recessions or slowdowns;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actual or anticipated fluctuations in our financial condition and results of operations;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variance in our financial performance from expectations of securities analysts or investors;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our projected operating and financial results;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developments or disputes concerning our intellectual property or other proprietary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lawsuits, including patent or stockholder litigation;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political and economic conditions, including war, terrorism and other international conflicts, such as the conflict between Ukraine and Russia, and public health issues including health epidemics or pandemics;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events or factors, many of which are beyond our control.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Broad market and industry fluctuations, as well as general economic, pandemic, political, regulatory, and market conditions, may negatively impact the market price of our Class A common stock. In addition, given the relatively small public float of shares of our Class A common stock on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 </w:t>
      </w:r>
    </w:p>
    <w:p>
      <w:pPr>
        <w:pStyle w:val="TextBody"/>
        <w:bidi w:val="0"/>
        <w:spacing w:before="0" w:after="240"/>
        <w:jc w:val="left"/>
        <w:rPr>
          <w:rFonts w:ascii="Times New Roman" w:hAnsi="Times New Roman"/>
          <w:sz w:val="20"/>
        </w:rPr>
      </w:pPr>
      <w:r>
        <w:rPr>
          <w:rFonts w:ascii="Times New Roman" w:hAnsi="Times New Roman"/>
          <w:b/>
          <w:i/>
          <w:color w:val="000000"/>
          <w:sz w:val="20"/>
        </w:rPr>
        <w:t>We have in the past and may in the future fail to continue to meet the listing standards of Nasdaq, and as a result our common stock may be delisted, which could have a material adverse effect on the liquidity of our common stock.</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Class A common stock is currently listed on The Nasdaq Global Market. We are required to meet specified requirements to maintain our listing on The Nasdaq Global Market, including, among others, a minimum bid price of $1.00 per share of our class A common stock under Nasdaq Listing Rule 5450(a)(1) (“Minimum Bid Price Requirement”) and a minimum market value of listed securities (“MVLS”), of $50,000,000 under Nasdaq Listing Rule 5450(b)(2)(A) (the “MVLS Requirement”).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June 20, 2025, we received a letter from the Listing Qualifications Staff of Nasdaq (“Nasdaq Staff”) notifying us that for the last 30 consecutive business days, the bid price of our common stock had closed below $1.00 per share, and was not in compliance with the Minimum Bid Price Requirement. The notification received had no immediate effect on the listing of our 36common stock on the Nasdaq. In accordance with Nasdaq Listing Rules, we had 180 calendar days to regain compliance with the minimum bid price requirement by having shares of our common stock maintain a minimum closing bid price of at least $1.00 per share for a minimum of 10 consecutive business days.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May 1, 2025, we received a letter from the Nasdaq Staff notifying us that we were not in compliance with the MVLS Requirement (the “MVLS Notice”). The notification received had no immediate effect on the listing of our common stock on the Nasdaq. In accordance with the Nasdaq Listing Rules, we were granted 180 calendar days to regain compliance with the MVLS Requirement. In order to do so, we must achieve and maintain an MVLS of at least $50,000,000 or more for a minimum of 10 consecutive business days.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November 4, 2025, we received two letters from the Nasdaq Staff. The first letter from the Nasdaq Staff indicated that the closing bid price of our Class A common stock had been at $1.00 per share or greater for the last 10 consecutive business days, from October 21, 2025, to November 3, 2025, and accordingly, we have regained compliance with Nasdaq Listing Rules 5450(a)(1). The second letter from the Nasdaq Staff indicated that the MVLS of our Class A common stock had been at a value of at least $50,000,000 for the last 10 consecutive business days, from October 17, 2025, to October 30, 2025, and accordingly, we had regained compliance with Nasdaq Listing Rules 5450(b)(2)(A). There can be no assurance that we will continue to meet the Minimum Bid Price Requirement, MVLS requirement, or any other Nasdaq requirements in the future.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we may be unable to meet other applicable Nasdaq listing requirements, including maintaining minimum levels of stockholders’ equity or market values of our common stock, in which case our common stock could be delisted. If our common stock were to be delisted, the liquidity of our common stock would be adversely affected, and the market price of our common stock could decrease.</w:t>
      </w:r>
    </w:p>
    <w:p>
      <w:pPr>
        <w:pStyle w:val="TextBody"/>
        <w:bidi w:val="0"/>
        <w:spacing w:before="0" w:after="240"/>
        <w:jc w:val="left"/>
        <w:rPr>
          <w:rFonts w:ascii="Times New Roman" w:hAnsi="Times New Roman"/>
          <w:sz w:val="20"/>
        </w:rPr>
      </w:pPr>
      <w:r>
        <w:rPr>
          <w:rFonts w:ascii="Times New Roman" w:hAnsi="Times New Roman"/>
          <w:b/>
          <w:i/>
          <w:color w:val="000000"/>
          <w:sz w:val="20"/>
        </w:rPr>
        <w:t>We may in the future engage in acquisitions, collaborations, or strategic partnerships, which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volatility with respect to the financial reporting related to such arrangements;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assumption of indebtedness or contingent liabilities;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issuance of our equity securities which would result in dilution to our stockholders;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products, and product candidates of an acquired company, including difficulties associated with integrating new personnel;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diversion of our management’s attention from our existing product programs and initiatives in pursuing such an acquisition or strategic partnership;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in our ability to maintain key business relationships;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addition, if we undertake such a transaction, we may issue dilutive securities, assume or incur debt obligations, incur large one-time expenses, and acquire intangible assets that could result in significant future amortization expense. </w:t>
      </w:r>
    </w:p>
    <w:p>
      <w:pPr>
        <w:pStyle w:val="TextBody"/>
        <w:bidi w:val="0"/>
        <w:spacing w:before="0" w:after="240"/>
        <w:jc w:val="left"/>
        <w:rPr>
          <w:rFonts w:ascii="Times New Roman" w:hAnsi="Times New Roman"/>
          <w:sz w:val="20"/>
        </w:rPr>
      </w:pPr>
      <w:r>
        <w:rPr>
          <w:rFonts w:ascii="Times New Roman" w:hAnsi="Times New Roman"/>
          <w:b/>
          <w:i/>
          <w:color w:val="000000"/>
          <w:sz w:val="20"/>
        </w:rPr>
        <w:t>Future sales and issuances of our Class A common stock in the public market could cause the market price of our Class A common stock to decline.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Sales and issuances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effect that such sales and issuances may have on the prevailing market price of our Class A common stock.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have registered all of the shares of Class A common stock currently issuable upon exercise of outstanding stock options, and upon exercise or settlement of any options or other equity incentives and we intend to register all shares or such Class A common stock that we may grant in the future, for public resale under the Securities Act. Accordingly, these shares will be able to be freely sold in the public market upon issuance as permitted by any applicable vesting requirements.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Continuing LLC Owners are entitled to rights with respect to the registration of their shares under the Securities Act. Registration of these shares under the Securities Act would result in the shares becoming freely tradable without restriction under the Securities Act. As a result of certain stockholders requesting such registration, in December 2022, we filed a registration statement on Form S-3 to register 6,009,542 shares of our Class A common stock held by certain of our stockholders. Accordingly, these shares are freely tradable without restriction under the Securities Act.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sales of securities by the foregoing or other stockholders could have a material adverse effect on the trading price of our Class A common stock.</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of February 28, 2026, our named executive officers, directors, holders of 5% or more of our capital stock and their respective affiliates beneficially held outstanding stock representing approximately 59% of our voting power. Therefore, these stockholders have substantial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voting power could, among other things, delay or prevent an acquisition of our company on terms that other stockholders may desire, which in turn could depress our stock price and may prevent attempts by our stockholders to replace or remove the board of directors or management.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w:t>
      </w:r>
    </w:p>
    <w:p>
      <w:pPr>
        <w:pStyle w:val="TextBody"/>
        <w:bidi w:val="0"/>
        <w:spacing w:before="0" w:after="240"/>
        <w:jc w:val="left"/>
        <w:rPr>
          <w:rFonts w:ascii="Times New Roman" w:hAnsi="Times New Roman"/>
          <w:sz w:val="20"/>
        </w:rPr>
      </w:pPr>
      <w:r>
        <w:rPr>
          <w:rFonts w:ascii="Times New Roman" w:hAnsi="Times New Roman"/>
          <w:b/>
          <w:i/>
          <w:color w:val="000000"/>
          <w:sz w:val="20"/>
        </w:rPr>
        <w:t>We do not intend to pay dividends for the foreseeable future and, as a result, your ability to achieve a return on your investment will depend on appreciation in the price of our Class A common stock.</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capital stock, and we do not intend to pay any cash dividends in the foreseeable future. Any determination to pay dividends in the future will be at the discretion of our board of directors and may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be restricted by the terms of any then-current debt instruments. Accordingly, stockholders must rely on sales of their Class A common stock after price appreciation, which may never occur, as the only way to realize any future gains on their investments. </w:t>
      </w:r>
    </w:p>
    <w:p>
      <w:pPr>
        <w:pStyle w:val="TextBody"/>
        <w:bidi w:val="0"/>
        <w:spacing w:before="0" w:after="240"/>
        <w:jc w:val="left"/>
        <w:rPr>
          <w:rFonts w:ascii="Times New Roman" w:hAnsi="Times New Roman"/>
          <w:sz w:val="20"/>
        </w:rPr>
      </w:pPr>
      <w:r>
        <w:rPr>
          <w:rFonts w:ascii="Times New Roman" w:hAnsi="Times New Roman"/>
          <w:b/>
          <w:i/>
          <w:color w:val="000000"/>
          <w:sz w:val="20"/>
        </w:rPr>
        <w:t>We incur increased costs as a result of operating as a public company, and our management is required to devote substantial time to compliance with our public company responsibilities and corporate governance practices.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incur significant legal, accounting and other expenses as a public company, including costs resulting from public company reporting obligations under the Exchange Act and regulations regarding corporate governance practices. The listing requirements of the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devote a substantial amount of time to ensure that we comply with all of these requirements, and we may need to hire additional accounting and financial staff with appropriate public company reporting experience and technical accounting knowledge. Moreover, the reporting requirements, rules and regulations increase our legal and financial compliance costs and make some activities more time consuming and costly. Any changes we make to comply with these obligations may not be sufficient to allow us to continue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and other applicable securities rules and regulations impose various requirements on public companies. Furthermore, the senior members of our management team do not have significant experience with operating a public company. As a result,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incur as a public company or the timing of such costs. Accordingly, we expect to continue to incur operating losses for the foreseeable future and we may not achieve profitability in the future and that, if we do become profitable, we may not sustain profitability. Our failure to achieve and sustain profitability in the future will make it more difficult to finance our business and accomplish our strategic objectives, which would have a material adverse effect on our business, financial condition and results of operations and cause the market price of our Class A common stock to decline. </w:t>
      </w:r>
    </w:p>
    <w:p>
      <w:pPr>
        <w:pStyle w:val="TextBody"/>
        <w:bidi w:val="0"/>
        <w:spacing w:before="0" w:after="240"/>
        <w:jc w:val="left"/>
        <w:rPr>
          <w:rFonts w:ascii="Times New Roman" w:hAnsi="Times New Roman"/>
          <w:sz w:val="20"/>
        </w:rPr>
      </w:pPr>
      <w:r>
        <w:rPr>
          <w:rFonts w:ascii="Times New Roman" w:hAnsi="Times New Roman"/>
          <w:b/>
          <w:i/>
          <w:color w:val="000000"/>
          <w:sz w:val="20"/>
        </w:rPr>
        <w:t>Provisions under California law could make an acquisition of our company more difficult, limit attempts by our stockholders to replace or remove our current management and limit the market price of our common stock.</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Because our principal executive offices are located in California, the anti-takeover provisions of the California Corporations Code may apply to us under certain circumstances now or in the future. </w:t>
      </w:r>
    </w:p>
    <w:p>
      <w:pPr>
        <w:pStyle w:val="TextBody"/>
        <w:bidi w:val="0"/>
        <w:spacing w:before="0" w:after="240"/>
        <w:jc w:val="left"/>
        <w:rPr>
          <w:rFonts w:ascii="Times New Roman" w:hAnsi="Times New Roman"/>
          <w:sz w:val="20"/>
        </w:rPr>
      </w:pPr>
      <w:r>
        <w:rPr>
          <w:rFonts w:ascii="Times New Roman" w:hAnsi="Times New Roman"/>
          <w:b/>
          <w:i/>
          <w:color w:val="000000"/>
          <w:sz w:val="20"/>
        </w:rPr>
        <w:t>We are an emerging growth company and a smaller reporting company and our compliance with the reduced reporting and disclosure requirements applicable to emerging growth companies and smaller reporting companies could make our Class A common stock less attractive to investors.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adoption period for accounting pronouncements.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Investors may find our Class A common stock less attractive and as a result of our reliance on these exemptions. If some investors find our Class A common stock less attractive as a result, there may be a less active trading market for our Class A common stock and our stock price may be more volatile. </w:t>
      </w:r>
    </w:p>
    <w:p>
      <w:pPr>
        <w:pStyle w:val="TextBody"/>
        <w:bidi w:val="0"/>
        <w:spacing w:before="0" w:after="240"/>
        <w:jc w:val="left"/>
        <w:rPr>
          <w:rFonts w:ascii="Times New Roman" w:hAnsi="Times New Roman"/>
          <w:sz w:val="20"/>
        </w:rPr>
      </w:pPr>
      <w:r>
        <w:rPr>
          <w:rFonts w:ascii="Times New Roman" w:hAnsi="Times New Roman"/>
          <w:b/>
          <w:i/>
          <w:color w:val="000000"/>
          <w:sz w:val="20"/>
        </w:rPr>
        <w:t>Anti-takeover provisions under our charter documents and Delaware law could delay or prevent a change of control which could limit the market price of our Class A common stock and may prevent or frustrate attempts by our stockholders to replace or remove our current management.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 requirement that special meetings of stockholders be called only by the chairperson of the board of directors, the chief executive officer, or by a majority of the board of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advance notice requirements for stockholder proposals and nominations for election to our board of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requirement of approval of at least two-thirds (2/3) of all outstanding shares of our voting stock to amend any bylaws by stockholder action or to amend specific provisions of our certificate of incorporation, with protective provisions in our certificate of incorporation requiring approval of a majority of the voting power of the Class B common stock then outstanding;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authority of the board of directors to issue preferred stock on terms determined by the board of directors without stockholder approval and which preferred stock may include rights superior to the rights of the holders of Class A common stock;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authorization of three classes of common stock as described above.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Under our amended and restated certificate of incorporation, we have elected to be governed by the provisions of Section 203 of the Delaware General Corporate Law, which may prohibit certain business antitakeover provisions. Section 203 generally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Class A common stock to decline. </w:t>
      </w:r>
    </w:p>
    <w:p>
      <w:pPr>
        <w:pStyle w:val="TextBody"/>
        <w:bidi w:val="0"/>
        <w:spacing w:before="0" w:after="240"/>
        <w:jc w:val="left"/>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us or any of our directors, officers, or other employees governed by the internal affairs doctrine, in all cases to the fullest extent permitted by law and subject to the court’s having personal jurisdiction over the indispensable parties named as defendants.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the federal district courts of the United States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 provisions may not be enforced by a court in those other jurisdictions.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 </w:t>
      </w:r>
    </w:p>
    <w:p>
      <w:pPr>
        <w:pStyle w:val="TextBody"/>
        <w:bidi w:val="0"/>
        <w:spacing w:before="0" w:after="240"/>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0"/>
        </w:rPr>
        <w:t>As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required, pursuant to Section 404 of the Sarbanes-Oxley Act of 2002, to furnish a report by management on, among other things, the effectiveness of our internal control over financial reporting on an annual basis. This assessment needs to include disclosure of any material weaknesses identified by our management in our internal control over financial reporting. In addition, we will be required to obtain attestation as to the effectiveness of our internal control over financial reporting by an independent registered public accounting firm in our first annual report required to be filed with the SEC following the date we become an accelerated filer. As described further below, we identified a material weakness in our internal control over financial reporting that existed as of December 31, 2025.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we are unable to remediate this material weakness and conclude that our internal control over financial reporting is effective, or if we or our independent registered public accounting firm determines we have additional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comparable foreign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identified a material weakness in our internal control related to a deficiency in the design and implementation effectiveness of the control related to accounting for certain significant and complex or unusual transactions. See “Item 9.A–Controls and Procedures in this Annual Report on Form 10-K.”</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Although the material weakness identified did not result in any material misstatements in our consolidated financial statements for the periods presented in this Annual Report and there were otherwise no changes to our previously issued financial statements, our management concluded that this control deficiency existed as of December 31, 2025 and constitute a material weakness. Accordingly, our internal control over financial reporting and our disclosure controls and procedures were not effective as of December 31,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intend to implement measures designed to strengthen our internal control over financial reporting, including revising policies and procedures and implementing additional training to support an effective risk assessment process over evolving and growing areas of our business. The implementation of these remediation measures will require validation and testing the effectiveness of the design and implementation the internal controls over multiple financial reporting cycles. As such, the material weakness will not be considered remediated until management has concluded through the implementation of these remediation measures and additional testing that the controls are effective.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intend to design and implement new controls and measures to remediate this material weakness as noted above. However, we cannot assure you that the measures we plan on taking will be sufficient to remediate the material weakness or avoid the identification of additional material weaknesses in the future. Our failure to implement and maintain effective internal control over financial reporting could result in errors in our consolidated financial statements that could result in a restatement of our previously issued financial statements and could cause us to fail to meet our periodic reporting obligations, any of which could diminish investor confidence in us and cause a decline in the price of our Class A common stock.</w:t>
      </w:r>
    </w:p>
    <w:p>
      <w:pPr>
        <w:pStyle w:val="TextBody"/>
        <w:bidi w:val="0"/>
        <w:spacing w:before="0" w:after="240"/>
        <w:jc w:val="left"/>
        <w:rPr>
          <w:rFonts w:ascii="Times New Roman" w:hAnsi="Times New Roman"/>
          <w:sz w:val="20"/>
        </w:rPr>
      </w:pPr>
      <w:r>
        <w:rPr>
          <w:rFonts w:ascii="Times New Roman" w:hAnsi="Times New Roman"/>
          <w:b/>
          <w:i/>
          <w:color w:val="000000"/>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preparation of our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underlying our estimates and judgments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 </w:t>
      </w:r>
    </w:p>
    <w:p>
      <w:pPr>
        <w:pStyle w:val="TextBody"/>
        <w:bidi w:val="0"/>
        <w:spacing w:before="0" w:after="240"/>
        <w:jc w:val="left"/>
        <w:rPr>
          <w:rFonts w:ascii="Times New Roman" w:hAnsi="Times New Roman"/>
          <w:sz w:val="20"/>
        </w:rPr>
      </w:pPr>
      <w:r>
        <w:rPr>
          <w:rFonts w:ascii="Times New Roman" w:hAnsi="Times New Roman"/>
          <w:b/>
          <w:i/>
          <w:color w:val="000000"/>
          <w:sz w:val="20"/>
        </w:rPr>
        <w:t>Business disruptions could seriously harm our business, financial condition, and results of operations.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operations, and those of our CROs, suppliers and other contractors and consultants, could be subject to earthquakes, power shortages, telecommunications failures, water shortages, floods, hurricanes, typhoons, fires, extreme weather conditions, public health pandemics or epidemics, geopolitical events, including civil or political unrest (such as the ongoing conflict between Ukraine and Russia), terrorism, insurrection or war, recent and potential future disruptions in access to bank deposits or lending commitments due to bank failures, and other natural or man-made disasters or business interruptions, for which we are predominantly self-insured. The occurrence of any of these business disruptions could seriously harm our operations and financial condition and increase our costs and expenses.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business and the business of our suppliers of APIs or drug substances and the raw materials or components for our RaniPill capsule could be materially and adversely affected by the risks, or the public perception of the risks, related to a pandemic or other health crisis. A significant outbreak of contagious diseases in the human population could result in a widespread health crisis that could adversely affect our planned operations. Such events could result in the complete or partial closure of one or more manufacturing facilities which could impact our supply of APIs, drug substances, and critical materials for manufacturing our RaniPill capsules. In addition, an outbreak or other business disruption near where our clinical trials occur could impact our ability to recruit subjects, delay our clinical trial, and could affect our ability to complete our clinical trials within the planned time periods. In addition, business disruptions of the kind noted above, including geopolitical events like the ongoing conflict between Ukraine and Russia or disruptions to bank deposits and lending commitments due to bank failures, could impact economies and financial markets, resulting in economic worsening and/or inflation that could impact our ability to raise capital, increase the costs of goods and services, cause us to have to de-prioritize or stop certain business activities, diminish potential partnering opportunities, and have an adverse effect on our results of operations.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i/>
          <w:color w:val="000000"/>
          <w:sz w:val="20"/>
        </w:rPr>
        <w:t>Unanticipated changes in effective tax rates or adverse outcomes resulting from examination of our income or other tax returns could adversely affect our results of operations and financial condition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or may be subject to taxes by the U.S. federal, state, local and foreign tax authorities, and our tax liabilities will be affected by the allocation of expenses to differing jurisdictions. Our future effective tax rates could be subject to volatility or adversely affected by a number of factors,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changes in the valuation of our deferred tax assets and liabilities;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expected timing and amount of the release of any tax valuation allowances;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tax effects of stock-based compensation;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tax laws, regulations or interpretations thereof;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future earnings being lower than anticipated in countries where we have lower statutory tax rates and higher than anticipated earnings in countries where we have higher statutory tax rates.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addition, we may be subject to audits of our income, sales and other transaction taxes by U.S. federal, state, local and foreign taxing authorities. Outcomes from these audits could adversely affect our business, results of operations and financial condition. </w:t>
      </w:r>
    </w:p>
    <w:p>
      <w:pPr>
        <w:pStyle w:val="TextBody"/>
        <w:bidi w:val="0"/>
        <w:spacing w:before="0" w:after="240"/>
        <w:jc w:val="left"/>
        <w:rPr>
          <w:rFonts w:ascii="Times New Roman" w:hAnsi="Times New Roman"/>
          <w:sz w:val="20"/>
        </w:rPr>
      </w:pPr>
      <w:r>
        <w:rPr>
          <w:rFonts w:ascii="Times New Roman" w:hAnsi="Times New Roman"/>
          <w:b/>
          <w:i/>
          <w:color w:val="000000"/>
          <w:sz w:val="20"/>
        </w:rPr>
        <w:t>We are subject to U.S. and certain foreign export and import controls, sanctions, embargoes, anti-corruption laws and anti-money laundering laws and regulations. We can face criminal liability and other serious consequences for violations, which can harm our business.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United States Export Administration Regulations, United States Customs regulations, and various economic and trade sanctions regulations administered by the United States Treasury Department’s Office of Foreign Assets Controls, and anti-corruption and anti-money laundering laws and regulations, including the Foreign Corrupt Practices Act (“FCPA”), the United States domestic bribery statute contained in 18 U.S.C. § 201, the United States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recipients in the public or private sector. We may engage third parties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In many foreign countries, particularly in countries with developing economies, it may be a local custom that businesses engage in practices that are prohibited by the FCPA or other applicable laws and regulations. To that end, our internal control policies and procedures and employee training and compliance programs designed to deter prohibited practices ultimately may not be effective in preventing our employees, contractors, business partners, intermediaries or agents from violating or circumventing our policies and/or the law. Responding to any enforcement action or related investigation may result in a significant diversion of management’s attention and resources and significant defense costs and other professional fees.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0" w:after="240"/>
        <w:jc w:val="left"/>
        <w:rPr>
          <w:rFonts w:ascii="Times New Roman" w:hAnsi="Times New Roman"/>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operate in a global economy, which includes utilizing third-party suppliers in several countries outside the United States, including suppliers of drug substance for our pipeline programs and suppliers of certain raw materials for the manufacture of the RaniPill® capsule.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had announced substantial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protectionist measures. These developments have created a dynamic and unpredictable trade landscape, which may adversely impact our business, results of operations, financial condition and prospects. Notwithstanding the U.S. Supreme Court’s recent decision invalidating tariffs imposed under the International Emergency Economic Powers Act, the magnitude and impact of tariffs are uncertain and are subject to a variety of factors, including the effective date and duration of additional tariffs, changes in the amount, scope and nature of tariffs in the future, including as a result of litigation or other challenges, any retaliatory tariffs that other countries may impose in response to tariffs levied by the United States and any mitigating actions that may become available.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manufacture the RaniPill® capsule in the United States. We are vertically integrated and manufacture many of the components used in the RaniPill® capsule. We source raw materials for our components and manufacturing from a variety of suppliers. Currently, nearly all of the principal suppliers of our raw materials and externally-sourced components used to support our manufacturing come from suppliers located in the United States. The current principal supplier of one raw material is located in China. We obtain supply of the drug substances used for our pipeline programs from third parties. The drug substance for our RT-114 (bispecific GLP-1/GLP-2 receptor agonist) program is manufactured in Korea and China, and the drug substances for our RT-111 (ustekinumab biosimilar) and RT-105 (adalimumab biosimilar) programs are manufactured in Korea.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Current or future tariffs will result in increased research and development and manufacturing expenses, including with respect to increased costs associated with drug substances,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or collaborations on favorable terms or at all. In addition, as we advance toward commercialization in the future, tariffs and trade restrictions could hinder our ability to establish cost-effective production capabilities, negatively impacting our growth prospects.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complexity of announced or future tariffs may also increase the risk that we or our collaborators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collaborators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heightened and may continue to heighten the risks related to the other risk factors described herein.</w:t>
      </w:r>
    </w:p>
    <w:p>
      <w:pPr>
        <w:pStyle w:val="TextBody"/>
        <w:bidi w:val="0"/>
        <w:spacing w:before="0" w:after="240"/>
        <w:jc w:val="left"/>
        <w:rPr>
          <w:rFonts w:ascii="Times New Roman" w:hAnsi="Times New Roman"/>
          <w:sz w:val="20"/>
        </w:rPr>
      </w:pPr>
      <w:r>
        <w:rPr>
          <w:rFonts w:ascii="Times New Roman" w:hAnsi="Times New Roman"/>
          <w:b/>
          <w:i/>
          <w:color w:val="000000"/>
          <w:sz w:val="20"/>
        </w:rPr>
        <w:t>If securities or industry analysts do not publish research or publish unfavorable or inaccurate research about our business, our Class A common stock price and trading volume could decline.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trading market for our Class A common stock will depend, in part, on the research and reports that securities or industry analysts publish about us or our business. We do not have any control over these analysts. We expect that only a limited number of analysts will cover our company. If the number of analysts that cover us declines, demand for our Class A common stock could decrease and our Class A common stock price and trading volume may decline. 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Class A common stock or change their opinion of our Class A common stock, our stock price would likely decline. </w:t>
      </w:r>
    </w:p>
    <w:p>
      <w:pPr>
        <w:pStyle w:val="TextBody"/>
        <w:bidi w:val="0"/>
        <w:jc w:val="left"/>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clinical trial and other trial participant data (“Information Systems and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head of our information security team (Svai Sanford, Chief Financial Officer (“CFO”)), our information security team and our legal team help identify, assess and manage our cybersecurity threats and risks. This group works to identify and assess risks from cybersecurity threats by monitoring and evaluating our threat environment using various methods including, for example deploying certain automated tools, subscribing to reports and services that identify certain cybersecurity threats, conducting scans of certain threat environments, evaluating certain threats reported to us, using external intelligence feeds, and conducting vulnerability assessments in certain environments and systems to identify vulnerabilities.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environment and system, we implement and maintain various technical, physical, and organizational measures, and processes designed to manage and mitigate material risks from cybersecurity threats to our Information Systems and Data, including, for example: incident detection and response processes, disaster recovery and business continuity plans, encryption of certain data, network security controls and access controls in certain environments and systems, monitoring certain systems, physical security of certain assets, asset management, employee training, and cybersecurity insurance.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assessment and management of material risks from cybersecurity threats are integrated into our overall risk management processes. For example, the information security team works with management to prioritize our risk management processes and mitigate cybersecurity threats that are more likely to lead to a material impact to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third-party service providers to assist us from time to time to identify, assess, and manage material risks from cybersecurity threats, including for example threat intelligence service providers and dark web monitoring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third-party service providers to perform a variety of functions throughout our business, such as application providers, hosting companies, and clinical data management and processing service providers. We have a vendor management program to manage cybersecurity risks associated with our use of certain of these providers. The program includes a review of certain information security measures of certain vendors.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 description of the risks from cybersecurity threats that may materially affect us and how they may do so, see our risk factors under Part 1. Item 1A. Risk Factors in this Annual Report on Form 10-K, including “If our internal technology systems or sensitive information, or those used by our third-party collaborators, vendors, contractors or consultants,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addresses our cybersecurity risk management as part of its general oversight function. The board of directors is responsible for overseeing our cybersecurity risk management processes, including oversight of mitigation of risks from cybersecurity threats.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cybersecurity risk assessment and management processes are implemented and maintained by certain of our management, including our CFO, who oversees our information security team and has over four years of experience overseeing such function.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CFO is responsible for hiring appropriate personnel, helping to integrate cybersecurity risk considerations into our overall risk management strategy, and communicating key priorities to relevant personnel. Our CFO is also responsible for approving budgets, helping prepare for cybersecurity incidents, approving cybersecurity processes, and reviewing security assessments and other security-related reports. Our cybersecurity incident response processes are designed to escalate certain cybersecurity incidents to members of management depending on the circumstances. The incident management team helps us mitigate and remediate cybersecurity incidents of which they are notified. In addition, our incident response processes include reporting to the board of directors for certain cybersecurity incidents. The board receives periodic reports from management concerning significant cybersecurity threats and risk and the processes the we have implemented to address them. The board also receives various reports, summaries or presentations related to cybersecurity threats, risk and mitigation.</w:t>
      </w:r>
    </w:p>
    <w:p>
      <w:pPr>
        <w:pStyle w:val="TextBody"/>
        <w:bidi w:val="0"/>
        <w:spacing w:before="240" w:after="283"/>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corporate headquarters are currently located in San Jose, California. We lease approximately 57,000 square feet of office, research and development, production and manufacturing, and laboratory space for our business. In February 2024, we began occupying approximately 33,000 square feet in Fremont, California, under a lease with a third party. The term of the lease is 63 months. Subject to certain conditions, we have an option to renew the lease for one additional 5-year term at the then-prevailing market rate. We also lease approximately 24,000 square feet in San Jose, California, pursuant to a service agreement with ICL, a related party. The lease for the San Jose facility has a twelve month term that renews automatically on January 1st of each year for a successive twelve-month period, subject to termination by either party upon a six months’ notice. In March 2024, we amended our lease for the San Jose facility to increase our use from 23,000 square feet to 24,000 square feet. If required, we believe that suitable additional or alternative space would be available in the future on commercially reasonable terms.</w:t>
      </w:r>
    </w:p>
    <w:p>
      <w:pPr>
        <w:pStyle w:val="TextBody"/>
        <w:bidi w:val="0"/>
        <w:spacing w:before="240" w:after="283"/>
        <w:jc w:val="left"/>
        <w:rPr>
          <w:rFonts w:ascii="Times New Roman" w:hAnsi="Times New Roman"/>
          <w:b/>
          <w:color w:val="000000"/>
          <w:sz w:val="20"/>
        </w:rPr>
      </w:pPr>
      <w:bookmarkStart w:id="8" w:name="item_3_legal_proceedings"/>
      <w:bookmarkEnd w:id="8"/>
      <w:r>
        <w:rPr>
          <w:rFonts w:ascii="Times New Roman" w:hAnsi="Times New Roman"/>
          <w:b/>
          <w:color w:val="000000"/>
          <w:sz w:val="20"/>
        </w:rPr>
        <w:t>Item 3.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 </w:t>
      </w:r>
    </w:p>
    <w:p>
      <w:pPr>
        <w:pStyle w:val="TextBody"/>
        <w:bidi w:val="0"/>
        <w:spacing w:before="24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bookmarkStart w:id="10" w:name="item_5"/>
      <w:bookmarkEnd w:id="10"/>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Market Information for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Class A common stock is traded on the Nasdaq Stock Market LLC under the symbol “RANI.”</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never declared or paid any dividends on our common stock. We anticipate that we will retain all of our future earnings, if any, for use in the operation and expansion of our business and do not anticipate paying cash dividends in the foreseeable future. Any future determination to declare or pay dividends will be made at the discretion of our board of directors, subject to applicable laws, and will depend upon, among other factors, our results of operations, financial condition, contractual restrictions, capital requirements, general business conditions, and other factors that our board of directors may deem relevant. Our future ability to pay cash dividends on our capital stock is limited by the terms of the Loan Agreement and may also be limited by the terms of any future debt or preferred securities.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February 28, 2026, we had 115 holders of record of our Class A common stock and 16 holders of record of our Class B common stock.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Shares of our Class B common stock are paired with LLC Units of Rani LLC and are held by Continuing LLC Owners. Shares of Class B common stock are not transferable independent of the LLC Units. Upon exchange of the LLC Units for Class A common stock, the corresponding shares of Class B common stock paired with such LLC Units are cancelled.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1" w:name="item_6"/>
      <w:bookmarkEnd w:id="11"/>
      <w:r>
        <w:rPr>
          <w:rFonts w:ascii="Times New Roman" w:hAnsi="Times New Roman"/>
          <w:b/>
          <w:color w:val="000000"/>
          <w:sz w:val="20"/>
        </w:rPr>
        <w:t>Item 6. [Reserved]</w:t>
      </w:r>
    </w:p>
    <w:p>
      <w:pPr>
        <w:pStyle w:val="TextBody"/>
        <w:bidi w:val="0"/>
        <w:spacing w:before="40" w:after="283"/>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item_7_managements_discussion"/>
      <w:bookmarkEnd w:id="12"/>
      <w:r>
        <w:rPr>
          <w:rFonts w:ascii="Times New Roman" w:hAnsi="Times New Roman"/>
          <w:b/>
          <w:color w:val="000000"/>
          <w:sz w:val="20"/>
        </w:rPr>
        <w:t>Item 7. Management’s Discussion</w:t>
      </w:r>
      <w:r>
        <w:rPr>
          <w:rFonts w:ascii="Times New Roman" w:hAnsi="Times New Roman"/>
          <w:color w:val="000000"/>
          <w:sz w:val="20"/>
        </w:rPr>
        <w:t xml:space="preserve"> </w:t>
      </w:r>
      <w:r>
        <w:rPr>
          <w:rFonts w:ascii="Times New Roman" w:hAnsi="Times New Roman"/>
          <w:b/>
          <w:color w:val="000000"/>
          <w:sz w:val="20"/>
        </w:rPr>
        <w:t>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management’s discussion and analysis of our consolidated financial condition and results of operations should be read in conjunction with, and is qualified in its entirety by reference to, our consolidated financial statements and the related notes and other information included elsewhere in this Annual Report on Form 10-K. This discussion and analysis contains forward-looking statements that involve risks and uncertainties which could cause our actual results to differ materially from those anticipated in these forward-looking statements, including, but not limited to, risks and uncertainties discussed under “Special Note Regarding Forward-Looking Statements,” “Risk Factors” and in Part I and elsewhere in this Annual Report on Form 10-K.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Unless we state otherwise or the context otherwise requires, the terms “we,” “us,” “our,” and “Rani” and similar references refer to Rani Therapeutics Holdings, Inc. and its consolidated subsidiaries.</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technology comprises a drug-agnostic oral delivery platform, the RaniPill capsule, which is designed to deliver a wide variety of drug substances, including antibodies, proteins, peptides, and oligonucleotides. We have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multiple different antibodies and peptides. In December 2025, we initiated a Phase 1 clinical trial with RT-114, a RaniPill HC capsule containing a GLP-1/GLP-2 dual agonist (PG-102), for the treatment of obesity.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believe, the RaniPill capsule technology could enable us to deliver most biologics currently on the market with convenient, oral dosing.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current RaniPill capsule and RaniPill HC. Design work, prototyping and pilot manufacturing are performed in house, and we have utilized third-party engineering firms to assist with the design of manufacturing lines that support our supply of the current RaniPill capsule and RaniPill HC.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invested and plan to continue to invest in automated manufacturing production lines for the RaniPill capsule. Those assets deemed to have an alternative future use have been capitalized as property and equipment while those projects related to our assets determined to not have an alternative future use have been expensed as research and development costs.</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Financial Update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2025, we entered into a Private Placement pursuant to which we sold (i) 42,633,337 shares of our Class A Common Stock, (ii) warrants to purchase up to an aggregate of 125,000,004 shares of Class A Common Stock or pre-funded warrants (the “Common Warrants”) and (iii) pre-funded warrants to purchase up to an aggregate of 82,366,667 shares of Class A Common Stock (the “Pre-Funded Warrants”), for the aggregate purchase price of approximately $60.3 million (including conversion of the Loan amount of $6.0 million described below). In connection with the Private Placement, we implemented certain governance changes, including amendments to our organizational documents and the termination of certain existing agreements. See “Business Update – Financing” in the Business section above for more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2025, we entered into the LSA Amendment with the Lender, pursuant to which the Lender, among other things, converted $6.0 million of outstanding Loans into 12,500,000 shares of Class A Common Stock (or Pre-Funded Warrants in lieu thereof) and Common Warrants to purchase up to 12,500,000 shares of our Class A Common Stock (or Pre-Funded Warrants in lieu thereof), on the same terms as other investors in the Private Placement. In January 2026, the Lender exercised 2,099,844 shares of Pre-Funded Warrants, resulting in 80,266,823 shares of Pre-Funded Warrants outstanding. In September 2025, we modified the exercise price of the warrants to purchase 76,336 shares of our Class A common stock we initially issued to the Lender in August 2022 from $11.79 to $0.50 per share, in consideration for a deferral of a principal repayment due in October 2025. On the modification date, we remeasured the warrants and recognized an additional $15 thousand to interest expense on the our consolidated statement of operations. In December 2025, we repaid all outstanding amounts under the Loan Agreement, including the remaining principal balance of $6.2 million, accrued interest, a final payment of $1.7 million, and a prepayment fee of $0.1 million. We recognized a loss on the extinguishment of the debt of $0.6 million. Upon repayment of these amounts, all obligations under the Loan Agreement were fully satisfied. We no longer have any outstanding debt obligations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2025, we entered into the Chugai Collaboration and License Agreement with Chugai to develop, manufacture, seek regulatory approvals for and, if approved, commercialize the Product combining Chugai’s Compound, which is in development for hemophilia, and the RaniPill HC oral delivery device for use in humans. Under the Chugai Collaboration and License Agreement, we received a $10.0 million upfront payment and we are eligible to receive up to $18.0 million in technology transfer milestones, up to $57.0 million in development milestones, up to $100.0 million in a series of sales-based milestones, contingent upon approval and the commercial success of the Product, and single digit royalties on net sales, contingent on approval and commercialization of the Product. Of the $10.0 million upfront payment, $8.0 million was received in cash and $2.0 million remains in accounts receivable relates to tax withheld by the Japanese tax authorities, which is expected to be refunded to us upon submission and acceptance of the required residency certificate. See “Business Update – Collaboration” in the Business section above for more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we entered into the July 2025 Securities Purchase Agreement with an institutional investor, relating to the issuance and sale of 4,354,000 shares of Class A common stock and pre-funded warrants to purchase 3,146,000 shares of Class A common stock (the "Offering"). The pre-funded warrants are exercisable immediately following the closing date of the Offering and have an unlimited term and an exercise price of $0.0001 per share. The Offering price was $0.40 per share of Class A common stock and $0.3999 per pre-funded warrant for total gross proceeds of $3.0 million. After closing of the Offering, the institutional investor fully exercised all 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we entered into the Letter Agreement with an existing institutional investor (the “Equity Investor”) pursuant to which the Equity Investor exercised for cash all outstanding Series B and Series C warrants at a reduced exercise price of $0.65 per share in consideration for the issuance of Series D Warrant to purchase an aggregate of 13,160,172 shares of Class A common stock with the exercise price of $0.65 per share. In October 2025, the Equity Investor exercised 6,967,150 shares of Series D Warrants, resulting in 6,193,022 shares of Series D Warrants remained outstanding. We received cash proceeds of $4.5 million as a result of the exercise.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December 31, 2025, our cash, cash equivalents and marketable securities totaled $49.7 million. We expect to continue to incur losses for the foreseeable future, and our net losses may fluctuate significantly from period to period, depending on the timing of and expenditures on our planned research and development activities.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 We may seek to raise capital through equity offerings or debt financings, collaboration agreements, or other arrangements with other companies, or through other sources of financing.</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Business Update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2025, we entered into the Chugai Collaboration and License Agreement with Chugai to develop, manufacture, seek regulatory approvals for and, if approved, commercialize the Chugai Product (RT-117) combining Chugai’s Compound, which is in development for hemophilia, and the RaniPill HC oral delivery device for use in humans.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CEO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our Board approved a reduction in the annual salary of Talat Imran, our Chief Executive Officer, from $520,000 to $100,000, effective November 1, 2023 through December 31, 2024 or until such time as we receive gross proceeds of $50,000,000 or more, in the aggregate, from equity financing and/or one or more non-dilutive strategic, licensing or partnering transactions (the “Financing Threshold”). In November 2024, the Board approved to extend the reduction in annual salary of Talat Imran through December 31, 2025, or until the Financing Threshold is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2025, the Board deemed it advisable to reinstate Talat Imran’s salary to its full amount in view of the gross proceeds received from the Private Placement and the non-dilutive Chugai Collaboration and License Agreement in excess of the Financing Threshold. Accordingly, the Board reinstated Talat Imran’s salary to $625,100, effective October 20,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Exclusive License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2025, as part of a strategic focusing of our resources, we notified ICL that we are terminating the Amended and Restated Exclusive License Agreement in its entirety. The termination became effective on January 18, 2026, and we no longer have any obligations to ICL under the Amended and Restated Exclusive License Agreement. See “Intellectual Property – Exclusive License Agreement” in the Business section above for more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Relationship with InCube Labs, LLC</w:t>
      </w:r>
    </w:p>
    <w:p>
      <w:pPr>
        <w:pStyle w:val="TextBody"/>
        <w:bidi w:val="0"/>
        <w:spacing w:before="240" w:after="283"/>
        <w:jc w:val="left"/>
        <w:rPr/>
      </w:pPr>
      <w:r>
        <w:rPr>
          <w:rFonts w:ascii="Times New Roman" w:hAnsi="Times New Roman"/>
          <w:color w:val="000000"/>
          <w:sz w:val="20"/>
        </w:rPr>
        <w:t xml:space="preserve">See </w:t>
      </w:r>
      <w:hyperlink w:anchor="fn7_related_party_transactions">
        <w:r>
          <w:rPr>
            <w:rStyle w:val="InternetLink"/>
            <w:rFonts w:ascii="Times New Roman" w:hAnsi="Times New Roman"/>
            <w:color w:val="0000FF"/>
            <w:sz w:val="20"/>
            <w:u w:val="single"/>
          </w:rPr>
          <w:t>Note 7</w:t>
        </w:r>
      </w:hyperlink>
      <w:r>
        <w:rPr>
          <w:rFonts w:ascii="Times New Roman" w:hAnsi="Times New Roman"/>
          <w:color w:val="000000"/>
          <w:sz w:val="20"/>
        </w:rPr>
        <w:t xml:space="preserve"> to the consolidated financial statements contained in Part II, Item 8 of this Annual Report on Form 10-K for additional information.</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pPr>
      <w:r>
        <w:rPr>
          <w:rFonts w:ascii="Times New Roman" w:hAnsi="Times New Roman"/>
          <w:color w:val="000000"/>
          <w:sz w:val="20"/>
        </w:rPr>
        <w:t>The results of operations presented below should be reviewed in conjunction with the consolidated financial statements and notes included elsewhere in this Annual Report on Form 10-K. For information with respect to recent accounting pronouncements that are of significance or potential significance to us, see “</w:t>
      </w:r>
      <w:hyperlink w:anchor="fn2_summary_of_accounting_policies">
        <w:r>
          <w:rPr>
            <w:rStyle w:val="InternetLink"/>
            <w:rFonts w:ascii="Times New Roman" w:hAnsi="Times New Roman"/>
            <w:color w:val="0000FF"/>
            <w:sz w:val="20"/>
            <w:u w:val="single"/>
          </w:rPr>
          <w:t>Note 2. Summary of Significant Accounting Policies</w:t>
        </w:r>
      </w:hyperlink>
      <w:r>
        <w:rPr>
          <w:rFonts w:ascii="Times New Roman" w:hAnsi="Times New Roman"/>
          <w:color w:val="000000"/>
          <w:sz w:val="20"/>
        </w:rPr>
        <w:t>” in the “Notes to the Consolidated Financial Statements” contained in Part II, Item 8 of this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(in thousands): </w:t>
      </w:r>
    </w:p>
    <w:tbl>
      <w:tblPr>
        <w:tblW w:w="9204" w:type="dxa"/>
        <w:jc w:val="left"/>
        <w:tblInd w:w="0" w:type="dxa"/>
        <w:tblLayout w:type="fixed"/>
        <w:tblCellMar>
          <w:top w:w="28" w:type="dxa"/>
          <w:left w:w="28" w:type="dxa"/>
          <w:bottom w:w="28" w:type="dxa"/>
          <w:right w:w="28" w:type="dxa"/>
        </w:tblCellMar>
      </w:tblPr>
      <w:tblGrid>
        <w:gridCol w:w="4681"/>
        <w:gridCol w:w="146"/>
        <w:gridCol w:w="211"/>
        <w:gridCol w:w="736"/>
        <w:gridCol w:w="166"/>
        <w:gridCol w:w="146"/>
        <w:gridCol w:w="211"/>
        <w:gridCol w:w="736"/>
        <w:gridCol w:w="166"/>
        <w:gridCol w:w="146"/>
        <w:gridCol w:w="146"/>
        <w:gridCol w:w="631"/>
        <w:gridCol w:w="166"/>
        <w:gridCol w:w="91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Contract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revenue of $1.6 million for the year ended December 31, 2025, was attributable to $1.5 million from Chugai License and Collaboration Agreement and $0.1 million from evaluation services performed for Chugai. There was $1.0 million of contract revenue for the same period in 2024 attributable to evaluation services performed for a customer. </w:t>
        <w:br/>
        <w:t> </w:t>
      </w:r>
    </w:p>
    <w:p>
      <w:pPr>
        <w:pStyle w:val="TextBody"/>
        <w:bidi w:val="0"/>
        <w:spacing w:before="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reflects our research and development costs by nature of expense (in thousands): </w:t>
      </w:r>
    </w:p>
    <w:p>
      <w:pPr>
        <w:pStyle w:val="TextBody"/>
        <w:bidi w:val="0"/>
        <w:jc w:val="left"/>
        <w:rPr/>
      </w:pPr>
      <w:r>
        <w:rPr/>
        <w:t> </w:t>
      </w:r>
    </w:p>
    <w:tbl>
      <w:tblPr>
        <w:tblW w:w="7179" w:type="dxa"/>
        <w:jc w:val="left"/>
        <w:tblInd w:w="0" w:type="dxa"/>
        <w:tblLayout w:type="fixed"/>
        <w:tblCellMar>
          <w:top w:w="28" w:type="dxa"/>
          <w:left w:w="28" w:type="dxa"/>
          <w:bottom w:w="28" w:type="dxa"/>
          <w:right w:w="28" w:type="dxa"/>
        </w:tblCellMar>
      </w:tblPr>
      <w:tblGrid>
        <w:gridCol w:w="4576"/>
        <w:gridCol w:w="146"/>
        <w:gridCol w:w="211"/>
        <w:gridCol w:w="676"/>
        <w:gridCol w:w="146"/>
        <w:gridCol w:w="146"/>
        <w:gridCol w:w="211"/>
        <w:gridCol w:w="676"/>
        <w:gridCol w:w="3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stock-based 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materials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decrease of $6.5 million in research and development expenses for the year ended December 31, 2025, as compared to the same period in 2024, was primarily attributed to lower compensation costs of $5.3 million, $0.6 million reduction in facilities, materials and supplies, $0.5 million reduction in third-party services and $0.1 million decrease in other expenses. These reductions reflect cost containment efforts, including the temporary pause or termination of certain R&amp;D programs. We anticipate the R&amp;D expenses to increase in future periods as we resume some of these programs and continue to invest in product development.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of $4.2 million in general and administrative expenses in the year ended December 31, 2025, as compared to the same period in 2024, was primarily attributed to lower compensation costs of $2.6 million, $0.5 million reduction in third-party services, $0.7 million reduction in other costs, and $0.4 million reduction in facilities, materials and supplies.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Impairment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the impairment loss of $3.7 million was attributable to construction-in-progress property and equipment. Rani considers many factors in evaluating whether the value of its construction-in-progress property and equipment may not be recoverable, including, but not limited to, alternative use, cost-savings and strategic considerations. As a result, it was determined that the carrying amount of the construction-in-progress property and equipment exceeded its fair value and was written down to its salvage value. There was no impairment loss for the same period in 2025.</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of $0.6 million in other expenses, net, in the year ended December 31, 2025, as compared to the same period in 2024, was primarily attributed to a decrease in interest income of $0.9 million from our investment in marketable securities, the recognition of a $0.6 million loss on the extinguishment of debt, offset by a decrease in interest expense of $2.1 million driven by the repayment and extinguishment of debt in 2025.</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recurring losses and negative cash flows from operations since inception, including net loss of $41.0 million for the year ended December 31, 2025. As of December 31, 2025, we had an accumulated deficit of $132.6 million and for the year ended December 31, 2025, had negative cash flows from operations of $18.7 million. As of December 31, 2025, our cash, cash equivalents and marketable securities totaled $49.7 million. We expect to continue to incur losses for the foreseeable future, and our net losses may fluctuate significantly from period to period, depending on the timing of and expenditures on our planned research and development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believes that it has sufficient working capital on hand to fund operations through at least the next twelve months from the date of issuance of these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Financial Update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2025, we entered into a Private Placement pursuant to which we sold (i) 42,633,337 shares of our Class A Common Stock, (ii) warrants to purchase up to an aggregate of 125,000,004 shares of Class A Common Stock or pre-funded warrants (the “Common Warrants”) and (iii) pre-funded warrants to purchase up to an aggregate of 82,366,667 shares of Class A Common Stock (the “Pre-Funded Warrants”), for the aggregate purchase price of approximately $60.3 million (including conversion of the Loan amount of $6.0 million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Common Warrants are exercisable following the effective date of stockholder approval in December 2025 and have a term of five years following the initial exercise date. The Common Warrants have an exercise price of $0.48 per share. The Pre-Funded Warrants are exercisable immediately, have an unlimited term and an exercise price of $0.0001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2022, we entered into the Loan Agreement with the Lender. The Loan Agreement provided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was uncommitted and subject to certain conditions and was no longer available under the Loan Agreement. The Loan Agreement also contained various covenants and restrictive provisions. There have been no material adverse events in connection with the Loan Agreement. The Loan principal was repayable in equal monthly installments which began in September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2025, we entered into the LSA Amendment with the Lender, pursuant to which the Lender, among other things, converted $6.0 million of outstanding Loans into 12,500,000 shares of our Class A Common Stock (or Pre-Funded Warrants in lieu thereof) and Common Warrants to purchase up to 12,500,000 shares of Class A Common Stock (or Pre-Funded Warrants in lieu thereof), on the same terms as other investors in the Private Placement. In January 2026, the Lender exercised 2,099,844 shares of Pre-Funded Warrants, resulting in 80,266,823 shares of Pre-Funded Warrants outstanding. In December 2025, we repaid $7.9 million in cash to settle all obligations under the Loan Agreement, including the remaining principal balance of $6.2 million, a final payment of $1.7 million, and a prepayment fee of $0.1 million, offset by an interest refund of $0.1 million. We recognized a loss on the extinguishment of the debt of $0.6 million. Upon repayment of these amounts, all obligations under the Loan Agreement were fully satisfied. We no longer have any outstanding debt obligations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2025, we entered into the Chugai Collaboration and License Agreement to develop, manufacture, seek regulatory approvals for and, if approved, commercialize the Chugai Product combining Chugai’s Compound, which is in development for hemophilia, and the RaniPill HC oral delivery device for use in humans. Under the Chugai Collaboration and License Agreement, we received a $10.0 million upfront payment and we are eligible to receive up to $18.0 million in technology transfer milestones, up to $57.0 million in development milestones, up to $100.0 million in a series of sales-based milestones, contingent upon approval and the commercial success of the Chugai Product, and single digit royalties on net sales, contingent on approval and commercialization of the Chugai Product. Of the $10.0 million upfront payment, $8.0 million was received in cash and $2.0 million remains in accounts receivable relates to tax withheld by the Japanese tax authorities, which is expected to be refunded to us upon submission and acceptance of the required residency certificate.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2025, we entered into the July 2025 Securities Purchase Agreement with an institutional investor, relating to the issuance and sale of 4,354,000 shares of Class A common stock and pre-funded warrants to purchase 3,146,000 shares of Class A common stock. The pre-funded warrants are exercisable immediately following the closing date of the Offering and have an unlimited term and an exercise price of $0.0001 per share. The Offering price was $0.40 per share of Class A common stock and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$0.3999 per pre-funded warrant for total gross proceeds of $3.0 million. After closing of the Offering, the institutional investor fully exercised all 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we entered into the Letter Agreement with an existing institutional investor (the “Equity Investor”) pursuant to which the Equity Investor exercised for cash all outstanding Series B and Series C warrants at a reduced exercise price of $0.65 per share in consideration for our issuance of a the Series D Warrant to purchase an aggregate of 13,160,172 shares of Class A common stock with the exercise price of $0.65 per share. In October 2025, the Equity Investor exercised 6,967,150 shares of Series D Warrants, resulting in 6,193,022 shares of Series D Warrants outstanding. We received cash proceeds of $4.5 million as a result of the exercise.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technology and to commercialize any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technology and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to raise capital through equity offerings or debt financings, which may include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progress, costs, trial design, results of and timing of our preclinical studies and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progress, costs, and results of our research pipeline;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willingness of the FDA, or other regulatory authorities to accept data from our clinical trials, as well as data from our completed and planned clinical trials and preclinical studies and other work, as the basis for review and approval of our product candidates or collaborator drugs or biologics paired with the RaniPill technology for various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outcome, costs, and timing of seeking and obtaining FDA, and any other regulatory approvals;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and characteristics of product candidates that we pursue;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manufacture sufficient quantities of the RaniPill capsules;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need to expand our research and development activities;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associated with manufacturing our product candidates, including establishing commercial supplies and sales, marketing, and distribution capabilities;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associated with securing and establishing commercial infrastructure;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of acquiring, licensing, or investing in businesses, product candidates, and technologies;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need and ability to retain key management and hire scientific, technical, business, and engineering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 of competing drugs and product candidates and other market developments;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receipt, and amount of sales from our potential products, if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establish strategic collaborations;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need to implement additional internal systems and infrastructure, including financial and reporting systems;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security breaches, data losses or other disruptions affecting our information systems;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realize savings from any restructuring plans or cost-containment measures we may implement;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economic and other terms, timing of and success of any collaboration, licensing, or other arrangements which we may enter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or delay investments in our manufacturing scale-up and automation. In addition, our ability to raise additional capital may be adversely impacted by potential worsening global economic conditions and the recent disruptions to and volatility in the credit and financial 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cash, cash equivalents, and marketable securities:</w:t>
      </w:r>
    </w:p>
    <w:p>
      <w:pPr>
        <w:pStyle w:val="TextBody"/>
        <w:bidi w:val="0"/>
        <w:jc w:val="left"/>
        <w:rPr/>
      </w:pPr>
      <w:r>
        <w:rPr/>
        <w:t> </w:t>
      </w:r>
    </w:p>
    <w:tbl>
      <w:tblPr>
        <w:tblW w:w="7104" w:type="dxa"/>
        <w:jc w:val="left"/>
        <w:tblInd w:w="0" w:type="dxa"/>
        <w:tblLayout w:type="fixed"/>
        <w:tblCellMar>
          <w:top w:w="28" w:type="dxa"/>
          <w:left w:w="28" w:type="dxa"/>
          <w:bottom w:w="28" w:type="dxa"/>
          <w:right w:w="28" w:type="dxa"/>
        </w:tblCellMar>
      </w:tblPr>
      <w:tblGrid>
        <w:gridCol w:w="4601"/>
        <w:gridCol w:w="146"/>
        <w:gridCol w:w="211"/>
        <w:gridCol w:w="676"/>
        <w:gridCol w:w="146"/>
        <w:gridCol w:w="146"/>
        <w:gridCol w:w="211"/>
        <w:gridCol w:w="676"/>
        <w:gridCol w:w="291"/>
      </w:tblGrid>
      <w:tr>
        <w:trPr/>
        <w:tc>
          <w:tcPr>
            <w:tcW w:w="4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we had cash and cash equivalents and marketable securities of $49.7 million, compared to $27.6 million as of December 31, 2024.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(in thousands): </w:t>
      </w:r>
    </w:p>
    <w:p>
      <w:pPr>
        <w:pStyle w:val="TextBody"/>
        <w:bidi w:val="0"/>
        <w:jc w:val="left"/>
        <w:rPr/>
      </w:pPr>
      <w:r>
        <w:rPr/>
        <w:t> </w:t>
      </w:r>
    </w:p>
    <w:tbl>
      <w:tblPr>
        <w:tblW w:w="9119" w:type="dxa"/>
        <w:jc w:val="left"/>
        <w:tblInd w:w="0" w:type="dxa"/>
        <w:tblLayout w:type="fixed"/>
        <w:tblCellMar>
          <w:top w:w="28" w:type="dxa"/>
          <w:left w:w="28" w:type="dxa"/>
          <w:bottom w:w="28" w:type="dxa"/>
          <w:right w:w="28" w:type="dxa"/>
        </w:tblCellMar>
      </w:tblPr>
      <w:tblGrid>
        <w:gridCol w:w="6556"/>
        <w:gridCol w:w="146"/>
        <w:gridCol w:w="211"/>
        <w:gridCol w:w="736"/>
        <w:gridCol w:w="166"/>
        <w:gridCol w:w="146"/>
        <w:gridCol w:w="211"/>
        <w:gridCol w:w="736"/>
        <w:gridCol w:w="211"/>
      </w:tblGrid>
      <w:tr>
        <w:trPr/>
        <w:tc>
          <w:tcPr>
            <w:tcW w:w="6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for the year ended December 31, 2025 was $18.7 million, which was primarily attributable to a net loss of $41.0 million and net accretion and amortization of investments in marketable securities of $0.3 million, partially offset by stock-based compensation expense of $11.8 million, non-cash lease expense of $1.9 million, amortization of debt discount and issuance costs of $0.2 million, depreciation and amortization expense of $1.0 million, loss on extinguishment of debt of $0.6 million, and warrant expense of $0.2 million. Additionally, there was an increase in accounts receivable of $2.0 million, a decrease to contract assets of $0.4 million, a decrease in accounts payable of $1.1 million, an increase in accrued expenses and other current liabilities of $3.2 million, a decrease in operating lease liabilities of $1.9 million, and increase to deferred revenue of $8.5 million, and an increase of $0.2 million in prepaid expenses and other current assets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for the year ended December 31, 2024 was $35.5 million, which was primarily attributable to a net loss of $56.6 million and net accretion and amortization of investments in marketable securities of $1.2 million, partially offset by stock-based compensation expense of $16.0 million, impairment loss of $3.7 million, and depreciation and amortization expense of $1.0 million. Additionally, there was an increase in accounts receivable of $0.4 million, an increase in accounts payable of $0.7 million, and an increase in accrued expenses and other current liabilities of $0.4 million and a decrease of $0.6 million in prepaid expenses and other current assets for the year ended December 31, 2024.</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2025, net cash used in investing activities was $7.0 million, which primarily consisted of $26.8 million in proceeds from maturities of marketable securities partially offset by $33.7 million in purchases of marketable securities and $0.1 million in purchases of property and equipment,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2024, net cash provided by investing activities was $19.8 million, which primarily consisted of $77.6 million in proceeds from maturities of marketable securities partially offset by $57.5 million in purchases of marketable securities and $0.3 million in purchases of property and equipment, respectively.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2025, net cash provided by financing activities was $40.3 million, which primarily consisted of net proceeds of $49.8 million from the Private Placement, net proceeds from exercise of warrants of $3.9 million, net proceeds of $2.8 million from the July 2025 Securities Purchase Agreement, proceeds of $0.1 million from the issuance of common stock under employee stock purchase plan, and $4.5 million from the exercise of Series D warrants, partially offset by $20.7 million repayment of debt and $0.1 million from tax withholdings paid on behalf of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2024, net cash provided by financing activities was $13.6 million, which primarily consisted of net proceeds of $9.4 million from a securities purchase agreement entered into in October 2024 (the "October 2024 Securities Purchase Agreement"), net proceeds of $8.9 million from a securities purchase agreement entered into in July 2024 (the "July 2024 Securities Purchase Agreement"), and $0.3 million from the issuance of common stock under employee stock purchase plan, partially offset by $5.0 million repayment of debt.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Obligations and Other Commitments</w:t>
      </w:r>
    </w:p>
    <w:p>
      <w:pPr>
        <w:pStyle w:val="TextBody"/>
        <w:bidi w:val="0"/>
        <w:spacing w:before="240" w:after="283"/>
        <w:jc w:val="left"/>
        <w:rPr/>
      </w:pPr>
      <w:r>
        <w:rPr>
          <w:rFonts w:ascii="Times New Roman" w:hAnsi="Times New Roman"/>
          <w:color w:val="000000"/>
          <w:sz w:val="20"/>
        </w:rPr>
        <w:t xml:space="preserve">In October 2025, we entered into the LSA Amendment with the Lender, pursuant to which the Lender, among other things, converted $6.0 million of outstanding Loans into 12,500,000 shares of our Class A Common Stock (or Pre-Funded Warrants in lieu thereof) and Common Warrants to purchase up to 12,500,000 shares of Class A Common Stock (or Pre-Funded Warrants in lieu thereof), on the same terms as the other purchasers in the Private Placement (see </w:t>
      </w:r>
      <w:hyperlink w:anchor="fn13_long_term_debt">
        <w:r>
          <w:rPr>
            <w:rStyle w:val="InternetLink"/>
            <w:rFonts w:ascii="Times New Roman" w:hAnsi="Times New Roman"/>
            <w:color w:val="0000FF"/>
            <w:sz w:val="20"/>
            <w:u w:val="single"/>
          </w:rPr>
          <w:t>Note 13</w:t>
        </w:r>
      </w:hyperlink>
      <w:r>
        <w:rPr>
          <w:rFonts w:ascii="Times New Roman" w:hAnsi="Times New Roman"/>
          <w:color w:val="000000"/>
          <w:sz w:val="20"/>
        </w:rPr>
        <w:t xml:space="preserve"> to the consolidated financial statements contained in Part II, Item 8 of this Annual Report on Form 10-K for additional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we repaid $7.9 million in cash to settle all obligations under the Loan Agreement, including the remaining principal balance of $6.2 million, a final payment of $1.7 million, and a prepayment fee of $0.1 million, offset by an interest refund of $0.1 million. We recognized a loss on the extinguishment of the debt of $0.6 million. Upon repayment of these amounts, all obligations under the Loan Agreement were fully satisfied. We no longer have any outstanding debt obligations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2025, we entered into the Chugai Collaboration and License Agreement with Chugai to develop, manufacture, seek regulatory approvals for and, if approved, commercialize the Chugai Product combining Chugai’s Compound, which is in development for hemophilia, and the RaniPill HC oral delivery device for use in humans. In accordance with a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rFonts w:ascii="Times New Roman" w:hAnsi="Times New Roman"/>
          <w:color w:val="000000"/>
          <w:sz w:val="20"/>
        </w:rPr>
        <w:t xml:space="preserve">development plan, the parties have allocated responsibility for the development of the Chugai Product worldwide, with Chugai leading and having sole responsibility for clinical, regulatory, and commercial activities. The parties will allocate preclinical, Chemistry Manufacturing and Controls, and manufacturing and supply activities between each other. Chugai is primarily responsible for preclinical development, manufacturing and supply of the Compound, and Rani is primarily responsible for seeking positive regulatory feedback related to the sterility of the microneedle used in the RaniPill, providing regulatory support to Chugai as needed, and performing Chemistry Manufacturing and Controls of the RaniPill. If elected by Chugai, the Company will also be responsible for manufacturing and supply of the Chugai Product (see </w:t>
      </w:r>
      <w:hyperlink w:anchor="fn6_arrangements">
        <w:r>
          <w:rPr>
            <w:rStyle w:val="InternetLink"/>
            <w:rFonts w:ascii="Times New Roman" w:hAnsi="Times New Roman"/>
            <w:color w:val="0000FF"/>
            <w:sz w:val="20"/>
            <w:u w:val="single"/>
          </w:rPr>
          <w:t>Note 6</w:t>
        </w:r>
      </w:hyperlink>
      <w:r>
        <w:rPr>
          <w:rFonts w:ascii="Times New Roman" w:hAnsi="Times New Roman"/>
          <w:color w:val="000000"/>
          <w:sz w:val="20"/>
        </w:rPr>
        <w:t xml:space="preserve"> to the consolidated financial statements contained in Part II, Item 8 of this Annual Report on Form 10-K for additional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contractual obligations and commitments as of December 31, 2025 (in thousands):</w:t>
      </w:r>
    </w:p>
    <w:p>
      <w:pPr>
        <w:pStyle w:val="TextBody"/>
        <w:bidi w:val="0"/>
        <w:jc w:val="left"/>
        <w:rPr/>
      </w:pPr>
      <w:r>
        <w:rPr/>
        <w:t> </w:t>
      </w:r>
    </w:p>
    <w:tbl>
      <w:tblPr>
        <w:tblW w:w="5171" w:type="dxa"/>
        <w:jc w:val="left"/>
        <w:tblInd w:w="0" w:type="dxa"/>
        <w:tblLayout w:type="fixed"/>
        <w:tblCellMar>
          <w:top w:w="28" w:type="dxa"/>
          <w:left w:w="28" w:type="dxa"/>
          <w:bottom w:w="28" w:type="dxa"/>
          <w:right w:w="28" w:type="dxa"/>
        </w:tblCellMar>
      </w:tblPr>
      <w:tblGrid>
        <w:gridCol w:w="1666"/>
        <w:gridCol w:w="146"/>
        <w:gridCol w:w="211"/>
        <w:gridCol w:w="571"/>
        <w:gridCol w:w="146"/>
        <w:gridCol w:w="146"/>
        <w:gridCol w:w="247"/>
        <w:gridCol w:w="669"/>
        <w:gridCol w:w="146"/>
        <w:gridCol w:w="146"/>
        <w:gridCol w:w="239"/>
        <w:gridCol w:w="647"/>
        <w:gridCol w:w="1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Short-term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Long-term</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top w:val="single" w:sz="6" w:space="1" w:color="000000"/>
        </w:pBdr>
        <w:bidi w:val="0"/>
        <w:spacing w:before="240" w:after="283"/>
        <w:jc w:val="left"/>
        <w:rPr/>
      </w:pPr>
      <w:r>
        <w:rPr>
          <w:rFonts w:ascii="Times New Roman" w:hAnsi="Times New Roman"/>
          <w:color w:val="000000"/>
          <w:sz w:val="20"/>
        </w:rPr>
        <w:t xml:space="preserve">(1) Represents operating lease payments. See </w:t>
      </w:r>
      <w:hyperlink w:anchor="fn8_leases">
        <w:r>
          <w:rPr>
            <w:rStyle w:val="InternetLink"/>
            <w:rFonts w:ascii="Times New Roman" w:hAnsi="Times New Roman"/>
            <w:color w:val="0000FF"/>
            <w:sz w:val="20"/>
            <w:u w:val="single"/>
          </w:rPr>
          <w:t>Note 8</w:t>
        </w:r>
      </w:hyperlink>
      <w:r>
        <w:rPr>
          <w:rFonts w:ascii="Times New Roman" w:hAnsi="Times New Roman"/>
          <w:color w:val="000000"/>
          <w:sz w:val="20"/>
        </w:rPr>
        <w:t xml:space="preserve"> to the consolidated financial statements contained in Part II, Item 8 of this Annual Report on Form 10-K for additional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prepare our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We base our estimates on our own historical experience and other assumptions that we believe are reasonable after taking account of our circumstances and expectations for the future based on available information. To the extent that there are material differences between these estimates and actual results, our financial condition or results of operations would be affected. </w:t>
      </w:r>
    </w:p>
    <w:p>
      <w:pPr>
        <w:pStyle w:val="TextBody"/>
        <w:bidi w:val="0"/>
        <w:spacing w:before="240" w:after="283"/>
        <w:jc w:val="left"/>
        <w:rPr/>
      </w:pPr>
      <w:r>
        <w:rPr>
          <w:rFonts w:ascii="Times New Roman" w:hAnsi="Times New Roman"/>
          <w:color w:val="000000"/>
          <w:sz w:val="20"/>
        </w:rPr>
        <w:t xml:space="preserve">Our significant accounting policies are described in more detail in </w:t>
      </w:r>
      <w:hyperlink w:anchor="fn2_summary_of_accounting_policies">
        <w:r>
          <w:rPr>
            <w:rStyle w:val="InternetLink"/>
            <w:rFonts w:ascii="Times New Roman" w:hAnsi="Times New Roman"/>
            <w:color w:val="0000FF"/>
            <w:sz w:val="20"/>
            <w:u w:val="single"/>
          </w:rPr>
          <w:t>Note 2</w:t>
        </w:r>
      </w:hyperlink>
      <w:r>
        <w:rPr>
          <w:rFonts w:ascii="Times New Roman" w:hAnsi="Times New Roman"/>
          <w:color w:val="000000"/>
          <w:sz w:val="20"/>
        </w:rPr>
        <w:t xml:space="preserve"> to the consolidated financial statements contained in Part II, Item 8 of this Annual Report on Form 10-K. We believe the following discussion addresses our most critical accounting estimates used in the preparation of our consolidated financial statements, which require subjective and complex judgments.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review the carrying amounts of our long-lived assets for impairment whenever events or changes in circumstances indicate that the carrying amount of an asset (or asset group) may not be recoverable. If indicators of impairment exist, an impairment loss would be recognized when the estimated undiscounted future cash flows expected to result from the use of the asset and its eventual disposition are less than its carrying amount. The impairment charge is determined based upon the excess of the carrying value of the asset over its estimated fair value, with estimated fair value determined based upon an estimate of discounted future cash flows or other appropriate measures of estimated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we assessed the recoverability of the long-lived assets relating to our long-lived assets We considered many factors in evaluating whether the value of our long-lived assets may not be recoverable, including, but not limited to, alternative use, cost-savings and strategic considerations. As a result, we did not identify any impairment losses as of December 31, 2025. In 2024, we considered many factors in evaluating whether the value of its construction-in-progress property and equipment may not be recoverable, including, but not limited to, alternative use, cost-savings and strategic considerations. As a result, we determined the carrying amount of the construction-in-progress property and equipment exceeded its fair value, and was written down to its salvage value. Therefore, an impairment loss of $3.7 million was recognized as of December 31, 2024, related to construction-in-progress property and equipment.</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Standards</w:t>
      </w:r>
      <w:r>
        <w:rPr>
          <w:rFonts w:ascii="Times New Roman" w:hAnsi="Times New Roman"/>
          <w:color w:val="000000"/>
          <w:sz w:val="20"/>
        </w:rPr>
        <w:t xml:space="preserve"> </w:t>
      </w:r>
    </w:p>
    <w:p>
      <w:pPr>
        <w:pStyle w:val="TextBody"/>
        <w:bidi w:val="0"/>
        <w:spacing w:before="240" w:after="283"/>
        <w:jc w:val="left"/>
        <w:rPr/>
      </w:pPr>
      <w:r>
        <w:rPr>
          <w:rFonts w:ascii="Times New Roman" w:hAnsi="Times New Roman"/>
          <w:color w:val="000000"/>
          <w:sz w:val="20"/>
        </w:rPr>
        <w:t xml:space="preserve">See </w:t>
      </w:r>
      <w:hyperlink w:anchor="fn2_summary_of_accounting_policies">
        <w:r>
          <w:rPr>
            <w:rStyle w:val="InternetLink"/>
            <w:rFonts w:ascii="Times New Roman" w:hAnsi="Times New Roman"/>
            <w:color w:val="0000FF"/>
            <w:sz w:val="20"/>
            <w:u w:val="single"/>
          </w:rPr>
          <w:t>Note 2</w:t>
        </w:r>
      </w:hyperlink>
      <w:r>
        <w:rPr>
          <w:rFonts w:ascii="Times New Roman" w:hAnsi="Times New Roman"/>
          <w:color w:val="000000"/>
          <w:sz w:val="20"/>
        </w:rPr>
        <w:t xml:space="preserve"> to the consolidated financial statements contained in Part II, Item 8 of this Annual Report on Form 10-K for additional information.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JOBS Act Accounting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remain an emerging growth company until the earliest of (1) December 31, 2026 (the last day of the fiscal year following the fifth anniversary of the closing of our initial public offering), (2) the last day of the fiscal year in which we have total annual gross revenue of at least $1.235 billion, (3) the last day of the fiscal year in which we are deemed to be a “large accelerated filer” as defined in Rule 12b-2 under the Securities Exchange Act of 1934, as amended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pStyle w:val="TextBody"/>
        <w:bidi w:val="0"/>
        <w:spacing w:before="240" w:after="283"/>
        <w:jc w:val="left"/>
        <w:rPr>
          <w:rFonts w:ascii="Times New Roman" w:hAnsi="Times New Roman"/>
          <w:b/>
          <w:color w:val="000000"/>
          <w:sz w:val="20"/>
        </w:rPr>
      </w:pPr>
      <w:bookmarkStart w:id="13" w:name="item_7a"/>
      <w:bookmarkEnd w:id="13"/>
      <w:r>
        <w:rPr>
          <w:rFonts w:ascii="Times New Roman" w:hAnsi="Times New Roman"/>
          <w:b/>
          <w:color w:val="000000"/>
          <w:sz w:val="20"/>
        </w:rPr>
        <w:t>Item 7A.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4" w:name="item_8_financial_statements"/>
      <w:bookmarkEnd w:id="14"/>
      <w:r>
        <w:rPr>
          <w:rFonts w:ascii="Times New Roman" w:hAnsi="Times New Roman"/>
          <w:b/>
          <w:color w:val="000000"/>
          <w:sz w:val="20"/>
        </w:rPr>
        <w:t>Item 8. Financial Statements and Supplementary Data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8207" w:type="dxa"/>
        <w:jc w:val="left"/>
        <w:tblInd w:w="0" w:type="dxa"/>
        <w:tblLayout w:type="fixed"/>
        <w:tblCellMar>
          <w:top w:w="28" w:type="dxa"/>
          <w:left w:w="28" w:type="dxa"/>
          <w:bottom w:w="28" w:type="dxa"/>
          <w:right w:w="28" w:type="dxa"/>
        </w:tblCellMar>
      </w:tblPr>
      <w:tblGrid>
        <w:gridCol w:w="7741"/>
        <w:gridCol w:w="466"/>
      </w:tblGrid>
      <w:tr>
        <w:trPr/>
        <w:tc>
          <w:tcPr>
            <w:tcW w:w="77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77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dit_report_cbiz">
              <w:r>
                <w:rPr>
                  <w:rStyle w:val="InternetLink"/>
                  <w:rFonts w:ascii="Times New Roman" w:hAnsi="Times New Roman"/>
                  <w:color w:val="0000FF"/>
                  <w:sz w:val="20"/>
                  <w:u w:val="single"/>
                </w:rPr>
                <w:t>Report of CBIZ CPAs P.C., Independent Registered Public Accounting Firm (PCAOB ID: 199)</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r>
      <w:tr>
        <w:trPr/>
        <w:tc>
          <w:tcPr>
            <w:tcW w:w="77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dit_report">
              <w:r>
                <w:rPr>
                  <w:rStyle w:val="InternetLink"/>
                  <w:rFonts w:ascii="Times New Roman" w:hAnsi="Times New Roman"/>
                  <w:color w:val="0000FF"/>
                  <w:sz w:val="20"/>
                  <w:u w:val="single"/>
                </w:rPr>
                <w:t>Report of Marcum LLP, Independent Registered Public Accounting Firm (PCAOB ID:688)</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r>
        <w:trPr/>
        <w:tc>
          <w:tcPr>
            <w:tcW w:w="77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
              <w:r>
                <w:rPr>
                  <w:rStyle w:val="InternetLink"/>
                  <w:rFonts w:ascii="Times New Roman" w:hAnsi="Times New Roman"/>
                  <w:color w:val="0000FF"/>
                  <w:sz w:val="20"/>
                  <w:u w:val="single"/>
                </w:rPr>
                <w:t>Consolidated Balance Sheets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r>
      <w:tr>
        <w:trPr/>
        <w:tc>
          <w:tcPr>
            <w:tcW w:w="77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mt_operations_and_comprehensive_loss">
              <w:r>
                <w:rPr>
                  <w:rStyle w:val="InternetLink"/>
                  <w:rFonts w:ascii="Times New Roman" w:hAnsi="Times New Roman"/>
                  <w:color w:val="0000FF"/>
                  <w:sz w:val="20"/>
                  <w:u w:val="single"/>
                </w:rPr>
                <w:t>Consolidated Statements of Operations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77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omprehensive_loss">
              <w:r>
                <w:rPr>
                  <w:rStyle w:val="InternetLink"/>
                  <w:rFonts w:ascii="Times New Roman" w:hAnsi="Times New Roman"/>
                  <w:color w:val="0000FF"/>
                  <w:sz w:val="20"/>
                  <w:u w:val="single"/>
                </w:rPr>
                <w:t>Consolidated Statements of Comprehensive Loss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77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Times New Roman" w:hAnsi="Times New Roman"/>
                  <w:color w:val="0000FF"/>
                  <w:sz w:val="20"/>
                  <w:u w:val="single"/>
                </w:rPr>
                <w:t>Consolidated Statements of Changes in Stockholders’ Equity</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r>
      <w:tr>
        <w:trPr/>
        <w:tc>
          <w:tcPr>
            <w:tcW w:w="77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Consolidated Statements of Cash Flows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77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n1_organization_and_nature_of_business">
              <w:r>
                <w:rPr>
                  <w:rStyle w:val="InternetLink"/>
                  <w:rFonts w:ascii="Times New Roman" w:hAnsi="Times New Roman"/>
                  <w:color w:val="0000FF"/>
                  <w:sz w:val="20"/>
                  <w:u w:val="single"/>
                </w:rPr>
                <w:t>Notes to the Consolidated Financial Statements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r>
    </w:tbl>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15" w:name="audit_report_cbiz"/>
      <w:bookmarkEnd w:id="15"/>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Stockholders and Board of Directors of </w:t>
      </w:r>
    </w:p>
    <w:p>
      <w:pPr>
        <w:pStyle w:val="TextBody"/>
        <w:bidi w:val="0"/>
        <w:jc w:val="left"/>
        <w:rPr>
          <w:rFonts w:ascii="Times New Roman" w:hAnsi="Times New Roman"/>
          <w:color w:val="000000"/>
          <w:sz w:val="20"/>
        </w:rPr>
      </w:pPr>
      <w:r>
        <w:rPr>
          <w:rFonts w:ascii="Times New Roman" w:hAnsi="Times New Roman"/>
          <w:color w:val="000000"/>
          <w:sz w:val="20"/>
        </w:rPr>
        <w:t xml:space="preserve">Rani Therapeutics Holdings, Inc.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audited the accompanying consolidated balance sheet of Rani Therapeutics Holdings, Inc. (the </w:t>
      </w:r>
    </w:p>
    <w:p>
      <w:pPr>
        <w:pStyle w:val="TextBody"/>
        <w:bidi w:val="0"/>
        <w:jc w:val="left"/>
        <w:rPr/>
      </w:pPr>
      <w:r>
        <w:rPr>
          <w:color w:val="000000"/>
        </w:rPr>
        <w:t>“</w:t>
      </w:r>
      <w:r>
        <w:rPr>
          <w:rFonts w:ascii="Times New Roman" w:hAnsi="Times New Roman"/>
          <w:color w:val="000000"/>
          <w:sz w:val="20"/>
        </w:rPr>
        <w:t xml:space="preserve">Company”) as of December 31, 2025, the related consolidated statements of operations, comprehensive loss, </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stockholders’ equity and cash flows for the year ended December 31, 2025, and the related notes </w:t>
      </w:r>
    </w:p>
    <w:p>
      <w:pPr>
        <w:pStyle w:val="TextBody"/>
        <w:bidi w:val="0"/>
        <w:jc w:val="left"/>
        <w:rPr>
          <w:rFonts w:ascii="Times New Roman" w:hAnsi="Times New Roman"/>
          <w:color w:val="000000"/>
          <w:sz w:val="20"/>
        </w:rPr>
      </w:pPr>
      <w:r>
        <w:rPr>
          <w:rFonts w:ascii="Times New Roman" w:hAnsi="Times New Roman"/>
          <w:color w:val="000000"/>
          <w:sz w:val="20"/>
        </w:rPr>
        <w:t xml:space="preserve">(collectively referred to as the “financial statements”). In our opinion, the financial statements present fairly, in all </w:t>
      </w:r>
    </w:p>
    <w:p>
      <w:pPr>
        <w:pStyle w:val="TextBody"/>
        <w:bidi w:val="0"/>
        <w:jc w:val="left"/>
        <w:rPr>
          <w:rFonts w:ascii="Times New Roman" w:hAnsi="Times New Roman"/>
          <w:color w:val="000000"/>
          <w:sz w:val="20"/>
        </w:rPr>
      </w:pPr>
      <w:r>
        <w:rPr>
          <w:rFonts w:ascii="Times New Roman" w:hAnsi="Times New Roman"/>
          <w:color w:val="000000"/>
          <w:sz w:val="20"/>
        </w:rPr>
        <w:t xml:space="preserve">material respects, the financial position of the Company as of December 31, 2025, and the results of its operations </w:t>
      </w:r>
    </w:p>
    <w:p>
      <w:pPr>
        <w:pStyle w:val="TextBody"/>
        <w:bidi w:val="0"/>
        <w:jc w:val="left"/>
        <w:rPr>
          <w:rFonts w:ascii="Times New Roman" w:hAnsi="Times New Roman"/>
          <w:color w:val="000000"/>
          <w:sz w:val="20"/>
        </w:rPr>
      </w:pPr>
      <w:r>
        <w:rPr>
          <w:rFonts w:ascii="Times New Roman" w:hAnsi="Times New Roman"/>
          <w:color w:val="000000"/>
          <w:sz w:val="20"/>
        </w:rPr>
        <w:t xml:space="preserve">and its cash flows for the year ended December 31, 2025, in conformity with accounting principles generally </w:t>
      </w:r>
    </w:p>
    <w:p>
      <w:pPr>
        <w:pStyle w:val="TextBody"/>
        <w:bidi w:val="0"/>
        <w:jc w:val="left"/>
        <w:rPr>
          <w:rFonts w:ascii="Times New Roman" w:hAnsi="Times New Roman"/>
          <w:color w:val="000000"/>
          <w:sz w:val="20"/>
        </w:rPr>
      </w:pPr>
      <w:r>
        <w:rPr>
          <w:rFonts w:ascii="Times New Roman" w:hAnsi="Times New Roman"/>
          <w:color w:val="000000"/>
          <w:sz w:val="20"/>
        </w:rPr>
        <w:t xml:space="preserve">accepted in the United States of America.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w:t>
      </w:r>
    </w:p>
    <w:p>
      <w:pPr>
        <w:pStyle w:val="TextBody"/>
        <w:bidi w:val="0"/>
        <w:jc w:val="left"/>
        <w:rPr>
          <w:rFonts w:ascii="Times New Roman" w:hAnsi="Times New Roman"/>
          <w:color w:val="000000"/>
          <w:sz w:val="20"/>
        </w:rPr>
      </w:pPr>
      <w:r>
        <w:rPr>
          <w:rFonts w:ascii="Times New Roman" w:hAnsi="Times New Roman"/>
          <w:color w:val="000000"/>
          <w:sz w:val="20"/>
        </w:rPr>
        <w:t xml:space="preserve">opinion on the Company's financial statements based on our audit. We are a public accounting firm registered with </w:t>
      </w:r>
    </w:p>
    <w:p>
      <w:pPr>
        <w:pStyle w:val="TextBody"/>
        <w:bidi w:val="0"/>
        <w:jc w:val="left"/>
        <w:rPr>
          <w:rFonts w:ascii="Times New Roman" w:hAnsi="Times New Roman"/>
          <w:color w:val="000000"/>
          <w:sz w:val="20"/>
        </w:rPr>
      </w:pPr>
      <w:r>
        <w:rPr>
          <w:rFonts w:ascii="Times New Roman" w:hAnsi="Times New Roman"/>
          <w:color w:val="000000"/>
          <w:sz w:val="20"/>
        </w:rPr>
        <w:t xml:space="preserve">the Public Company Accounting Oversight Board (United States) ("PCAOB") and are required to be independent </w:t>
      </w:r>
    </w:p>
    <w:p>
      <w:pPr>
        <w:pStyle w:val="TextBody"/>
        <w:bidi w:val="0"/>
        <w:jc w:val="left"/>
        <w:rPr>
          <w:rFonts w:ascii="Times New Roman" w:hAnsi="Times New Roman"/>
          <w:color w:val="000000"/>
          <w:sz w:val="20"/>
        </w:rPr>
      </w:pPr>
      <w:r>
        <w:rPr>
          <w:rFonts w:ascii="Times New Roman" w:hAnsi="Times New Roman"/>
          <w:color w:val="000000"/>
          <w:sz w:val="20"/>
        </w:rPr>
        <w:t xml:space="preserve">with respect to the Company in accordance with the U.S. federal securities laws and the applicable rules and </w:t>
      </w:r>
    </w:p>
    <w:p>
      <w:pPr>
        <w:pStyle w:val="TextBody"/>
        <w:bidi w:val="0"/>
        <w:jc w:val="left"/>
        <w:rPr>
          <w:rFonts w:ascii="Times New Roman" w:hAnsi="Times New Roman"/>
          <w:color w:val="000000"/>
          <w:sz w:val="20"/>
        </w:rPr>
      </w:pPr>
      <w:r>
        <w:rPr>
          <w:rFonts w:ascii="Times New Roman" w:hAnsi="Times New Roman"/>
          <w:color w:val="000000"/>
          <w:sz w:val="20"/>
        </w:rPr>
        <w:t xml:space="preserve">regulations of the Securities and Exchange Commission and the PCAOB.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conducted our audit in accordance with the standards of the PCAOB. Those standards require that we plan and </w:t>
      </w:r>
    </w:p>
    <w:p>
      <w:pPr>
        <w:pStyle w:val="TextBody"/>
        <w:bidi w:val="0"/>
        <w:jc w:val="left"/>
        <w:rPr>
          <w:rFonts w:ascii="Times New Roman" w:hAnsi="Times New Roman"/>
          <w:color w:val="000000"/>
          <w:sz w:val="20"/>
        </w:rPr>
      </w:pPr>
      <w:r>
        <w:rPr>
          <w:rFonts w:ascii="Times New Roman" w:hAnsi="Times New Roman"/>
          <w:color w:val="000000"/>
          <w:sz w:val="20"/>
        </w:rPr>
        <w:t xml:space="preserve">perform the audit to obtain reasonable assurance about whether the financial statements are free of material </w:t>
      </w:r>
    </w:p>
    <w:p>
      <w:pPr>
        <w:pStyle w:val="TextBody"/>
        <w:bidi w:val="0"/>
        <w:jc w:val="left"/>
        <w:rPr>
          <w:rFonts w:ascii="Times New Roman" w:hAnsi="Times New Roman"/>
          <w:color w:val="000000"/>
          <w:sz w:val="20"/>
        </w:rPr>
      </w:pPr>
      <w:r>
        <w:rPr>
          <w:rFonts w:ascii="Times New Roman" w:hAnsi="Times New Roman"/>
          <w:color w:val="000000"/>
          <w:sz w:val="20"/>
        </w:rPr>
        <w:t xml:space="preserve">misstatement, whether due to error or fraud. The Company is not required to have, nor were we engaged to perform, </w:t>
      </w:r>
    </w:p>
    <w:p>
      <w:pPr>
        <w:pStyle w:val="TextBody"/>
        <w:bidi w:val="0"/>
        <w:jc w:val="left"/>
        <w:rPr>
          <w:rFonts w:ascii="Times New Roman" w:hAnsi="Times New Roman"/>
          <w:color w:val="000000"/>
          <w:sz w:val="20"/>
        </w:rPr>
      </w:pPr>
      <w:r>
        <w:rPr>
          <w:rFonts w:ascii="Times New Roman" w:hAnsi="Times New Roman"/>
          <w:color w:val="000000"/>
          <w:sz w:val="20"/>
        </w:rPr>
        <w:t xml:space="preserve">an audit of its internal control over financial reporting. As part of our audit we are required to obtain an </w:t>
      </w:r>
    </w:p>
    <w:p>
      <w:pPr>
        <w:pStyle w:val="TextBody"/>
        <w:bidi w:val="0"/>
        <w:jc w:val="left"/>
        <w:rPr>
          <w:rFonts w:ascii="Times New Roman" w:hAnsi="Times New Roman"/>
          <w:color w:val="000000"/>
          <w:sz w:val="20"/>
        </w:rPr>
      </w:pPr>
      <w:r>
        <w:rPr>
          <w:rFonts w:ascii="Times New Roman" w:hAnsi="Times New Roman"/>
          <w:color w:val="000000"/>
          <w:sz w:val="20"/>
        </w:rPr>
        <w:t xml:space="preserve">understanding of internal control over financial reporting but not for the purpose of expressing an opinion on the </w:t>
      </w:r>
    </w:p>
    <w:p>
      <w:pPr>
        <w:pStyle w:val="TextBody"/>
        <w:bidi w:val="0"/>
        <w:jc w:val="left"/>
        <w:rPr>
          <w:rFonts w:ascii="Times New Roman" w:hAnsi="Times New Roman"/>
          <w:color w:val="000000"/>
          <w:sz w:val="20"/>
        </w:rPr>
      </w:pPr>
      <w:r>
        <w:rPr>
          <w:rFonts w:ascii="Times New Roman" w:hAnsi="Times New Roman"/>
          <w:color w:val="000000"/>
          <w:sz w:val="20"/>
        </w:rPr>
        <w:t xml:space="preserve">effectiveness of the Company's internal control over financial reporting. Accordingly, we express no such opinion.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audit included performing procedures to assess the risks of material misstatement of the financial statements, </w:t>
      </w:r>
    </w:p>
    <w:p>
      <w:pPr>
        <w:pStyle w:val="TextBody"/>
        <w:bidi w:val="0"/>
        <w:jc w:val="left"/>
        <w:rPr>
          <w:rFonts w:ascii="Times New Roman" w:hAnsi="Times New Roman"/>
          <w:color w:val="000000"/>
          <w:sz w:val="20"/>
        </w:rPr>
      </w:pPr>
      <w:r>
        <w:rPr>
          <w:rFonts w:ascii="Times New Roman" w:hAnsi="Times New Roman"/>
          <w:color w:val="000000"/>
          <w:sz w:val="20"/>
        </w:rPr>
        <w:t xml:space="preserve">whether due to error or fraud, and performing procedures that respond to those risks. Such procedures included </w:t>
      </w:r>
    </w:p>
    <w:p>
      <w:pPr>
        <w:pStyle w:val="TextBody"/>
        <w:bidi w:val="0"/>
        <w:jc w:val="left"/>
        <w:rPr>
          <w:rFonts w:ascii="Times New Roman" w:hAnsi="Times New Roman"/>
          <w:color w:val="000000"/>
          <w:sz w:val="20"/>
        </w:rPr>
      </w:pPr>
      <w:r>
        <w:rPr>
          <w:rFonts w:ascii="Times New Roman" w:hAnsi="Times New Roman"/>
          <w:color w:val="000000"/>
          <w:sz w:val="20"/>
        </w:rPr>
        <w:t xml:space="preserve">examining, on a test basis, evidence regarding the amounts and disclosures in the financial statements. Our audit </w:t>
      </w:r>
    </w:p>
    <w:p>
      <w:pPr>
        <w:pStyle w:val="TextBody"/>
        <w:bidi w:val="0"/>
        <w:jc w:val="left"/>
        <w:rPr>
          <w:rFonts w:ascii="Times New Roman" w:hAnsi="Times New Roman"/>
          <w:color w:val="000000"/>
          <w:sz w:val="20"/>
        </w:rPr>
      </w:pPr>
      <w:r>
        <w:rPr>
          <w:rFonts w:ascii="Times New Roman" w:hAnsi="Times New Roman"/>
          <w:color w:val="000000"/>
          <w:sz w:val="20"/>
        </w:rPr>
        <w:t xml:space="preserve">also included evaluating the accounting principles used and significant estimates made by management, as well as </w:t>
      </w:r>
    </w:p>
    <w:p>
      <w:pPr>
        <w:pStyle w:val="TextBody"/>
        <w:bidi w:val="0"/>
        <w:jc w:val="left"/>
        <w:rPr>
          <w:rFonts w:ascii="Times New Roman" w:hAnsi="Times New Roman"/>
          <w:color w:val="000000"/>
          <w:sz w:val="20"/>
        </w:rPr>
      </w:pPr>
      <w:r>
        <w:rPr>
          <w:rFonts w:ascii="Times New Roman" w:hAnsi="Times New Roman"/>
          <w:color w:val="000000"/>
          <w:sz w:val="20"/>
        </w:rPr>
        <w:t xml:space="preserve">evaluating the overall presentation of the financial statements. We believe that our audit provides a reasonable basis </w:t>
      </w:r>
    </w:p>
    <w:p>
      <w:pPr>
        <w:pStyle w:val="TextBody"/>
        <w:bidi w:val="0"/>
        <w:jc w:val="left"/>
        <w:rPr>
          <w:rFonts w:ascii="Times New Roman" w:hAnsi="Times New Roman"/>
          <w:color w:val="000000"/>
          <w:sz w:val="20"/>
        </w:rPr>
      </w:pPr>
      <w:r>
        <w:rPr>
          <w:rFonts w:ascii="Times New Roman" w:hAnsi="Times New Roman"/>
          <w:color w:val="000000"/>
          <w:sz w:val="20"/>
        </w:rPr>
        <w:t>for our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CBIZ CPAS P.C.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CBIZ CPAs P.C.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served as the Company’s auditor since 2024 (such date takes into account the acquisition of the attest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of Marcum LLP by CBIZ CPAs P.C. effective November 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San Francisco, California </w:t>
      </w:r>
    </w:p>
    <w:p>
      <w:pPr>
        <w:pStyle w:val="TextBody"/>
        <w:bidi w:val="0"/>
        <w:jc w:val="left"/>
        <w:rPr>
          <w:rFonts w:ascii="Times New Roman" w:hAnsi="Times New Roman"/>
          <w:color w:val="000000"/>
          <w:sz w:val="20"/>
        </w:rPr>
      </w:pPr>
      <w:r>
        <w:rPr>
          <w:rFonts w:ascii="Times New Roman" w:hAnsi="Times New Roman"/>
          <w:color w:val="000000"/>
          <w:sz w:val="20"/>
        </w:rPr>
        <w:t xml:space="preserve">March 26, 2026 </w:t>
      </w:r>
    </w:p>
    <w:p>
      <w:pPr>
        <w:pStyle w:val="TextBody"/>
        <w:bidi w:val="0"/>
        <w:jc w:val="left"/>
        <w:rPr/>
      </w:pPr>
      <w:r>
        <w:rPr/>
        <w:t> </w:t>
      </w:r>
    </w:p>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bookmarkStart w:id="16" w:name="audit_report"/>
      <w:bookmarkEnd w:id="16"/>
      <w:r>
        <w:rPr>
          <w:rFonts w:ascii="Times New Roman" w:hAnsi="Times New Roman"/>
          <w:b/>
          <w:color w:val="000000"/>
          <w:sz w:val="20"/>
        </w:rPr>
        <w:t>Report of Independent Registered Public Accounting Firm</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Shareholders and Board of Directors of</w:t>
      </w:r>
    </w:p>
    <w:p>
      <w:pPr>
        <w:pStyle w:val="TextBody"/>
        <w:bidi w:val="0"/>
        <w:jc w:val="left"/>
        <w:rPr>
          <w:rFonts w:ascii="Times New Roman" w:hAnsi="Times New Roman"/>
          <w:color w:val="000000"/>
          <w:sz w:val="20"/>
        </w:rPr>
      </w:pPr>
      <w:r>
        <w:rPr>
          <w:rFonts w:ascii="Times New Roman" w:hAnsi="Times New Roman"/>
          <w:color w:val="000000"/>
          <w:sz w:val="20"/>
        </w:rPr>
        <w:t>Rani Therapeutics Holdings, Inc.</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audited the accompanying consolidated balance sheet of Rani Therapeutics Holdings, Inc. (the “Company”) as of December 31, 2024, the related consolidated statements of operations, comprehensive loss, changes in stockholders’ equity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Explanatory Paragraph – Going Concern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financial statements have been prepared assuming that the Company will continue as a going concern. As more fully described in Note 1, the Company has incurred recurring losses from operations, negative cash flows from operating activities,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Marcum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Marcum LLP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have served as the Company’s auditor from 2024 through 2025</w:t>
      </w:r>
      <w:r>
        <w:rPr>
          <w:rFonts w:ascii="Times New Roman" w:hAnsi="Times New Roman"/>
          <w:b/>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jc w:val="left"/>
        <w:rPr>
          <w:rFonts w:ascii="Times New Roman" w:hAnsi="Times New Roman"/>
          <w:color w:val="000000"/>
          <w:sz w:val="20"/>
        </w:rPr>
      </w:pPr>
      <w:r>
        <w:rPr>
          <w:rFonts w:ascii="Times New Roman" w:hAnsi="Times New Roman"/>
          <w:color w:val="000000"/>
          <w:sz w:val="20"/>
        </w:rPr>
        <w:t>March 31,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17" w:name="consolidated_balance_sheet"/>
      <w:bookmarkEnd w:id="17"/>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par value)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2"/>
        <w:gridCol w:w="146"/>
        <w:gridCol w:w="211"/>
        <w:gridCol w:w="841"/>
        <w:gridCol w:w="166"/>
        <w:gridCol w:w="146"/>
        <w:gridCol w:w="211"/>
        <w:gridCol w:w="841"/>
        <w:gridCol w:w="591"/>
      </w:tblGrid>
      <w:tr>
        <w:trPr/>
        <w:tc>
          <w:tcPr>
            <w:tcW w:w="7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- 20,000 shares authorized; none issued and outstanding as of December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$0.0001 par value - 800,000 shares authorized; 97,622 and 33,430 issued and outstanding as of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 $0.0001 par value - 40,000 shares authorized; 23,970 and 23,972 issued and outstanding as of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 common stock, $0.0001 par value - 20,000 shares authorized; none issued and outstanding as of December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aps/>
          <w:color w:val="000000"/>
          <w:sz w:val="20"/>
        </w:rPr>
      </w:pPr>
      <w:bookmarkStart w:id="18" w:name="stmt_operations_and_comprehensive_loss"/>
      <w:bookmarkEnd w:id="18"/>
      <w:r>
        <w:rPr>
          <w:rFonts w:ascii="Times New Roman" w:hAnsi="Times New Roman"/>
          <w:b/>
          <w:caps/>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2"/>
        <w:gridCol w:w="146"/>
        <w:gridCol w:w="211"/>
        <w:gridCol w:w="736"/>
        <w:gridCol w:w="166"/>
        <w:gridCol w:w="146"/>
        <w:gridCol w:w="211"/>
        <w:gridCol w:w="736"/>
        <w:gridCol w:w="791"/>
      </w:tblGrid>
      <w:tr>
        <w:trPr/>
        <w:tc>
          <w:tcPr>
            <w:tcW w:w="7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(53,314</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(56,584</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Class A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19" w:name="statements_of_comprehensive_loss"/>
      <w:bookmarkEnd w:id="19"/>
      <w:r>
        <w:rPr>
          <w:rFonts w:ascii="Times New Roman" w:hAnsi="Times New Roman"/>
          <w:b/>
          <w:caps/>
          <w:color w:val="000000"/>
          <w:sz w:val="20"/>
        </w:rPr>
        <w:t>Consolidated Statements of Comprehensive Loss</w:t>
      </w:r>
      <w:r>
        <w:rPr>
          <w:rFonts w:ascii="Times New Roman" w:hAnsi="Times New Roman"/>
          <w:caps/>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8334" w:type="dxa"/>
        <w:jc w:val="left"/>
        <w:tblInd w:w="0" w:type="dxa"/>
        <w:tblLayout w:type="fixed"/>
        <w:tblCellMar>
          <w:top w:w="28" w:type="dxa"/>
          <w:left w:w="28" w:type="dxa"/>
          <w:bottom w:w="28" w:type="dxa"/>
          <w:right w:w="28" w:type="dxa"/>
        </w:tblCellMar>
      </w:tblPr>
      <w:tblGrid>
        <w:gridCol w:w="5671"/>
        <w:gridCol w:w="146"/>
        <w:gridCol w:w="211"/>
        <w:gridCol w:w="736"/>
        <w:gridCol w:w="166"/>
        <w:gridCol w:w="146"/>
        <w:gridCol w:w="211"/>
        <w:gridCol w:w="736"/>
        <w:gridCol w:w="31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unrealized (loss)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Comprehensive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aps/>
          <w:color w:val="000000"/>
          <w:sz w:val="20"/>
        </w:rPr>
      </w:pPr>
      <w:bookmarkStart w:id="20" w:name="stockholders_equity"/>
      <w:bookmarkEnd w:id="20"/>
      <w:r>
        <w:rPr>
          <w:rFonts w:ascii="Times New Roman" w:hAnsi="Times New Roman"/>
          <w:b/>
          <w:caps/>
          <w:color w:val="000000"/>
          <w:sz w:val="20"/>
        </w:rPr>
        <w:t>Consolidated Statements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1076" w:type="dxa"/>
        <w:jc w:val="left"/>
        <w:tblInd w:w="0" w:type="dxa"/>
        <w:tblLayout w:type="fixed"/>
        <w:tblCellMar>
          <w:top w:w="28" w:type="dxa"/>
          <w:left w:w="28" w:type="dxa"/>
          <w:bottom w:w="28" w:type="dxa"/>
          <w:right w:w="28" w:type="dxa"/>
        </w:tblCellMar>
      </w:tblPr>
      <w:tblGrid>
        <w:gridCol w:w="1231"/>
        <w:gridCol w:w="146"/>
        <w:gridCol w:w="146"/>
        <w:gridCol w:w="511"/>
        <w:gridCol w:w="146"/>
        <w:gridCol w:w="146"/>
        <w:gridCol w:w="196"/>
        <w:gridCol w:w="375"/>
        <w:gridCol w:w="146"/>
        <w:gridCol w:w="146"/>
        <w:gridCol w:w="146"/>
        <w:gridCol w:w="511"/>
        <w:gridCol w:w="151"/>
        <w:gridCol w:w="146"/>
        <w:gridCol w:w="196"/>
        <w:gridCol w:w="375"/>
        <w:gridCol w:w="146"/>
        <w:gridCol w:w="146"/>
        <w:gridCol w:w="181"/>
        <w:gridCol w:w="586"/>
        <w:gridCol w:w="151"/>
        <w:gridCol w:w="146"/>
        <w:gridCol w:w="350"/>
        <w:gridCol w:w="671"/>
        <w:gridCol w:w="151"/>
        <w:gridCol w:w="146"/>
        <w:gridCol w:w="194"/>
        <w:gridCol w:w="677"/>
        <w:gridCol w:w="151"/>
        <w:gridCol w:w="146"/>
        <w:gridCol w:w="269"/>
        <w:gridCol w:w="827"/>
        <w:gridCol w:w="151"/>
        <w:gridCol w:w="146"/>
        <w:gridCol w:w="228"/>
        <w:gridCol w:w="703"/>
        <w:gridCol w:w="196"/>
      </w:tblGrid>
      <w:tr>
        <w:trPr/>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 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 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 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85,762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(72,889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in connection with the October Securities Purchase Agreement, net of issuance costs of $621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pre-funded warrants issued in connection with the October Securities Purchase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in connection with the July Securities Purchase Agreement, net of issuance costs of $1,117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pre-funded warrants issued in connection with the July Securities Purchase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under employee equity plans, net of shares withheld for tax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Effect of exchanges of Paired Interests and non-corresponding Class A Units of Rani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Non-controlling interest adjustment for changes in proportionate ownership in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(56,584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23,972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104,889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(102,907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warrants issued in connection with the July 2024 and October 2024 Securities Purchase Agreement, net of issuance costs of $408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and pre-funded warrants in connection with the July 2025 Securities Purchase Agreement, net of issuance costs of $189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warrants, and pre-funded warrants in connection with the Private Placement, net of issuance costs of $4,467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55,784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55,788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Effect of exchanges of Paired Interests and non-corresponding Class A Units of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 issued for services provided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 modification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pre-funded warrants in connection with the Letter Agreement (the Abeyance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Series D warrants in connection with the Letter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under employee equity plans, net of shares withheld for tax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Non-controlling interest adjustment for changes in proportionate ownership in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97,622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165,578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(132,580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41,512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21" w:name="cash_flows"/>
      <w:bookmarkEnd w:id="21"/>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22"/>
        <w:gridCol w:w="146"/>
        <w:gridCol w:w="196"/>
        <w:gridCol w:w="661"/>
        <w:gridCol w:w="166"/>
        <w:gridCol w:w="146"/>
        <w:gridCol w:w="196"/>
        <w:gridCol w:w="661"/>
        <w:gridCol w:w="811"/>
      </w:tblGrid>
      <w:tr>
        <w:trPr/>
        <w:tc>
          <w:tcPr>
            <w:tcW w:w="7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(56,584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accretion and amortization of investments in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 issued for services provided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Modification expense related to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Contract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(35,496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77,550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(57,473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19,809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warrants issued in connection with the July 2024 and October 2024 Securities Purchase Agreement, net of issuance costs of $408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 and pre-funded warrants in connection with the October 2024 Securities Purchase Agreement, net of issuance costs of $621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 and pre-funded warrants in connection with the July 2025 Securities Purchase Agreement, net of issuance costs of $189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 and pre-funded warrants in connection with the July 2024 Securities Purchase Agreement, net of issuance costs of $1,117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 in connection with the Private Placement, net of issuance costs of $4,467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Series 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withholdings paid on behalf of employees for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13,585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increase (decrease) in cash,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4,262</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corporate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Exchanges of Paired Interests and non-corresponding Class A Units of Rani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Remeasurement of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 receivable included in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debt principal into common stock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br/>
        <w:t>The accompanying notes are an integral part of these consolidated financial statements.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r>
        <w:rPr>
          <w:rFonts w:ascii="Times New Roman" w:hAnsi="Times New Roman"/>
          <w:b/>
          <w:caps/>
          <w:color w:val="000000"/>
          <w:sz w:val="20"/>
        </w:rPr>
        <w:t>Notes to THE Consolidated Financial Statements</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bookmarkStart w:id="22" w:name="fn1_organization_and_nature_of_business"/>
      <w:bookmarkEnd w:id="22"/>
      <w:r>
        <w:rPr>
          <w:rFonts w:ascii="Times New Roman" w:hAnsi="Times New Roman"/>
          <w:b/>
          <w:color w:val="000000"/>
          <w:sz w:val="20"/>
        </w:rPr>
        <w:t>1. Nature of Business, Organization and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Rani Therapeutics Holdings, Inc. (“Rani Holdings”, and together with its consolidated subsidiary, the “Company”) is a clinical-stage biotherapeutics company focusing on advancing technologies to enable the administration of biologics and drugs orally, to provide patients, physicians, and healthcare systems with a convenient alternative to painful injections. The Company’s technology comprises a drug-agnostic oral delivery platform, the RaniPill capsule, which is designed to deliver a wide variety of drug substances, including antibodies, proteins, peptides, and oligonucleotides. The Company is advancing a portfolio of oral therapeutics using the RaniPill capsule. The Company is headquartered in San Jose, California and operates in one segment.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Organizational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Rani Holdings was formed as a Delaware corporation in April 2021 for the purpose of facilitating an initial public offering (“IPO”) of its Class A common stock. In connection with the IPO, the Company effected a series of organizational transactions (the “Organizational Transactions”), which, together with the IPO, were completed in August 2021, that resulted in the Company becoming the ultimate parent company of Rani Therapeutics, LLC (“Rani LLC”). The Company operates its business through Rani LLC.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Organizational Transactions, the Company entered into a Registration Rights Agreement with certain individuals and entities that continued to hold economic nonvoting Class A units of Rani LLC (“Class A Units”), collectively referred to herein as the “Continuing LLC Owners”. The Continuing LLC Owners are entitled to exchange, subject to the terms of the Sixth Amended and Restated Limited Liability Company Agreement of Rani LLC (the “Amended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canceled on a one-for-one basis if, at the election of the Continuing LLC Owners, the Company redeems or exchanges such Paired Interest pursuant to the terms of the Amended Rani LLC Agreement. As of December 31, 2025, certain individuals who continue to own interests in Rani LLC but do not hold shares of the Company’s Class B common stock (“non-corresponding Class A Units”) have the ability to exchange their non-corresponding Class A Units of Rani LLC for 1,164,515 shares of the Company’s Class A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incurred recurring losses since its inception, including net losses of $41.0 million for the year ended December 31, 2025. As of December 31, 2025, the Company had an accumulated deficit of $132.6 million and for the year ended December 31, 2025 had negative cash flows from operations of $18.7 million. The Company expects that its cash, cash equivalents, and marketable securities of $49.7 million as of December 31, 2025, will be sufficient to fund its operations through at least twelve months from the date of these consolidated financial statements are issued.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expects to continue to generate operating losses and negative operating cash flows for the foreseeable future as it continues to develop the RaniPill capsule. The Company expects to finance its future operations with its existing cash and through strategic financing opportunities that could include, but are not limited to, future offerings of its equity, collaboration or licensing agreements, or the incurrence of debt. However, there is no guarantee that any new strategic or financing opportunities will be executed or realized on favorable terms, if at all. The Company will not generate any revenue from product sales unless, and until, it successfully completes clinical development and obtains regulatory approval of its product candidates. While the Company may generate collaboration or license revenue prior to product approval, the timing and amount of such revenue are inherently uncertain. If the Company obtains regulatory approval for the RaniPill capsule, it expects to incur significant expenses related to developing its internal commercialization capability to support manufacturing, product sales, marketing, and distribution.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ability to raise additional capital through either the issuance of equity or debt, is dependent on a number of factors including, but not limited to, the market interest of the Company, which itself is subject to a number of development and business risks and uncertainties, as well as the uncertainty that the Company would be able to raise such additional capital at a price or on terms that are favorable to the Company.</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3" w:name="fn2_summary_of_accounting_policies"/>
      <w:bookmarkEnd w:id="23"/>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consolidated financial statements have been prepared in accordance with accounting principles generally accepted in the United States of America (“U.S. GAAP”).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and controls all of the business and affairs of Rani LLC and, through Rani LLC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Variable Interest Entities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consolidates all entities that it controls through a majority voting interest or as the primary beneficiary of a variable interest entity (“VIE”). In determining whether the Company is the primary beneficiary of an entity, the Company applies a qualitative approach that determines whether it has both (1) the power to direct the economically significant activities of the entity and (2) the obligation to absorb losses of, or the right to receive benefits from, the entity that could potentially be significant to that entity. The Company’s determination about whether it should consolidate such VIEs is made continuously as changes to existing relationships or future transactions may result in a consolidation event.</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The Company evaluates its estimates on an ongoing basis. The Company bases its estimates on its historical experience and also on assumptions that we believe are reasonable; however, actual results may differ materially and adversely from these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left"/>
        <w:rPr/>
      </w:pPr>
      <w:r>
        <w:rPr>
          <w:rFonts w:ascii="Times New Roman" w:hAnsi="Times New Roman"/>
          <w:color w:val="000000"/>
          <w:sz w:val="20"/>
        </w:rPr>
        <w:t>The Company may generate revenue from evaluation arrangements (</w:t>
      </w:r>
      <w:hyperlink w:anchor="fn6_arrangements">
        <w:r>
          <w:rPr>
            <w:rStyle w:val="InternetLink"/>
            <w:rFonts w:ascii="Times New Roman" w:hAnsi="Times New Roman"/>
            <w:color w:val="0000FF"/>
            <w:sz w:val="20"/>
            <w:u w:val="single"/>
          </w:rPr>
          <w:t>Note 6</w:t>
        </w:r>
      </w:hyperlink>
      <w:r>
        <w:rPr>
          <w:rFonts w:ascii="Times New Roman" w:hAnsi="Times New Roman"/>
          <w:color w:val="000000"/>
          <w:sz w:val="20"/>
        </w:rPr>
        <w:t>), under which the Company performs evaluation services of the partner's drug molecules using the Rani Pill platform technology. The Company may also generate revenue from customer-vendor components within certain collaboration and license arrangements (</w:t>
      </w:r>
      <w:hyperlink w:anchor="fn6_arrangements">
        <w:r>
          <w:rPr>
            <w:rStyle w:val="InternetLink"/>
            <w:rFonts w:ascii="Times New Roman" w:hAnsi="Times New Roman"/>
            <w:color w:val="0000FF"/>
            <w:sz w:val="20"/>
            <w:u w:val="single"/>
          </w:rPr>
          <w:t>Note 6</w:t>
        </w:r>
      </w:hyperlink>
      <w:r>
        <w:rPr>
          <w:rFonts w:ascii="Times New Roman" w:hAnsi="Times New Roman"/>
          <w:color w:val="000000"/>
          <w:sz w:val="20"/>
        </w:rPr>
        <w:t>) with certain pharmaceutical partners, which may include the grant of licenses to the Company's intellectual property and initial information transfer. Considerations for such arrangements may include non-refundable upfront license fees; payments based on the achievement of development, regulatory, or commercialization milestones; and future royalties on net sales of licensed products. The Company disaggregates revenue by major revenue stream, including collaboration and license arrangements and evaluation arrangements, which management believes best depicts the nature, amount, timing and uncertainty of revenue and cash flows arising from contracts with customers.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Revenue is recognized when control of promised goods or services is transferred to a customer in an amount that reflects the consideration to which the entity expects to be entitled in exchange for those goods or services. The Company determines revenue recognition for arrangements within the scope of Accounting Standards Codification ("ASC") Topic 606, </w:t>
      </w:r>
      <w:r>
        <w:rPr>
          <w:rFonts w:ascii="Times New Roman" w:hAnsi="Times New Roman"/>
          <w:i/>
          <w:color w:val="000000"/>
          <w:sz w:val="20"/>
        </w:rPr>
        <w:t>Revenue from Contracts with Customer</w:t>
      </w:r>
      <w:r>
        <w:rPr>
          <w:rFonts w:ascii="Times New Roman" w:hAnsi="Times New Roman"/>
          <w:color w:val="000000"/>
          <w:sz w:val="20"/>
        </w:rPr>
        <w:t xml:space="preserve"> ("ASC 606") by performing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majority of the Company’s contracts include only one performance obligation. A performance obligation is a promise in a contract to transfer a distinct good or service to the customer and is defined as the unit of account for revenue recognition. In determining whether performance obligations meet the criteria for being distinct, the Company considers a number of factors, such as the degree of interrelation and interdependence between obligations, and whether or not the good or service significantly modifies or transforms another good or service in the contract. Revenue for an individual contract is recognized at the related transaction price, which is the amount the Company expects to be entitled to in exchange for transferring the products and/or services. Revenue is recognized only to the extent that it is probable that a significant reversal of the cumulative amount recognized will not occur in future periods. As a practical expedient, we do not adjust the transaction price for the effects of a significant financing component if, at contract inception, the period between customer payment and the transfer of goods or services is expected to be one year or less.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certain arrangements, the nature of the Company’s promise may include a stand</w:t>
        <w:noBreakHyphen/>
        <w:t>ready obligation, under which the Company provides ongoing availability of specialized personnel, technical expertise, or regulatory support over a defined period. In such cases, the customer receives and consumes benefits as the Company stands ready to perform throughout the period, and revenue is recognized over time on a straight-line basis, which faithfully depicts the transfer of those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arrangements that include multiple performance obligations, the Company allocates the transaction price to the identified performance obligations based on the standalone selling price (“SSP”) of each distinct performance obligation. In instances where SSP is not directly observable, the Company develops assumptions that require judgment to determine the SSP for each performance obligation identified in the contract. The Company has no arrangements with multiple performance obligations for the years ended December 31, 2025 and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contracts within the scope of ASC 606 may include variable consideration, such as milestone or other contingent payments. The Company must make judgments to determine the estimates for certain variable considerations. Variable consideration is estimated using the most likely amount method for event-based milestones and other contingent payments. Variable consideration is included in the transaction price only to the extent it is probable that a significant revenue reversal will not occur when the uncertainty is resolved. The Company continues to re-evaluate the transaction price in each reporting period as contingencies are resolved and other changes in circumstances occur.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Evaluation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contract revenue from its evaluation arrangements using a cost-based input method, which most faithfully depicts the transfer of the performance obligation to the customer. Accordingly, the Company will recognize contract revenue based on actual costs incurred as a percentage of total estimated costs the Company expects to incur to deliver its performance obligation. These actual costs consist of the internal labor efforts, in vivo testing services and material costs related to the agreement, as the costs incurred over time will reflect the transfer of its performance obligations to the customer. The cumulative effect of revisions to estimated costs to complete the Company’s performance obligation will be recorded in the period in which changes are identified and amounts are reasonably estimable.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collaboration and license agreement, the Company may grant licenses to its intellectual property ("IP"). Considerations for such arrangements may include non-refundable upfront license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the Company grants a license to its intellectual property, it determines whether the nature of the intellectual property is functional or symbolic. Functional intellectual property has significant standalone functionality and provides the customer with a right to use the intellectual property as it exists at the point in time the license is granted. Revenue from functional IP is recognized at the point in time when control of the distinct license is transferred to the customer. Symbolic intellectual property does not have significant standalone functionality. A license to symbolic IP provides the customer with a right to access the Company's intellectual property over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license to the Company’s intellectual property is determined to be distinct from the other promises or performance obligations identified in the arrangement, the Company recognizes the transaction price allocated to the license as licensing revenue, at the point in time, upon transfer of control of the license.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assessing whether a promise or performance obligation is distinct from the other promises, the Company considers whether a customer can benefit from the license on its own, or with other readily available resources, or if it needs to be combined with other promises in order to generate economic benefits.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certain collaboration arrangements, a license to functional intellectual property may not be distinct from other promised goods or services, such as initial technology or information transfer, development</w:t>
        <w:noBreakHyphen/>
        <w:t>related support, or regulatory</w:t>
        <w:noBreakHyphen/>
        <w:t>related obligations. When these activities significantly enhance the utility of the license, or are highly interdependent with it, the Company combines the license with those activities into a single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license is determined to not be distinct and is combined with other promises into a single performance obligation, the Company utilizes judgment to assess the nature of the combined performance obligation to determine whether it is satisfied over time or at a point in time and, if over time, the appropriate method of measuring progress for purposes of recognizing revenue.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Milestones and Other Contingent Payments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contract inception, the Company evaluates whether each milestone or other contingent payments are considered probable of being achieved and estimates the amount to include in the initial transaction price using the most likely amount method. Variable consideration is included in the initial transaction price only to the extent that it is probable that a significant revenue reversal will not occur when the uncertainty is resolved. The Company evaluates factors such as the scientific, clinical, regulatory, manufacturing, commercial, and other risks that must be overcome to achieve the particular contingency in making this assessment. There is considerable judgment involved in determining whether it is probable that a significant revenue reversal would not occur. Milestones that are outside the Company's control, such as regulatory approvals, are not considered probable of being achieved until those approvals are received and therefore, the variable consideration is constrained. At each reporting period, the Company updates its assessment of the probability of achieving each milestone and other contingencies subject to constraint and adjusts its estimate of the transaction price as necessary. Adjustments are recorded on a cumulative catch-up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arrangements that include sales-based milestone payments and royalties on net sales of licensed products, which are the result of a customer-vendor relationship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as revenue when the licensee exercises the option. The exercise of an option that does not represent a material right is treated as a separate contract for accounting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Collaborative Arrangements</w:t>
      </w:r>
    </w:p>
    <w:p>
      <w:pPr>
        <w:pStyle w:val="TextBody"/>
        <w:bidi w:val="0"/>
        <w:spacing w:before="240" w:after="283"/>
        <w:jc w:val="left"/>
        <w:rPr/>
      </w:pPr>
      <w:r>
        <w:rPr>
          <w:rFonts w:ascii="Times New Roman" w:hAnsi="Times New Roman"/>
          <w:color w:val="000000"/>
          <w:sz w:val="20"/>
        </w:rPr>
        <w:t>The Company enters into collaboration agreements (</w:t>
      </w:r>
      <w:hyperlink w:anchor="fn6_arrangements">
        <w:r>
          <w:rPr>
            <w:rStyle w:val="InternetLink"/>
            <w:rFonts w:ascii="Times New Roman" w:hAnsi="Times New Roman"/>
            <w:color w:val="0000FF"/>
            <w:sz w:val="20"/>
            <w:u w:val="single"/>
          </w:rPr>
          <w:t>Note 6</w:t>
        </w:r>
      </w:hyperlink>
      <w:r>
        <w:rPr>
          <w:rFonts w:ascii="Times New Roman" w:hAnsi="Times New Roman"/>
          <w:color w:val="000000"/>
          <w:sz w:val="20"/>
        </w:rPr>
        <w:t xml:space="preserve">) that may involve joint research, development, manufacturing, or commercialization activities with third parties. The Company evaluates whether each arrangement is subject to ASC Topic 808: </w:t>
      </w:r>
      <w:r>
        <w:rPr>
          <w:rFonts w:ascii="Times New Roman" w:hAnsi="Times New Roman"/>
          <w:i/>
          <w:color w:val="000000"/>
          <w:sz w:val="20"/>
        </w:rPr>
        <w:t xml:space="preserve">Collaborative Arrangements </w:t>
      </w:r>
      <w:r>
        <w:rPr>
          <w:rFonts w:ascii="Times New Roman" w:hAnsi="Times New Roman"/>
          <w:color w:val="000000"/>
          <w:sz w:val="20"/>
        </w:rPr>
        <w:t>("ASC 808") based on whether they involve joint operating activities and whether both parties have active participation in the arrangement and are exposed to significant risks and rewards that depend on the ultimate commercial success of the arrangement. To the extent that the arrangement falls within the scope of ASC 808 and the Company concludes that its collaboration partner is not a customer, the Company presents amounts due from its collaboration partner as a reduction of research and development expense based on the nature of such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an arrangement includes both customer</w:t>
        <w:noBreakHyphen/>
        <w:t>vendor components and collaborative research or development activities, the Company applies ASC 606 to the customer</w:t>
        <w:noBreakHyphen/>
        <w:t>vendor components and records reimbursements related to collaborative activities as a reduction of research and development expense under ASC 808.</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consist primarily of payroll and related benefits, stock-based compensation, third-party services, facilities, materials and supplies. Research and development costs are expensed as incurred. Payments made prior to the receipt of goods or services to be used in research and development activities are recorded as prepaid expenses and other current assets on the consolidated balance sheets until the related goods or services are rendered.</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Preclinical and Clinical Trial Accruals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preclinical and clinical trials are being supported by Contract Research Organizations (“CROs”) and other vendors. Preclinical and clinical trial costs are a component of research and development expense. As part of the process of preparing the consolidated financial statements, the Company is required to estimate expenses resulting from obligations under contracts with CROs and other vendors. The financial terms of these contracts vary and may result in payment flows that do not match the periods over which materials or services are provided under such contracts. The Company accrues expenses for preclinical and clinical trial activities performed by CROs and other vendors based upon the amount of work completed on each trial. The Company maintains regular communications with the CROs and other vendors to assess the reasonableness of the accrual. To date, differences between actual preclinical and clinical trial expenses and accrued preclinical and clinical trial expenses recorded have not been material and are adjusted for in the period in which they become known. Payments made under these arrangements in advance of the receipt of the related services are recorded as prepaid expenses and other current assets on the consolidated balance sheets until the services are rendered.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employee-related costs, including benefits and stock-based compensation, for personnel in the Company’s executive and administrative functions. Additional general and administrative costs include professional fees for legal, accounting, auditing, tax, and consulting services, as well as facility and office expenses. General and administrative costs are expensed as incurred.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40" w:after="283"/>
        <w:jc w:val="left"/>
        <w:rPr/>
      </w:pPr>
      <w:r>
        <w:rPr>
          <w:rFonts w:ascii="Times New Roman" w:hAnsi="Times New Roman"/>
          <w:color w:val="000000"/>
          <w:sz w:val="20"/>
        </w:rPr>
        <w:t>In July 2021, the Company adopted and its stockholders approved, the Rani Therapeutics Holdings, Inc. 2021 Equity Incentive Plan (the “2021 Plan”). The Company has subsequently granted stock options to purchase shares of its Class A common stock as well as restricted stock units (“RSUs”) and restricted stock awards ("RSAs") from the 2021 Plan to both employees and non-employees. The Company measures stock-based compensation at fair value on the grant date of the award. The fair value of employee and nonemployee RSUs is determined based on the number of shares granted and the closing market price of the Company’s Class A common stock on the date of grant. The fair value of RSAs is determined based on the estimated fair value of the Company’s Class A common stock on the grant date and is subject to the Company's reacquisition right which is accounted for as a forfeiture provision (</w:t>
      </w:r>
      <w:hyperlink w:anchor="fn11_stockbased_compensation">
        <w:r>
          <w:rPr>
            <w:rStyle w:val="InternetLink"/>
            <w:rFonts w:ascii="Times New Roman" w:hAnsi="Times New Roman"/>
            <w:color w:val="0000FF"/>
            <w:sz w:val="20"/>
            <w:u w:val="single"/>
          </w:rPr>
          <w:t>Note 11</w:t>
        </w:r>
      </w:hyperlink>
      <w:r>
        <w:rPr>
          <w:rFonts w:ascii="Times New Roman" w:hAnsi="Times New Roman"/>
          <w:color w:val="000000"/>
          <w:sz w:val="20"/>
        </w:rPr>
        <w:t xml:space="preserve">). For awards that vest subject to the satisfaction of service requirements, compensation expense is measured based on the fair value of the award on the date of grant and expense is recognized on a straight-line basis over the requisite service period. The Company accounts for forfeitures as they occur. Stock-based compensation is classified in the accompanying consolidated statements of operations and comprehensive loss based on the function to which the related services are provided.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determines the grant-date fair value of options to purchase common shares using the Black-Scholes option-pricing model which requires inputs based on certain subjective assumptions, including the expected stock price volatility derived from historical stock volatilities of the Company’s own stock price and public peer companies, the expected term of the option, the risk-free interest rate for a period that approximates the expected term of the option, and the Company’s expected dividend yield. Such assumptions represent management’s best estimates and involve inherent uncertainties and the application of management’s judgment. If actual results are not consistent with the Company’s assumptions and judgments used in making these estimates, the Company may be required to increase or decrease compensation expense, which could be material to the Company’s consolidated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Rani LLC is a pass-through entity for United States federal and most applicable state and local income tax purposes following the IPO and Organizational Transactions. As an entity classified as a partnership for tax purposes, Rani LLC is not subject to United States federal and certain state and local income taxes. Any taxable income or loss generated by Rani LLC is passed through to, and included in the taxable income or loss of, its members, including the Company. The Company is taxed as a corporation and pays corporate federal, state and local taxes with respect to income allocated to it, based on its economic interest in Rani LLC.</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income taxes under the asset and liability method of accounting. Current income tax expense or benefit represents the amount of income taxes expected to be payable or refundable for the current year. The Company recognizes deferred tax assets and liabilities for the future tax consequences attributable to differences between the financial statement carrying amounts of existing assets and liabilities and their respective tax bases, as well as for operating loss and tax credit carryforwards. The Company measures deferred tax assets and liabilities using enacted tax rates expected to apply to taxable income in the years in which the Company expects to recover or settle those temporary differences. The Company recognizes the effect of a change in tax rates on deferred tax assets and liabilities in the results of operations in the period that includes the enactment date. The Company reduces the measurement of a deferred tax asset, if necessary, by a valuation allowance if it is more likely than not that the Company will not realize some or all of the deferred tax asset.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tax positions are subject to income tax audits. The Company uses a recognition threshold and measurement attribute for the consolidated financial statement recognition and measurement of a tax position taken or expected to be taken in a tax return. A tax position is recognized when it is more likely than not that the tax position will be sustained upon examination, including the resolution of any related appeals or litigation. A tax position that meets the more-likely-than-not recognition threshold is measured at the largest amount of benefit that is greater than a 50% likelihood of being realized upon ultimate settlement with a taxing authority. Interest and penalties related to unrecognized tax benefits are recognized in income tax expense in the accompanying consolidated statements of operations and comprehensive loss. No such interest and penalties were recognized for any period presented.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2021, in connection with the IPO and Organizational Transactions, the Company entered into a tax receivable agreement ("TRA") with certain of the Continuing LLC Owners. The TRA provides that the Company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pStyle w:val="TextBody"/>
        <w:bidi w:val="0"/>
        <w:spacing w:before="240" w:after="283"/>
        <w:jc w:val="left"/>
        <w:rPr/>
      </w:pPr>
      <w:r>
        <w:rPr>
          <w:rFonts w:ascii="Times New Roman" w:hAnsi="Times New Roman"/>
          <w:color w:val="000000"/>
          <w:sz w:val="20"/>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the Company’s taxable income based on the contractual percentage of the benefit of Tax Attributes that the Company expects to receive over a period of time (</w:t>
      </w:r>
      <w:hyperlink w:anchor="fn12_commitments_and_contingencies">
        <w:r>
          <w:rPr>
            <w:rStyle w:val="InternetLink"/>
            <w:rFonts w:ascii="Times New Roman" w:hAnsi="Times New Roman"/>
            <w:color w:val="0000FF"/>
            <w:sz w:val="20"/>
            <w:u w:val="single"/>
          </w:rPr>
          <w:t>Note 12</w:t>
        </w:r>
      </w:hyperlink>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terms of the Private Placement, the Company entered into a Tax Receivable Agreement Termination and Release Agreement (the “TRA Termination Agreement”) in December 2025 to terminate the TRA, entered into in connection with the IPO and Organizational Transactions, and disclaim any rights or interests thereunder. As a result of the termination, the Company has no further obligations under the TRA, and no tax benefit payments or early termination payments were required in connection with such termination. The TRA Termination Agreement provides for the mutual release of the parties from all obligations under the TRA, effective as of December 31,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Non-controlling interest ("NCI") represents the portion of income or loss, net assets and comprehensive loss of the Company's consolidated subsidiary that is not allocable to Rani Holdings based on the Company's percentage of ownership of Rani LLC.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2021, based on the Organizational Transactions, Rani Holdings became the sole managing member of Rani LLC. As of December 31, 2025, Rani Holdings held approximately 80% of the Class A Units of Rani LLC, and approximately 20% of the outstanding Class A Units of Rani LLC are held by the Continuing LLC Owners. Therefore, the Company reports NCI based on the Class A Units of Rani LLC held by the Continuing LLC Owners on its consolidated balance sheet as of December 31, 2025. Income or loss attributed to the NCI in Rani LLC is based on the Class A Units outstanding during the period for which the income or loss is generated and is presented on the consolidated statements of operations and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December 31, 2025, there were 5,378,539 exchanges of Paired Interests and 362,821 exchanges of non-corresponding Class A Units of Rani LLC for an equal number of shares of the Company's Class A common stock.</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Comprehensive loss is defined as a change in equity of a business enterprise during a period, resulting from transactions and other events and/or circumstances from non-owner sources. Other comprehensive loss represents changes in fair value of the Company's available-for-sale marketable securities.</w:t>
      </w:r>
    </w:p>
    <w:p>
      <w:pPr>
        <w:pStyle w:val="TextBody"/>
        <w:bidi w:val="0"/>
        <w:spacing w:before="240" w:after="283"/>
        <w:jc w:val="left"/>
        <w:rPr>
          <w:rFonts w:ascii="Times New Roman" w:hAnsi="Times New Roman"/>
          <w:sz w:val="20"/>
        </w:rPr>
      </w:pPr>
      <w:r>
        <w:rPr>
          <w:rFonts w:ascii="Times New Roman" w:hAnsi="Times New Roman"/>
          <w:b/>
          <w:i/>
          <w:color w:val="000000"/>
          <w:sz w:val="20"/>
        </w:rPr>
        <w:t>Concentrations of Credit Risk and Other Risks and Uncertainties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Restricted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considers all cash held on deposit and highly liquid investments purchased with original or remaining maturities of less than three months at the date of purchase to be cash equivalents. Cash equivalents are carried at cost, which approximates fair value. The Company’s cash and cash equivalents consist of balances held in demand depositary accounts and money market funds. Restricted cash equivalents consist of cash collateral required by a bank in connection with the Company's commercial credit cards program. The Company limits its credit risk associated with cash, cash equivalents and restricted cash equivalents by maintaining its bank accounts at major financial institutions.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equivalents reported as a component of prepaid expenses and other current assets on the consolidated balance sheet which, in aggregate, represents the amount reported in the consolidated statements of cash flows for the years ended December 31, 2025 and 2024 (in thousands):</w:t>
      </w:r>
    </w:p>
    <w:tbl>
      <w:tblPr>
        <w:tblW w:w="7466" w:type="dxa"/>
        <w:jc w:val="left"/>
        <w:tblInd w:w="0" w:type="dxa"/>
        <w:tblLayout w:type="fixed"/>
        <w:tblCellMar>
          <w:top w:w="28" w:type="dxa"/>
          <w:left w:w="28" w:type="dxa"/>
          <w:bottom w:w="28" w:type="dxa"/>
          <w:right w:w="28" w:type="dxa"/>
        </w:tblCellMar>
      </w:tblPr>
      <w:tblGrid>
        <w:gridCol w:w="5036"/>
        <w:gridCol w:w="146"/>
        <w:gridCol w:w="214"/>
        <w:gridCol w:w="688"/>
        <w:gridCol w:w="148"/>
        <w:gridCol w:w="148"/>
        <w:gridCol w:w="214"/>
        <w:gridCol w:w="581"/>
        <w:gridCol w:w="291"/>
      </w:tblGrid>
      <w:tr>
        <w:trPr/>
        <w:tc>
          <w:tcPr>
            <w:tcW w:w="5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18,618</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18,818</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Accounts receivable primarily consist of amounts due from customers under revenue arrangements. Receivables are recorded when revenue is recognized and are recorded net of any allowance for current expected credit losses measured based on historical experience, current conditions, and reasonable and supportable forecasts. The Company evaluates its accounts receivable for expected credit losses in accordance with ASC 326 “Financial Instruments - Credit Losses” (“ASC 326”). Receivables are primarily due from collaboration partners and government agencies with strong credit profiles. The Company has no history of credit losses with these counterparties and collection has historically occurred within contractual terms. Based on this evaluation, the Company determined that expected credit losses are not material, and therefore no allowance was recorded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there were $2.0 million and $0, respectively, of accounts receivable recorded in the Company's consolidated balance sheets. As of January 1, 2024, there were no accounts receivable recorded.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contract asset is created when the Company satisfies a performance obligation by transferring a promised good or service to the customer. Contract assets may represent conditional or unconditional rights to consideration. The right is conditional and recorded as a contract asset if the Company must first satisfy another performance obligation in the contract before it is entitled to payment from the customer. Contract assets are transferred to accounts receivable once the right becomes unconditional. If the Company has the unconditional right to receive consideration from the customer, the contract asset is accounted for as accounts receivable and presented separately from contract assets. A right is unconditional if nothing other than the passage of time is required before payment of that consideration is due. During the years ended December 31, 2024 and 2025, net change on contract asset balance due to timing of billing, payment and recognition was $0 and $0.4 million, respectively. As of January 1, 2024, the contract asset recorded was $0.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 liabilities are recorded as deferred revenue when cash payments are received or due in advance of performance or where the Company has unsatisfied performance obligations. As of December 31, 2025 and December 31, 2024, there were $8.5 million and $0, respectively, of deferred revenue recognized for unsatisfied evaluation services.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Marketable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invests its excess cash in marketable securities with high credit ratings including money market funds, securities issued by U.S. and international governments and their agencies, corporate debt securities and commercial paper. The Company has assessed U.S. government treasuries and agencies and money market funds as Level 1 and corporate debt securities and commercial paper as Level 2 within the fair value hierarchy. All the Company's marketable securities have been accounted for as available-for-sale and carried at fair value. The Company classifies all its available-for-sale marketable securities, including those with maturity dates beyond one year, as current assets on the consolidated balance sheets as the Company may sell these securities at any time for use in current operations even if they have not yet reached maturity. The amortized cost of debt securities is adjusted for amortization of premiums and accretion of discounts to maturity, which is included in interest income and other, net on the consolidated statements of operations and comprehensive loss. Realized gains and losses on marketable securities are included in other income (expense) on the consolidated statements of operations. Gains and losses on sales are recorded based on the trade date and determined using the specific identification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regularly reviews its investments for declines in fair value below their amortized cost basis to determine whether the impairment is due to credit-related factors or noncredit-related factors. The Company's review includes the creditworthiness of the security issuers, the severity of the unrealized losses, whether the Company has the intent to sell the securities and whether it is more likely than not that the Company will be required to sell the securities before the recovery of its amortized cost bases. When the Company determines that a portion of the unrealized loss is due to an expected credit loss, the Company recognizes the loss amount in Other income (expense), net, with a corresponding allowance against the carrying value of the security the Company holds. The portion of the unrealized loss related to factors other than credit losses is recognized in Accumulated other comprehensive loss. The Company has made an accounting policy election to not measure an allowance for credit loss for accrued interest receivables and will recognize a credit loss for accrued interest receivables when the loss becomes probable and estimable.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1—Quoted prices in active markets for identical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3—Unobservable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and 2024, the carrying values of current assets, current liabilities, short-term debt, and some of the marketable securities balances classified as level 2 approximate fair value due to their short-term nature,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A financial instrument’s level within the fair value hierarchy is based on the lowest level of any input that is significant to the fair value of the instrument.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estimates the fair value of its Level 2 financial instruments by taking into consideration valuations obtained from third-party pricing services. The third-party pricing services utilize industry standard valuation models,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Property and equipment, net are stated at cost, less accumulated depreciation and amortization calculated using the straight-line method over the estimated useful lives of the assets, generally between three and five years. Leasehold improvements are amortized over the shorter of the related lease term or useful life. The Company’s property and equipment as of December 31, 2025 consists of laboratory equipment, office equipment, software, and leasehold improvements. Maintenance and repairs are charged to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operations when incurred, while betterments or renewals are capitalized. When property and equipment are sold or otherwise disposed of, the asset account and related accumulated depreciation and amortization accounts are relieved, and any gain or loss is included in the results of operations. Construction-in-progress consists of production equipment that will be used to scale-up the manufacturing of the RaniPill capsule for clinical trials and that has been determined to have an alternative future use. Construction-in-progress is stated at cost and does not begin to depreciate until it is put into production.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reviews the carrying amounts of its long-lived assets for impairment whenever events or changes in circumstances indicate that the carrying amount of an asset (or asset group) may not be recoverable. If indicators of impairment exist, an impairment loss would be recognized when the estimated undiscounted future cash flows expected to result from the use of the asset and its eventual disposition are less than its carrying amount. The impairment charge is determined based upon the excess of the carrying value of the asset over its estimated fair value, with estimated fair value determined based upon an estimate of discounted future cash flows or other appropriate measures of estimated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assessed the recoverability of the long-lived assets and determined there were no indicators of impairment.</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determines whether the arrangement is or contains a lease based on the unique facts and circumstances present at the inception of the arrangement and if such a lease is classified as a financing lease or operating lease. The Company has elected not to recognize on the balance sheet leases with terms of one year or less. Operating leases are included in operating lease right-of-use ("ROU") assets and operating lease liabilities in the Company’s consolidated balance sheet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ROU assets represent the Company’s right to use an underlying asset for the lease term and lease liabilities represent the Company’s obligation to make lease payments arising from the lease contract. Operating lease ROU assets and liabilities are recognized at the lease commencement date based on the present value of lease payments over the expected lease term. In determining the net present value of lease payments, the interest rate implicit in lease contracts is typically not readily determinable. As such, the Company utilizes the appropriate incremental borrowing rate (“IBR”), which is the rate incurred to borrow on a collateralized basis over a similar term, an amount equal to the lease payments in a similar economic environment. Certain adjustments to the ROU asset may be required for items such as initial direct costs paid or incentives received and impairment charges if the Company determines the ROU asset is impaired. The Company considers a lease term to be the noncancelable period during which it has the right to use the underlying asset, including any periods where it is reasonably certain the Company will exercise the option to extend the contract. Periods covered by an option to extend are included in the lease term if the lessor controls the exercise of that option.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operating lease ROU assets also include any lease payments made and exclude lease incentives. The Company has elected to not separate lease and non-lease components for its leased assets and accounts for all lease and non-lease components of its agreements as a single lease component. The lease components resulting in a ROU asset have been recorded on the consolidated balance sheet and amortized as lease expense on a straight-line basis over the lease term.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warrants as either equity-classified or liability-classified instruments based on an assessment of the warrant’s specific terms and in accordance with the Financial Accounting Standards Board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among other conditions for equity classification. This assessment, which requires the use of professional judgment, is conducted at the time of warrant issuance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issued or modified warrants that meet all of the criteria for equity classification, the warrants are recorded as a component of additional paid-in capital at the time of issuance. For issued or modified warrants that do not meet all the criteria for equity classification, the warrants are recorded at their initial fair value of the date of issuance, and each balance sheet date thereafter. Changes in the estimated fair value of liability classified warrants are recognized as a non-cash gain or loss on the consolidated statements of operations. Costs associated with issuing the warrants classified as derivative liabilities are charged to operations when the warrants are issued.</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 Per Class A Common Share Attributable to Rani Holdings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loss per Class A common share attributable to Rani Holdings is computed by dividing net loss attributable to the Company by the weighted average number of Class A common shares outstanding during the period, without consideration of potential dilutive securities. Diluted net loss per Class A common share is computed giving effect to all potentially dilutive shares. Diluted net loss per Class A common share for all periods presented is the same as basic loss per share as the inclusion of potentially issuable shares would be antidilutive.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2025 for entities that qualify as emerging growth companies and may be adopted on a prospective or retrospective basis. Early adoption is permitted. The Company early adopted this accounting standard in the fourth quarter of 2025 and applied the guidance on a prospective basis. Adoption did not have a material impact on the Company’s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the FASB issued ASU 2025-11, Interim Reporting (Topic 270): Narrow-Scope Improvements. The amendments clarify the scope of interim reporting guidance in U.S. GAAP, consolidate interim disclosure requirements from other Codification topics, and introduce a disclosure principle requiring entities to describe events occurring after the end of the most recent annual period that have a material effect on the entity. The ASU is effective for annual periods beginning after December 15, 2027 and for interim periods within fiscal years beginning after December 15, 2028. Early adoption is permitted. The Company is currently evaluating the effect of this update; however, because the amendments primarily clarify existing interim reporting requirements and do not significantly expand disclosure obligations, the Company does not expect the ASU to have a material impact on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the FASB issued ASU 2025</w:t>
        <w:noBreakHyphen/>
        <w:t>05, Financial Instruments - Credit Losses (Topic 326): Measurement of Credit Losses for Accounts Receivable and Contract Assets, which amends the guidance for estimating expected credit losses for financial assets within the scope of ASC 326. The amendments allow all entities to elect a practical expedient to assume that the current conditions as of the balance sheet date will remain unchanged for the remaining life of the asset when developing a reasonable and supportable forecast as part of estimating expected credit losses on these assets. Entities are required to disclose their practical expedient and accounting policy elections. The guidance is effective for fiscal years beginning after December 15, 2025, and interim periods within those fiscal years. The Company is currently evaluating the guidance and does not expect the adoption to have a material impact on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to provide disaggregated information about certain income statement costs and expenses. The guidance is effective for the Company’s annual periods beginning after December 15, 2026, and interim reporting periods beginning after December 15, 2027, with early adoption permitted. The Company is evaluating the impact of this guidance on its consolidated financial statements and related disclosures.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4" w:name="fn3_cash_equivalents"/>
      <w:bookmarkEnd w:id="24"/>
      <w:r>
        <w:rPr>
          <w:rFonts w:ascii="Times New Roman" w:hAnsi="Times New Roman"/>
          <w:b/>
          <w:color w:val="000000"/>
          <w:sz w:val="20"/>
        </w:rPr>
        <w:t>3. Cash Equivalents, Restricted Cash Equivalents and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the amortized cost and fair value of the Company's cash equivalents, restricted cash equivalents and marketable securities by major investment category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72"/>
        <w:gridCol w:w="146"/>
        <w:gridCol w:w="258"/>
        <w:gridCol w:w="827"/>
        <w:gridCol w:w="146"/>
        <w:gridCol w:w="146"/>
        <w:gridCol w:w="432"/>
        <w:gridCol w:w="711"/>
        <w:gridCol w:w="146"/>
        <w:gridCol w:w="146"/>
        <w:gridCol w:w="438"/>
        <w:gridCol w:w="721"/>
        <w:gridCol w:w="166"/>
        <w:gridCol w:w="146"/>
        <w:gridCol w:w="311"/>
        <w:gridCol w:w="999"/>
        <w:gridCol w:w="394"/>
      </w:tblGrid>
      <w:tr>
        <w:trPr/>
        <w:tc>
          <w:tcPr>
            <w:tcW w:w="4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17,238</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25,867</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2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9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31,091</w:t>
            </w:r>
          </w:p>
        </w:tc>
        <w:tc>
          <w:tcPr>
            <w:tcW w:w="3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restricted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48,529</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67"/>
        <w:gridCol w:w="146"/>
        <w:gridCol w:w="259"/>
        <w:gridCol w:w="830"/>
        <w:gridCol w:w="146"/>
        <w:gridCol w:w="146"/>
        <w:gridCol w:w="434"/>
        <w:gridCol w:w="714"/>
        <w:gridCol w:w="146"/>
        <w:gridCol w:w="146"/>
        <w:gridCol w:w="440"/>
        <w:gridCol w:w="724"/>
        <w:gridCol w:w="146"/>
        <w:gridCol w:w="146"/>
        <w:gridCol w:w="313"/>
        <w:gridCol w:w="1005"/>
        <w:gridCol w:w="397"/>
      </w:tblGrid>
      <w:tr>
        <w:trPr/>
        <w:tc>
          <w:tcPr>
            <w:tcW w:w="4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97"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6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6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3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0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restricted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25,780</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marketable securities are classified as short-term. The Company regularly reviews its available-for-sale marketable securities in an unrealized loss position and evaluates the current expected credit loss by considering factors such as historical experience, market data, issuer-specific factors, and current economic conditions. As of December 31, 2025,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December 31, 2025. As of December 31, 2025 and 2024, interest income receivable recorded as a component of prepaid expenses and other current assets on the consolidated balance sheet was de minimis for both years.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25" w:name="fn4_fair_value_measurements"/>
      <w:bookmarkEnd w:id="25"/>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detail information about the Company’s financial assets and liabilities measured at fair value on a recurring basis and indicate the level of inputs used in such measurements (in thousands): </w:t>
      </w:r>
    </w:p>
    <w:tbl>
      <w:tblPr>
        <w:tblW w:w="7215" w:type="dxa"/>
        <w:jc w:val="left"/>
        <w:tblInd w:w="0" w:type="dxa"/>
        <w:tblLayout w:type="fixed"/>
        <w:tblCellMar>
          <w:top w:w="28" w:type="dxa"/>
          <w:left w:w="28" w:type="dxa"/>
          <w:bottom w:w="28" w:type="dxa"/>
          <w:right w:w="28" w:type="dxa"/>
        </w:tblCellMar>
      </w:tblPr>
      <w:tblGrid>
        <w:gridCol w:w="2616"/>
        <w:gridCol w:w="146"/>
        <w:gridCol w:w="211"/>
        <w:gridCol w:w="676"/>
        <w:gridCol w:w="146"/>
        <w:gridCol w:w="146"/>
        <w:gridCol w:w="211"/>
        <w:gridCol w:w="571"/>
        <w:gridCol w:w="146"/>
        <w:gridCol w:w="146"/>
        <w:gridCol w:w="239"/>
        <w:gridCol w:w="391"/>
        <w:gridCol w:w="146"/>
        <w:gridCol w:w="146"/>
        <w:gridCol w:w="211"/>
        <w:gridCol w:w="676"/>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48,529</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063" w:type="dxa"/>
        <w:jc w:val="left"/>
        <w:tblInd w:w="0" w:type="dxa"/>
        <w:tblLayout w:type="fixed"/>
        <w:tblCellMar>
          <w:top w:w="28" w:type="dxa"/>
          <w:left w:w="28" w:type="dxa"/>
          <w:bottom w:w="28" w:type="dxa"/>
          <w:right w:w="28" w:type="dxa"/>
        </w:tblCellMar>
      </w:tblPr>
      <w:tblGrid>
        <w:gridCol w:w="2616"/>
        <w:gridCol w:w="146"/>
        <w:gridCol w:w="211"/>
        <w:gridCol w:w="676"/>
        <w:gridCol w:w="146"/>
        <w:gridCol w:w="146"/>
        <w:gridCol w:w="239"/>
        <w:gridCol w:w="391"/>
        <w:gridCol w:w="146"/>
        <w:gridCol w:w="146"/>
        <w:gridCol w:w="239"/>
        <w:gridCol w:w="391"/>
        <w:gridCol w:w="146"/>
        <w:gridCol w:w="146"/>
        <w:gridCol w:w="211"/>
        <w:gridCol w:w="676"/>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 and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1 financial instruments are comprised of investments in money market funds and U.S. treasuries and agencies. Level 2 financial instruments are comprised of corporate debt securities and commercial paper. There were no transfers between Level 1, Level 2, and Level 3 of the fair value hierarchy for any of the periods presented.</w:t>
      </w:r>
    </w:p>
    <w:p>
      <w:pPr>
        <w:pStyle w:val="TextBody"/>
        <w:bidi w:val="0"/>
        <w:jc w:val="left"/>
        <w:rPr/>
      </w:pPr>
      <w:r>
        <w:rPr/>
        <w:t> </w:t>
      </w:r>
    </w:p>
    <w:p>
      <w:pPr>
        <w:pStyle w:val="TextBody"/>
        <w:bidi w:val="0"/>
        <w:jc w:val="left"/>
        <w:rPr>
          <w:rFonts w:ascii="Times New Roman" w:hAnsi="Times New Roman"/>
          <w:b/>
          <w:color w:val="000000"/>
          <w:sz w:val="20"/>
        </w:rPr>
      </w:pPr>
      <w:bookmarkStart w:id="26" w:name="fn5_balance_sheet_components"/>
      <w:bookmarkEnd w:id="26"/>
      <w:r>
        <w:rPr>
          <w:rFonts w:ascii="Times New Roman" w:hAnsi="Times New Roman"/>
          <w:b/>
          <w:color w:val="000000"/>
          <w:sz w:val="20"/>
        </w:rPr>
        <w:t>5. Balance Sheet Components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net consist of the following (in thousands):</w:t>
      </w:r>
    </w:p>
    <w:tbl>
      <w:tblPr>
        <w:tblW w:w="6504" w:type="dxa"/>
        <w:jc w:val="left"/>
        <w:tblInd w:w="0" w:type="dxa"/>
        <w:tblLayout w:type="fixed"/>
        <w:tblCellMar>
          <w:top w:w="28" w:type="dxa"/>
          <w:left w:w="28" w:type="dxa"/>
          <w:bottom w:w="28" w:type="dxa"/>
          <w:right w:w="28" w:type="dxa"/>
        </w:tblCellMar>
      </w:tblPr>
      <w:tblGrid>
        <w:gridCol w:w="4051"/>
        <w:gridCol w:w="146"/>
        <w:gridCol w:w="211"/>
        <w:gridCol w:w="631"/>
        <w:gridCol w:w="166"/>
        <w:gridCol w:w="146"/>
        <w:gridCol w:w="211"/>
        <w:gridCol w:w="631"/>
        <w:gridCol w:w="3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an impairment loss of $3.7 million as of December 31, 2024. Depreciation and amortization expense totaled $0.9 million and $1.0 million for the years ended December 31, 2025 and 2024,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(in thousands): </w:t>
      </w:r>
    </w:p>
    <w:tbl>
      <w:tblPr>
        <w:tblW w:w="6454" w:type="dxa"/>
        <w:jc w:val="left"/>
        <w:tblInd w:w="0" w:type="dxa"/>
        <w:tblLayout w:type="fixed"/>
        <w:tblCellMar>
          <w:top w:w="28" w:type="dxa"/>
          <w:left w:w="28" w:type="dxa"/>
          <w:bottom w:w="28" w:type="dxa"/>
          <w:right w:w="28" w:type="dxa"/>
        </w:tblCellMar>
      </w:tblPr>
      <w:tblGrid>
        <w:gridCol w:w="4261"/>
        <w:gridCol w:w="146"/>
        <w:gridCol w:w="211"/>
        <w:gridCol w:w="571"/>
        <w:gridCol w:w="146"/>
        <w:gridCol w:w="146"/>
        <w:gridCol w:w="211"/>
        <w:gridCol w:w="57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preclinical and clinical trial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bookmarkStart w:id="27" w:name="fn6_arrangements"/>
      <w:bookmarkEnd w:id="27"/>
      <w:r>
        <w:rPr>
          <w:rFonts w:ascii="Times New Roman" w:hAnsi="Times New Roman"/>
          <w:b/>
          <w:color w:val="000000"/>
          <w:sz w:val="20"/>
        </w:rPr>
        <w:t>6. Evaluation, Collaboration and License, and Collaborative Arrangements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Chugai Collaboration and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2025, the Company entered into a Collaboration and License Agreement (the “Chugai Collaboration and License Agreement”) with Chugai Pharmaceutical Co., Ltd. ("Chugai"). Under the Chugai Collaboration and License Agreement, the Company and Chugai will collaborate to develop, manufacture, seek regulatory approvals for and, if approved, commercialize a product (the “Chugai Product”) (RT-117) combining Chugai’s antibody (the “Compound”), which is in development for hemophilia, and the RaniPill HC oral delivery device (the “Device”) for use in humans. Under the Chugai Collaboration and License Agreement, the Company received a $10.0 million upfront payment and is eligible to receive up to $18.0 million in technology transfer milestones (of which $10.0 million is subject to the customer's option), up to $57.0 million in regulatory and development milestones, up to $100.0 million in a series of sales-based milestones, contingent upon approval and the commercial success of the Chugai Product, and single digit royalties on net sales upon approval and successful commercialization of the Chugai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Chugai Collaboration and License Agreement, the Company granted Chugai an exclusive, worldwide right and license to certain intellectual property owned by the Company to research, develop, register, manufacture, use, sell, offer to sell, import, export, commercialize, and market the Chugai Product. Chugai granted the Company a non-exclusive, worldwide right and license to certain intellectual property owned by Chugai to manufacture and supply the Device and Chugai Product to Chugai and to perform activities under the Chugai Collaboration and License Agreement. Both parties have the right to sublicense subject to certain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Chugai has a one-time limited option to replace the Compound with a different compound subject to certain terms and conditions, a time-limited right of first refusal with respect to a select group of additional targets, and a time-limited option to extend its rights to up to five of the additional drug targets, each exercisable upon payment of a $5.0 million additional target fee, under similar deal terms as the Chugai Collaboration and License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parties have the right to terminate the Chugai Collaboration and License Agreement at any time through mutual written consent. Chugai has the unilateral right to terminate the Chugai Collaboration and License Agreement at will, without cause, by providing the Company with 60 days’ prior written notice. Upon termination, Chugai must wind down development, regulatory, and commercial activities and continue paying royalties on any remaining net sales made during the wind-down period. Further, both the Company and Chugai retain their ownership of intellectual property, program inventions, and the license automatically becomes exclusive, irrevocable, perpetual, and fully paid</w:t>
        <w:noBreakHyphen/>
        <w:t xml:space="preserve">up in favor of Chugai, unless Chugai terminated the Agreement without cause.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determined that the Chugai Collaboration and License Agreement falls within the scope of ASC 808, with certain elements accounted for under ASC 606. Specifically, the exclusive license granted to Chugai, technology transfer of a sterile manufacturing process, sales-based milestones, and royalties are accounted for under ASC 606, while the development related activities are accounted for as collaborative arrangements under ASC 808.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ASC 606, the Company concluded there is one combined performance obligation, primarily consisting of the exclusive license, the information transfer of the Company's intellectual property, and the sterile manufacturing process research and know-how transfer. The combined performance obligation conveys a right to use the Company's functional intellectual property, which has significant standalone value as Chugai has exclusive rights to use the Compound within the RaniPill. The performance obligation is a stand ready obligation that is satisfied over time by providing Chugai with ongoing access to the Company's leadership throughout the period of delivery of regulatory feedback on the sterile manufacturing process, in order to answer regulatory questions when and if they are asked.</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time based (straight line) measure of progress to recognize revenue for the arrangement over time as the performance obligation is satisfied, which is the period from license issuance through the period over which sterile manufacturing process research activities and the corresponding know-how transfer occur. Accordingly, the Company expects to recognize the initial $10.0 million transaction price between the execution of the arrangement through the expected completion date of the sterile manufacturing process transfer.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transaction price primarily consisted of the $10.0 million upfront payment. Additional variable considerations including development milestones have been excluded from the initial transaction price because achievement is not considered probable and is fully constrained due to uncertainties outside the Company's control. Based on its assessment as of December 31, 2025, the Company concluded that no milestone</w:t>
        <w:noBreakHyphen/>
        <w:t xml:space="preserve">related variable consideration were probable of achievement and therefore none were included in the transaction price. The Company will reassess milestone-related variable consideration each reporting period and will update the transaction price once it becomes probable and the associated constraint is lifted. Any milestone consideration included in the transaction price will be recognized when the milestone is achieved or consistent with the pattern of recognition of the associated performance obligation, including through cumulative catch-up adjustments, as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2025, the Company recognized $1.5 million as revenue and $8.5 million as deferred revenue on the consolidated statement of operations and consolidated balance sheet, respectively. Of the $10.0 million upfront payment, $8.0 million was received in cash and $2.0 million remains in accounts receivable relates to tax withheld by the Japanese tax authorities, which is expected to be refunded to the Company upon submission and acceptance of the required residency certificate. The Company expects to collect the full amount and does not view the withholding as impacting the collectability assessment under ASC 606.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Arrangement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2024, the Company entered into a contract with Chugai to conduct evaluation services of certain Chugai compounds for oral delivery using the RaniPill HC (the "Chugai Research Agreement"), which was concluded to be a single performance obligation with an enforceable right to payment. The Company received an up-front payment of $0.6 million upon execution of the contract. Upon completion of the evaluation services, in April 2025, the Company was paid a final $0.6 million for an aggregate total of $1.2 million due under the contract. In addition, if agreed upon, the agreement allows for joint filing of certain intellectual property protection in which all associated expenses will be shared equally. Chugai has the ability to terminate the agreement at any time by providing 10 days’ written notice after the effective date of the contract. The contract can be terminated for cause by either party based on uncured material breach by the other party. Upon early termination, all ongoing activities under the agreement and all mutual collaboration, development and commercialization licenses and sublicenses will terminate. For the years ended December 31, 2025 and 2024, $0.1 million and $1.0 million, respectively, in contract revenue were recognized for evaluation services performed. As of December 31, 2025, no contract asset or contract liability was outstanding under the Chugai Research Agreement, as all consideration received had been recognized as revenue in proportion to the services performed. As of December 31, 2024, the contract asset balance was $0.4 million and the contract liability balance was zero.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ProGen Co., Ltd.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2024, the Company and ProGen Co., Ltd. (“ProGen”) entered into a Collaboration Agreement (the “Collaboration Agreement”). Under the Collaboration Agreement, the Company and ProGen will collaborate to manufacture, develop, seek regulatory approvals for and, if approved, commercialize a product (the “Product” or "RT-114") combining ProGen’s GLP-1/GLP-2 dual agonist compound, PG-102, and the RaniPill HC oral delivery device in the field of weight management (including without limitation obesity, weight reduction and weight maintenance) in humans (the “Collaboration”).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Collaboration Agreement, development costs, as well as operating profits and losses from the commercialization of the Product, will be equally shared by the Company and ProGen. The Company and ProGen each granted to the other party an exclusive right and license (except with respect to the other party’s affiliates and sublicensees) to certain intellectual property to develop the Product for weight management and an exclusive right and license to seek regulatory approval for, and to use, sell, offer to sell, import and commercialize the Product in their assigned territories. The parties share responsibility for the development of RT-114 worldwide, with the Company leading such development for preclinical activities through Phase 1 clinical trials. After initiation of the first Phase 2 clinical trial, the Company will lead development and commercialization of the Product in the United States, Canada, Europe (including the United Kingdom) and Australia, and ProGen will lead development and commercialization in all other countries.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party has the right to opt-out of the Collaboration (“Opt-Out”) at any time upon prior written notice to the other party. Following an Opt-Out, the continuing party shall have sole right to develop, conduct regulatory activities for and commercialize the Product on a worldwide basis. The Opt-Out party shall share all development costs and operating profit (or loss) through the effective date of the Opt-Out, and all costs to complete the conduct of any clinical trials of Product that have been initiated prior to delivery of the Opt-Out notice, even if the costs are incurred or the trials are completed after the effective date of the Opt-Out. The continuing party shall pay to the Opt-Out party low single to mid-single digit royalties on net sales of the Product made after the Opt-Out date depending on when the Opt-Out occurs.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determined that the Collaboration Agreement is not a contract with a customer and is therefore accounted for under ASC 808. The Company evaluates the presentation of amounts due from ProGen based on the nature of each separate activity. Reimbursements from ProGen are recognized as contra-research and development expense on the Consolidated Statement of Operations once earned and collectability is assured. For each of the years ended December 31, 2025 and 2024, reimbursement received from ProGen recorded as contra-research and development expense were $0.1 million and de minimis, respectively. </w:t>
      </w:r>
    </w:p>
    <w:p>
      <w:pPr>
        <w:pStyle w:val="TextBody"/>
        <w:bidi w:val="0"/>
        <w:spacing w:before="240" w:after="283"/>
        <w:jc w:val="left"/>
        <w:rPr/>
      </w:pPr>
      <w:r>
        <w:rPr/>
        <w:t> </w:t>
      </w:r>
    </w:p>
    <w:p>
      <w:pPr>
        <w:pStyle w:val="TextBody"/>
        <w:bidi w:val="0"/>
        <w:jc w:val="left"/>
        <w:rPr>
          <w:rFonts w:ascii="Times New Roman" w:hAnsi="Times New Roman"/>
          <w:sz w:val="20"/>
        </w:rPr>
      </w:pPr>
      <w:bookmarkStart w:id="28" w:name="fn7_related_party_transactions"/>
      <w:bookmarkEnd w:id="28"/>
      <w:r>
        <w:rPr>
          <w:rFonts w:ascii="Times New Roman" w:hAnsi="Times New Roman"/>
          <w:b/>
          <w:color w:val="000000"/>
          <w:sz w:val="20"/>
        </w:rPr>
        <w:t>7. Related Party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founder and Chairman of the Company is the father of the Company’s Chief Executive Officer and the brother of the Company’s Chief Scientific Officer. Thus, the Company's Chief Scientific Officer is also the uncle of the Company’s Chief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InCube Labs, LLC (“ICL”) is wholly-owned by the Company’s founder and Chairman and his family.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Participation in Private Placement</w:t>
      </w:r>
    </w:p>
    <w:p>
      <w:pPr>
        <w:pStyle w:val="TextBody"/>
        <w:bidi w:val="0"/>
        <w:spacing w:before="240" w:after="283"/>
        <w:jc w:val="left"/>
        <w:rPr/>
      </w:pPr>
      <w:r>
        <w:rPr>
          <w:rFonts w:ascii="Times New Roman" w:hAnsi="Times New Roman"/>
          <w:color w:val="000000"/>
          <w:sz w:val="20"/>
        </w:rPr>
        <w:t xml:space="preserve">In October 2025, the founder and Chairman of the Board of Directors of the Company, Mir Imran, participated in the Private Placement as an affiliated investor and purchased 2,083,334 Shares and 2,083,334 Common Warrants at a purchase price of $0.605 per share, which reflected the consolidated closing bid price of the Company's Class A Common Stock on October 16, 2025, as reported on the Nasdaq Stock Market, plus $0.125 per Common Warrant, for the aggregate purchase price of $1.3 million. Refer to </w:t>
      </w:r>
      <w:hyperlink w:anchor="fn9_warrants">
        <w:r>
          <w:rPr>
            <w:rStyle w:val="InternetLink"/>
            <w:rFonts w:ascii="Times New Roman" w:hAnsi="Times New Roman"/>
            <w:color w:val="0000FF"/>
            <w:sz w:val="20"/>
            <w:u w:val="single"/>
          </w:rPr>
          <w:t>Note 9</w:t>
        </w:r>
      </w:hyperlink>
      <w:hyperlink w:anchor="fn9_warrants">
        <w:r>
          <w:rPr>
            <w:rStyle w:val="InternetLink"/>
            <w:rFonts w:ascii="Times New Roman" w:hAnsi="Times New Roman"/>
            <w:color w:val="0000FF"/>
            <w:sz w:val="20"/>
          </w:rPr>
          <w:t xml:space="preserve"> </w:t>
        </w:r>
      </w:hyperlink>
      <w:r>
        <w:rPr>
          <w:rFonts w:ascii="Times New Roman" w:hAnsi="Times New Roman"/>
          <w:color w:val="000000"/>
          <w:sz w:val="20"/>
        </w:rPr>
        <w:t xml:space="preserve">for additional details on the Private Placement. </w:t>
      </w:r>
    </w:p>
    <w:p>
      <w:pPr>
        <w:pStyle w:val="TextBody"/>
        <w:bidi w:val="0"/>
        <w:spacing w:before="240" w:after="283"/>
        <w:jc w:val="left"/>
        <w:rPr>
          <w:rFonts w:ascii="Times New Roman" w:hAnsi="Times New Roman"/>
          <w:sz w:val="20"/>
        </w:rPr>
      </w:pPr>
      <w:r>
        <w:rPr>
          <w:rFonts w:ascii="Times New Roman" w:hAnsi="Times New Roman"/>
          <w:b/>
          <w:i/>
          <w:color w:val="000000"/>
          <w:sz w:val="20"/>
        </w:rPr>
        <w:t>Service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had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 The Occupancy Services for the facility in San Antonio, Texas terminated in June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Occupancy Services for the facility in Milpitas, California expired in August 2024. </w:t>
      </w:r>
    </w:p>
    <w:p>
      <w:pPr>
        <w:pStyle w:val="TextBody"/>
        <w:bidi w:val="0"/>
        <w:spacing w:before="240" w:after="283"/>
        <w:jc w:val="left"/>
        <w:rPr/>
      </w:pPr>
      <w:r>
        <w:rPr>
          <w:rFonts w:ascii="Times New Roman" w:hAnsi="Times New Roman"/>
          <w:color w:val="000000"/>
          <w:sz w:val="20"/>
        </w:rPr>
        <w:t>In April 2022, Rani LLC entered into a service agreement for a facility in San Jose, California. In March 2024, the Company entered into an amendment to increase the Occupancy Services from 23,000 square feet to 24,000 square feet (such agreement, as amended, the “RMS-ICL Service Agreement”). The RMS-ICL Service Agreement has a twelve-month term and will automatically renew for successive twelve-month periods unless terminated (</w:t>
      </w:r>
      <w:hyperlink w:anchor="fn8_leases">
        <w:r>
          <w:rPr>
            <w:rStyle w:val="InternetLink"/>
            <w:rFonts w:ascii="Times New Roman" w:hAnsi="Times New Roman"/>
            <w:color w:val="0000FF"/>
            <w:sz w:val="20"/>
            <w:u w:val="single"/>
          </w:rPr>
          <w:t>Note 8</w:t>
        </w:r>
      </w:hyperlink>
      <w:r>
        <w:rPr>
          <w:rFonts w:ascii="Times New Roman" w:hAnsi="Times New Roman"/>
          <w:color w:val="000000"/>
          <w:sz w:val="20"/>
        </w:rPr>
        <w:t>).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ICL administrative fees and research and development expenses are billed or charged on a monthly basis by ICL or Rani LLC, respectively, as well as allocations of expenses based upon Rani LLC’s utilization of ICL’s facilities and equipment.</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details the amounts charged by ICL for services and rent, net of the amount that the Company charged ICL, which is included in the consolidated statements of operations (in thousands):</w:t>
      </w:r>
    </w:p>
    <w:p>
      <w:pPr>
        <w:pStyle w:val="TextBody"/>
        <w:bidi w:val="0"/>
        <w:jc w:val="left"/>
        <w:rPr/>
      </w:pPr>
      <w:r>
        <w:rPr/>
        <w:t> </w:t>
      </w:r>
    </w:p>
    <w:tbl>
      <w:tblPr>
        <w:tblW w:w="4641" w:type="dxa"/>
        <w:jc w:val="left"/>
        <w:tblInd w:w="0" w:type="dxa"/>
        <w:tblLayout w:type="fixed"/>
        <w:tblCellMar>
          <w:top w:w="28" w:type="dxa"/>
          <w:left w:w="28" w:type="dxa"/>
          <w:bottom w:w="28" w:type="dxa"/>
          <w:right w:w="28" w:type="dxa"/>
        </w:tblCellMar>
      </w:tblPr>
      <w:tblGrid>
        <w:gridCol w:w="2311"/>
        <w:gridCol w:w="146"/>
        <w:gridCol w:w="244"/>
        <w:gridCol w:w="486"/>
        <w:gridCol w:w="191"/>
        <w:gridCol w:w="168"/>
        <w:gridCol w:w="244"/>
        <w:gridCol w:w="660"/>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rFonts w:ascii="Times New Roman" w:hAnsi="Times New Roman"/>
          <w:color w:val="000000"/>
          <w:sz w:val="20"/>
        </w:rPr>
        <w:t xml:space="preserve">As of December 31, 2025, one of the Company's facilities was owned by an entity affiliated with the Company’s Chairman </w:t>
      </w:r>
      <w:hyperlink w:anchor="fn8_leases">
        <w:r>
          <w:rPr>
            <w:rStyle w:val="InternetLink"/>
            <w:rFonts w:ascii="Times New Roman" w:hAnsi="Times New Roman"/>
            <w:color w:val="0000FF"/>
            <w:sz w:val="20"/>
            <w:u w:val="single"/>
          </w:rPr>
          <w:t>(Note 8</w:t>
        </w:r>
      </w:hyperlink>
      <w:r>
        <w:rPr>
          <w:rFonts w:ascii="Times New Roman" w:hAnsi="Times New Roman"/>
          <w:color w:val="000000"/>
          <w:sz w:val="20"/>
        </w:rPr>
        <w:t>). The Company pays for the use of this facility through the RMS-ICL Service Agreement.</w:t>
      </w:r>
    </w:p>
    <w:p>
      <w:pPr>
        <w:pStyle w:val="TextBody"/>
        <w:bidi w:val="0"/>
        <w:spacing w:before="240" w:after="283"/>
        <w:jc w:val="left"/>
        <w:rPr>
          <w:rFonts w:ascii="Times New Roman" w:hAnsi="Times New Roman"/>
          <w:sz w:val="20"/>
        </w:rPr>
      </w:pPr>
      <w:r>
        <w:rPr>
          <w:rFonts w:ascii="Times New Roman" w:hAnsi="Times New Roman"/>
          <w:b/>
          <w:i/>
          <w:color w:val="000000"/>
          <w:sz w:val="20"/>
        </w:rPr>
        <w:t>Exclusive License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2025, as part of a strategic focusing of the Company's resources, the Company notified ICL that it is terminating the Amended and Restated Exclusive License Agreement in its entirety. The termination became effective on January 18, 2026, and the Company no longer has any obligations to ICL under the Amended and Restated Exclusive License Agreement. </w:t>
      </w:r>
    </w:p>
    <w:p>
      <w:pPr>
        <w:pStyle w:val="TextBody"/>
        <w:bidi w:val="0"/>
        <w:spacing w:before="240" w:after="283"/>
        <w:jc w:val="left"/>
        <w:rPr>
          <w:rFonts w:ascii="Times New Roman" w:hAnsi="Times New Roman"/>
          <w:sz w:val="20"/>
        </w:rPr>
      </w:pPr>
      <w:r>
        <w:rPr>
          <w:rFonts w:ascii="Times New Roman" w:hAnsi="Times New Roman"/>
          <w:b/>
          <w:i/>
          <w:color w:val="000000"/>
          <w:sz w:val="20"/>
        </w:rPr>
        <w:t>Non-Exclusive License Agreement between Rani and ICL (“Non-Exclusive License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jc w:val="left"/>
        <w:rPr/>
      </w:pPr>
      <w:r>
        <w:rPr>
          <w:rFonts w:ascii="Times New Roman" w:hAnsi="Times New Roman"/>
          <w:color w:val="000000"/>
          <w:sz w:val="20"/>
        </w:rPr>
        <w:t>Certain parties to the TRA, entered into in August 2021 pursuant to the IPO and Organizational Transactions are related parties of the Company. The TRA provides that the Company pay to ICL and the other Continuing LLC Owners 85% of the amount of tax benefits, if any, it is deemed to realize from exchanges of Paired Interests. For each of the years ended December 31, 2025 and 2024, these parties to the TRA exchanged zero Paired Interests that resulted in tax benefits subject to the TRA (</w:t>
      </w:r>
      <w:hyperlink w:anchor="fn12_commitments_and_contingencies">
        <w:r>
          <w:rPr>
            <w:rStyle w:val="InternetLink"/>
            <w:rFonts w:ascii="Times New Roman" w:hAnsi="Times New Roman"/>
            <w:color w:val="0000FF"/>
            <w:sz w:val="20"/>
            <w:u w:val="single"/>
          </w:rPr>
          <w:t>Note 12</w:t>
        </w:r>
      </w:hyperlink>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terms of the Private Placement, the Company entered into the TRA Termination Agreement in December 2025 to terminate the TRA and disclaim any rights or interests thereunder. As a result of the termination, the Company has no further obligations under the TRA, and no tax benefit payments or early termination payments were required in connection with such termination. The TRA Termination Agreement provides for the mutual release of the parties from all obligations under the TRA, effective as of December 31, 2025.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Rani LLC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its business through Rani LLC. In connection with the IPO, the Company and the Continuing LLC Owners, including ICL and its affiliates, entered into the Rani LLC Agreement. As part of the Private Placement, the Rani LLC Agreement was amended in connection with the Restated Charter and was adopted as the Sixth Amended and Restated Limited Liability Company Agreement (the “Amended Rani LLC Agreement”) effective as of December 31, 2025. The governance of Rani LLC, and the rights and obligations of the holders of LLC Interests, are set forth in the Amended Rani LLC Agreement. As Continuing LLC Owners, ICL and its affiliates are entitled to exchange, subject to the terms of the Amended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years ended December 31, 2025 and 2024, certain related parties that are parties to the Amended Rani LLC Agreement exchanged zero Paired Interests, for an equal number of shares of the Company's Class A common stock.</w:t>
      </w:r>
    </w:p>
    <w:p>
      <w:pPr>
        <w:pStyle w:val="TextBody"/>
        <w:bidi w:val="0"/>
        <w:jc w:val="left"/>
        <w:rPr/>
      </w:pPr>
      <w:r>
        <w:rPr/>
        <w:t> </w:t>
      </w:r>
    </w:p>
    <w:p>
      <w:pPr>
        <w:pStyle w:val="TextBody"/>
        <w:bidi w:val="0"/>
        <w:jc w:val="left"/>
        <w:rPr>
          <w:rFonts w:ascii="Times New Roman" w:hAnsi="Times New Roman"/>
          <w:b/>
          <w:color w:val="000000"/>
          <w:sz w:val="20"/>
        </w:rPr>
      </w:pPr>
      <w:bookmarkStart w:id="29" w:name="fn8_leases"/>
      <w:bookmarkEnd w:id="29"/>
      <w:r>
        <w:rPr>
          <w:rFonts w:ascii="Times New Roman" w:hAnsi="Times New Roman"/>
          <w:b/>
          <w:color w:val="000000"/>
          <w:sz w:val="20"/>
        </w:rPr>
        <w:t>8.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Rani LLC and BKM South Bay 240, LLC (“Landlord”) entered into the Standard Industrial/Commercial Multi-Tenant Lease - Net (the “Lease”). Pursuant to the terms of the Lease, Rani LLC is leasing approximately 33,000 square feet of space in Fremont, California, which is part of a two-building project (the “Project”). The initial term of the Lease commenced in February 2024, and the duration of the initial term is 63 months. Subject to certain conditions, Rani LLC has an option to renew the Lease for one additional 5-year term at the then-prevailing market rate. The monthly base rent for the initial term of the Lease is approximately $95,000 per month, subject to a 4% increase each year. Rani LLC is also responsible for the payment of additional rent to cover its share of common area operating expenses, including taxes, insurance, utilities, and repair and maintenance of the premises and common areas of the Project.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Company pays for the use of its office, laboratory and manufacturing facility in San Jose, California as part of the RMS-ICL Service Agreement. In March 2024, the Company entered into an amendment to increase the Occupancy Services from 23,000 square feet to 24,000 square feet. The RMS-ICL Service Agreement has a twelve-month term and will automatically renew for successive twelve-month periods unless Rani LLC or ICL terminate occupancy under the RMS-ICL Service Agreement upon six months’ notice. In October 2025, the Company determined it to be reasonably certain that it would exercise its renewal option for a successive twelve-month period through 2026. The Company accounted for the renewal option as a lease modification that did not result in a separate contract and recognized the additional right-of-use asset and corresponding lease liabilities associated with the Rani LLC-ICL Service Agreement in its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Rani LLC-ICL Service Agreement amended in March 2022, Rani LLC had a right to occupy certain facilities leased by ICL in Milpitas, California and San Antonio, Texas for general office, research and development, and light manufacturing. The Rani LLC-ICL Service Agreement has a twelve-month term and will automatically renew for a successive twelve-month periods unless terminated. The Company accounted for its Occupancy Services in San Antonio, Texas as a short-term lease. In December 2023, the Company provided to ICL notice of termination of the Occupancy Services in San Antonio, which took effect in June 2024. In March 2024, the Company extended the Occupancy Services for the facility in Milpitas, California for an additional six-month term through August 2024 and increased the payment for such Occupancy Services during the extension period. The Company accounted for the March 2024 extension for its Occupancy Services in Milpitas, California as a short-term lease. The Occupancy Services for the facility in Milpitas, California expired in August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Variable lease payments are excluded from the total operating lease expense and immaterial for the periods presented.</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Supplemental information on the Company’s consolidated balance sheet and statements of cash flows as of December 31, 2025 and 2024, respectively, related to the Company's leases was as follows (in thousands):</w:t>
      </w:r>
    </w:p>
    <w:p>
      <w:pPr>
        <w:pStyle w:val="TextBody"/>
        <w:bidi w:val="0"/>
        <w:jc w:val="left"/>
        <w:rPr/>
      </w:pPr>
      <w:r>
        <w:rPr/>
        <w:t> </w:t>
      </w:r>
    </w:p>
    <w:tbl>
      <w:tblPr>
        <w:tblW w:w="6229" w:type="dxa"/>
        <w:jc w:val="left"/>
        <w:tblInd w:w="0" w:type="dxa"/>
        <w:tblLayout w:type="fixed"/>
        <w:tblCellMar>
          <w:top w:w="28" w:type="dxa"/>
          <w:left w:w="28" w:type="dxa"/>
          <w:bottom w:w="28" w:type="dxa"/>
          <w:right w:w="28" w:type="dxa"/>
        </w:tblCellMar>
      </w:tblPr>
      <w:tblGrid>
        <w:gridCol w:w="4126"/>
        <w:gridCol w:w="146"/>
        <w:gridCol w:w="146"/>
        <w:gridCol w:w="466"/>
        <w:gridCol w:w="271"/>
        <w:gridCol w:w="146"/>
        <w:gridCol w:w="146"/>
        <w:gridCol w:w="466"/>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tbl>
      <w:tblPr>
        <w:tblW w:w="6777" w:type="dxa"/>
        <w:jc w:val="left"/>
        <w:tblInd w:w="0" w:type="dxa"/>
        <w:tblLayout w:type="fixed"/>
        <w:tblCellMar>
          <w:top w:w="28" w:type="dxa"/>
          <w:left w:w="28" w:type="dxa"/>
          <w:bottom w:w="28" w:type="dxa"/>
          <w:right w:w="28" w:type="dxa"/>
        </w:tblCellMar>
      </w:tblPr>
      <w:tblGrid>
        <w:gridCol w:w="4246"/>
        <w:gridCol w:w="146"/>
        <w:gridCol w:w="226"/>
        <w:gridCol w:w="614"/>
        <w:gridCol w:w="157"/>
        <w:gridCol w:w="157"/>
        <w:gridCol w:w="226"/>
        <w:gridCol w:w="614"/>
        <w:gridCol w:w="3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used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minimum annual rental payments under the Company’s operating lease agreements are as follows (in thousands), excluding short-term leases:</w:t>
      </w:r>
    </w:p>
    <w:p>
      <w:pPr>
        <w:pStyle w:val="TextBody"/>
        <w:bidi w:val="0"/>
        <w:jc w:val="left"/>
        <w:rPr/>
      </w:pPr>
      <w:r>
        <w:rPr/>
        <w:t> </w:t>
      </w:r>
    </w:p>
    <w:tbl>
      <w:tblPr>
        <w:tblW w:w="5875" w:type="dxa"/>
        <w:jc w:val="left"/>
        <w:tblInd w:w="0" w:type="dxa"/>
        <w:tblLayout w:type="fixed"/>
        <w:tblCellMar>
          <w:top w:w="28" w:type="dxa"/>
          <w:left w:w="28" w:type="dxa"/>
          <w:bottom w:w="28" w:type="dxa"/>
          <w:right w:w="28" w:type="dxa"/>
        </w:tblCellMar>
      </w:tblPr>
      <w:tblGrid>
        <w:gridCol w:w="4536"/>
        <w:gridCol w:w="146"/>
        <w:gridCol w:w="211"/>
        <w:gridCol w:w="571"/>
        <w:gridCol w:w="4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net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rFonts w:ascii="Times New Roman" w:hAnsi="Times New Roman"/>
          <w:sz w:val="20"/>
        </w:rPr>
      </w:pPr>
      <w:bookmarkStart w:id="30" w:name="fn9_warrants"/>
      <w:bookmarkEnd w:id="30"/>
      <w:r>
        <w:rPr>
          <w:rFonts w:ascii="Times New Roman" w:hAnsi="Times New Roman"/>
          <w:b/>
          <w:color w:val="000000"/>
          <w:sz w:val="20"/>
        </w:rPr>
        <w:t>9. Warrants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240" w:after="283"/>
        <w:jc w:val="left"/>
        <w:rPr/>
      </w:pPr>
      <w:r>
        <w:rPr>
          <w:rFonts w:ascii="Times New Roman" w:hAnsi="Times New Roman"/>
          <w:color w:val="000000"/>
          <w:sz w:val="20"/>
        </w:rPr>
        <w:t xml:space="preserve">In October 2025, the Company entered into a Private Placement with (i) certain institutional and accredited investors (the “Institutional Investors”) and (ii) Mir Imran, chairman of the Company’s Board of Directors (the “Affiliated Investor” and, together with the Institutional Investors, each, a “Purchaser” and, together, the “Purchasers”), pursuant to which the Company issued and sold (i) 42,633,337 shares (the “Shares”) of its Class A common stock, par value $0.0001 per share (the “Class A Common Stock”), (ii) warrants to purchase up to an aggregate of 125,000,004 shares of Class A Common Stock or pre-funded warrants (the “Common Warrants”) and (iii) pre-funded warrants to purchase up to an aggregate of 82,366,667 shares of Class A Common Stock (the “Pre-Funded Warrants”). The Common Warrants and Pre-Funded Warrants are classified as equity on the Company’s consolidated balance sheet. The warrants include certain rights upon “fundamental transactions,” as described in the warrant agreement,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warrants on the date of the consummation of the fundamental transactions. The purchase price of the Shares to the Institutional Investors is $0.48 per share; and the purchase price of the Shares to the Affiliated Investor is $0.605 per share. The purchase price of the Pre-Funded Warrants to the Purchasers is $0.4799 per Pre-Funded Warrant. The aggregate gross proceeds to the Company from the closing of the Private Placement are approximately $60.3 million (including conversion of $6.0 million of the Loan's principal balance, see </w:t>
      </w:r>
      <w:hyperlink w:anchor="fn13_long_term_debt">
        <w:r>
          <w:rPr>
            <w:rStyle w:val="InternetLink"/>
            <w:rFonts w:ascii="Times New Roman" w:hAnsi="Times New Roman"/>
            <w:color w:val="0000FF"/>
            <w:sz w:val="20"/>
            <w:u w:val="single"/>
          </w:rPr>
          <w:t>Note 13</w:t>
        </w:r>
      </w:hyperlink>
      <w:r>
        <w:rPr>
          <w:rFonts w:ascii="Times New Roman" w:hAnsi="Times New Roman"/>
          <w:color w:val="000000"/>
          <w:sz w:val="20"/>
        </w:rPr>
        <w:t xml:space="preserve">), before deducting placement agent fees of approximately $4.5 million and other expenses payable by the Company, and excluding the proceeds, if any, from the exercise of the Common Warrants.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Common Warrants became exercisable following the effective date of stockholder approval in December 2025 and have a term of five years following the initial exercise date. The Common Warrants purchased by the Purchasers have an exercise price of $0.48 per share. The Pre-Funded Warrants are exercisable immediately following the closing, have an unlimited term and an exercise price of $0.0001 per share. In January 2026, a Purchaser exercised 2,099,844 shares of Pre-Funded Warrants, resulting in 80,266,823 shares of Pre-Funded Warrants outstanding. The Company received de minimis proceeds from the exercise.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Registration Rights Agreement</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2025, the Company entered into a registration rights agreement with the Purchasers (the “Registration Rights Agreement”), pursuant to which the Company agreed to file registration statements under the Securities Act of 1933, as amended (the “Securities Act”), with the Securities and Exchange Commission (the "SEC"), covering the resale of the Shares to be issued in the Private Placement and the shares of Class A Common Stock underlying the Common Warrants and Pre-Funded Warrants. In November 2025, the Company filed a Registration Statement on Form S-3 (the “Resale Registration Statement”) covering the resale of the Shares to be issued in the Private Placement and the shares of Class A Common Stock underlying the Common Warrants and Pre-Funded Warrants. In December 2025, the Resale Registration Statement was declared effective by the SEC.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July 2025 Securities Purchase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the Company entered into a securities purchase agreement (the "July 2025 Securities Purchase Agreement"), with an institutional investor, relating to the issuance and sale of 4,354,000 shares of Class A common stock, par value $0.0001 per share, and pre-funded warrants to purchase 3,146,000 shares of Class A common stock. The pre-funded warrants are exercisable immediately following the closing date of the offering, have an unlimited term, an exercise price of $0.0001 per share. The warrants are equity classified on the Company's consolidated balance sheet. The offering price was $0.40 per share of Class A common stock, and $0.3999 per pre-funded warrant for total gross proceeds of $3.0 million. The Company incurred issuance costs of approximately $0.2 million. In July 2025, the institutional investor fully exercised all pre-funded warrants.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Service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in conjunction with a service agreement, the Company issued warrants to purchase 300,000 shares of the Company's Class A common stock, $0.0001 par value per share ("Service Warrants") to a third party vendor. The value of the Service Warrants was expensed immediately as a general and administrative cost. The Service Warrants are exercisable for a period of five years from the issuance date, at an exercise price per share equal to $0.70. The Service Warrants are classified as equity on the Company's consolidated balance sheet. The Service Warrants include certain rights upon “fundamental transactions,” as described in the warrant agreement,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warrants on the date of the consummation of the fundamental transactions. As of December 31, 2025, all of the Service Warrants were outstanding. In February 2026, the service agreement was terminated, however the issued Service Warrants remain outstanding with terms unchanged.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Letter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the Company entered into a letter agreement (the “Letter Agreement”) with an existing institutional investor (the “Equity Investor”) pursuant to which the Equity Investor exercised for cash all outstanding Series B and Series C warrants (refer to October 2024 Securities Purchase Agreement and July 2024 Securities Purchase Agreement sections below) at a reduced exercise price of $0.65 per share, for net proceeds of $3.9 million in consideration for the Company’s issuance of a new Series D common stock warrant (the “Series D Warrants”) to purchase an aggregate of 13,160,172 shares of Class A common stock, $0.0001 par value per share (the “Class A Common Stock”). Modification accounting was only performed on the warrants that were actually exercised pursuant to the Letter Agreement as it represented a short-term inducement. The Company remeasured the warrants at the reduced exercise price and recognized a $1.3 million inducement charge in the consolidated statements of changes in stockholders' equity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Series D Warrants were exercisable immediately following stockholder approval, and will expire five years from the date of stockholder approval and have an exercise price of $0.65 per share. The Series D Warrants include certain rights upon “fundamental transactions,” as described in the Series D Warrant agreement,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Series D Warrants on the date of the consummation of the fundamental transactions. The Series D Warrant is classified as equity on the Company's consolidated balance sheet. In October 2025, pursuant to the Letter Agreement, the equity investor exercised the Series D Warrants to purchase 6,967,150 shares of Class A Common Stock for cash proceeds of $4.5 million. As a result of the exercise, 6,193,022 Series D Warrants remained outstanding as of December 31, 2025. </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terms of the Letter Agreement, in the event that the exercise of the Series B and Series C warrants would have otherwise caused a holder to exceed the beneficial ownership limitations set forth in the existing warrant, the Company issued the number of shares that would not cause a holder to exceed such beneficial ownership limitation and agreed to hold such balance of shares of common stock in abeyance. Accordingly, an aggregate of 1,161,000 shares of common stock from the exercise of the Series B and Series C warrants were held in abe</w:t>
      </w:r>
      <w:r>
        <w:rPr>
          <w:rFonts w:ascii="Times New Roman" w:hAnsi="Times New Roman"/>
          <w:color w:val="212529"/>
          <w:sz w:val="20"/>
        </w:rPr>
        <w:t>yance (the “Abeyance Shares”) with such Abey</w:t>
      </w:r>
      <w:r>
        <w:rPr>
          <w:rFonts w:ascii="Times New Roman" w:hAnsi="Times New Roman"/>
          <w:color w:val="000000"/>
          <w:sz w:val="20"/>
        </w:rPr>
        <w:t xml:space="preserve">ance Shares evidenced through the holder’s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existing warrants and which are deemed to be prepaid. The Abeyance Shares were to be held until notice is received by the holder that the balance of the shares of common stock may be issued in compliance with such beneficial ownership limitations and may be exercised pursuant to a notice of exercise from the holder. The Abeyance Shares were subsequently released and considered shares of common stock in July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October 2024 Securities Purchase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2024, the Company entered into a securities purchase agreement (the “October 2024 Securities Purchase Agreement”) with the Equity Investor relating to the issuance and sale of: (i) 3,000,000 shares of its Class A common stock, par value $0.0001 per share, (ii) pre-funded warrants to purchase 333,333 shares of Class A common stock, and (iii) Series C common warrants, which accompany the Class A common stock and pre-funded warrants, to purchase an aggregate of 3,333,333 shares of Class A common stock (the “October Offering”). Pursuant to the October 2024 Securities Purchase Agreement, Series A common warrants to purchase an aggregate of 3,246,753 shares of Class A common stock issued in connection with the July 2024 Securities Purchase Agreement were cancelled. The pre-funded warrants were exercisable immediately and had an unlimited term and an exercise price of $0.0001 per share. The Series C common warrants were exercisable immediately following the closing date and were to expire five years from the date of issuance and originally had an exercise price of $3.00 per share. The Series C warrants included certain rights upon “fundamental transactions,” as described in the Series C warrants,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Series C warrants on the date of the consummation of the fundamental transactions. Both the pre-funded warrants and Series C common warrants are classified as equity on the Company’s consolidated balance sheet. In October 2024, the pre-funded warrants were fully exercised for de minimis proceeds. All of the Series C common warrants were exercised as part of the Letter Agreement transaction above, and no Series C common warrants remain outstanding as of December 31, 2025 and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July 2024 Securities Purchase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2024, the Company entered into a securities purchase agreement (the "July 2024 Securities Purchase Agreement"), where the Company issued (i) pre-funded warrants to purchase 446,753 shares of Class A common stock, (ii) Series A common warrants to purchase an aggregate of 3,246,753 shares of Class A common stock and (iii) Series B common warrants to purchase an aggregate of 3,246,753 shares of Class A common stock. The pre-funded warrants are exercisable immediately and have an unlimited term and an exercise price of $0.0001 per share. Pursuant to the October Offering, Series A common warrants to purchase an aggregate of 3,246,753 shares of Class A common stock issued in the July 2024 Securities Purchase Agreement were cancelled. The Series B warrants will be exercisable following the six-month anniversary of the closing date of the July 2024 Securities Purchase Agreement, will expire five and a half years from the date of issuance and will have an exercise price of $3.08 per share. The Series B warrants include certain rights upon “fundamental transactions,” as described in the Series B warrants,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Series B warrants on the date of the consummation of the fundamental transactions. The pre-funded warrants, Series A common warrants, and Series B common warrants are all classified as equity on the Company's consolidated balance sheet. In August 2024, the pre-funded warrants were fully exercised for de minimis proceeds. All of the Series B warrants were exercised as part of the Letter Agreement disclosed above, and none remain outstanding as of December 31, 2025 and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Loan and Security Agreement Warrants</w:t>
      </w:r>
    </w:p>
    <w:p>
      <w:pPr>
        <w:pStyle w:val="TextBody"/>
        <w:bidi w:val="0"/>
        <w:spacing w:before="240" w:after="283"/>
        <w:jc w:val="left"/>
        <w:rPr/>
      </w:pPr>
      <w:r>
        <w:rPr>
          <w:rFonts w:ascii="Times New Roman" w:hAnsi="Times New Roman"/>
          <w:color w:val="000000"/>
          <w:sz w:val="20"/>
        </w:rPr>
        <w:t>In August 2022, in conjunction with a loan and security agreement (</w:t>
      </w:r>
      <w:hyperlink w:anchor="fn13_long_term_debt">
        <w:r>
          <w:rPr>
            <w:rStyle w:val="InternetLink"/>
            <w:rFonts w:ascii="Times New Roman" w:hAnsi="Times New Roman"/>
            <w:color w:val="0000FF"/>
            <w:sz w:val="20"/>
            <w:u w:val="single"/>
          </w:rPr>
          <w:t>Note 13</w:t>
        </w:r>
      </w:hyperlink>
      <w:r>
        <w:rPr>
          <w:rFonts w:ascii="Times New Roman" w:hAnsi="Times New Roman"/>
          <w:color w:val="000000"/>
          <w:sz w:val="20"/>
        </w:rPr>
        <w:t>), the Company issued warrants to purchase 76,336 shares of the Company's Class A common stock. The warrants are exercisable for a period of five years from the grant date, as may be adjusted for certain anti-dilution adjustments, dividends, stock splits, and reverse stock splits, at an exercise price per share equal to $11.79, which may be net share settled at the option of the holder. The warrants are classified as equity on the Company’s consolidated balance sheet. In September 2025, the Company modified the exercise price of the warrants to $0.50 in consideration for a deferral of a principal repayment due in October 2025. There were no other changes to the terms of the warrant agreement. On the modification date, the Company remeasured the warrants at the reduced exercise price and recognized an additional $15 thousand as interest expense in the consolidated statements of operations for the year ended December 31, 2025. As of December 31, 2025, there were 76,336 warrants to purchase the Company's Class A common stock outstanding.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 activity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warrant activity during the periods indicated is as follows: </w:t>
      </w:r>
    </w:p>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44"/>
        <w:gridCol w:w="146"/>
        <w:gridCol w:w="163"/>
        <w:gridCol w:w="1280"/>
        <w:gridCol w:w="166"/>
        <w:gridCol w:w="146"/>
        <w:gridCol w:w="490"/>
        <w:gridCol w:w="1083"/>
        <w:gridCol w:w="146"/>
        <w:gridCol w:w="146"/>
        <w:gridCol w:w="450"/>
        <w:gridCol w:w="1440"/>
        <w:gridCol w:w="146"/>
        <w:gridCol w:w="146"/>
        <w:gridCol w:w="407"/>
        <w:gridCol w:w="1510"/>
        <w:gridCol w:w="396"/>
      </w:tblGrid>
      <w:tr>
        <w:trPr/>
        <w:tc>
          <w:tcPr>
            <w:tcW w:w="1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Outstanding at December 31, 2024</w:t>
            </w: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138,460,176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(13,547,236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131,569,362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113,345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 </w:t>
      </w:r>
      <w:r>
        <w:rPr>
          <w:rFonts w:ascii="Times New Roman" w:hAnsi="Times New Roman"/>
          <w:color w:val="000000"/>
          <w:sz w:val="20"/>
        </w:rPr>
        <w:t xml:space="preserve">Included in the December 31, 2024 balance are 76,336 warrants with an exercise price of $11.79 per share, which were modified during the year ended December 31, 2025 to subsequently have an exercise price of $0.50 per share.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 </w:t>
      </w:r>
      <w:r>
        <w:rPr>
          <w:rFonts w:ascii="Times New Roman" w:hAnsi="Times New Roman"/>
          <w:color w:val="000000"/>
          <w:sz w:val="20"/>
        </w:rPr>
        <w:t xml:space="preserve">Note that 6,580,086 shares of warrants had an initial exercise price of $3.00 per share and were modified in May 2025 to a new exercise price of $0.65 per share. </w:t>
      </w:r>
    </w:p>
    <w:p>
      <w:pPr>
        <w:pStyle w:val="TextBody"/>
        <w:bidi w:val="0"/>
        <w:spacing w:before="240" w:after="283"/>
        <w:jc w:val="left"/>
        <w:rPr>
          <w:rFonts w:ascii="Times New Roman" w:hAnsi="Times New Roman"/>
          <w:b/>
          <w:color w:val="000000"/>
          <w:sz w:val="20"/>
        </w:rPr>
      </w:pPr>
      <w:bookmarkStart w:id="31" w:name="fn10_stockholders_equity"/>
      <w:bookmarkEnd w:id="31"/>
      <w:r>
        <w:rPr>
          <w:rFonts w:ascii="Times New Roman" w:hAnsi="Times New Roman"/>
          <w:b/>
          <w:color w:val="000000"/>
          <w:sz w:val="20"/>
        </w:rPr>
        <w:t>10. Stockholders’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Rani Holdings held approximately 80% of the Class A Units of Rani LLC, and approximately 20% of the outstanding Class A Units of Rani LLC are held by the Continuing LLC Owners. From the date of the Organizational Transactions to December 31, 2025, 5,378,539 Paired Interests and 362,821 non-corresponding Class A Units of Rani LLC were exchanged for an equal number of shares of the Company's Class A common stock. For the years ended December 31, 2025 and 2024, certain of the Continuing LLC Owners executed an exchange of 60,000 and 144,592 Paired Interests and 46,929 and 115,437 non-corresponding Class A Units of Rani LLC, respectively, in return for an equal number of shares of the Company’s Class A common stock. The corresponding shares of the Company’s Class B common stock included in the exchange of Paired Interests were subsequently canceled and retired pursuant to the terms of the Amended Rani LLC Agreement. In accordance with the Amended Rani LLC Agreement, Rani LLC also issues a corresponding Class A Unit to Rani Holdings for each share of common stock issued by Rani Holdings. This increases Rani Holdings’ ownership in Rani LLC. </w:t>
      </w:r>
    </w:p>
    <w:p>
      <w:pPr>
        <w:pStyle w:val="TextBody"/>
        <w:bidi w:val="0"/>
        <w:spacing w:before="240" w:after="283"/>
        <w:jc w:val="left"/>
        <w:rPr/>
      </w:pPr>
      <w:r>
        <w:rPr>
          <w:rFonts w:ascii="Times New Roman" w:hAnsi="Times New Roman"/>
          <w:color w:val="000000"/>
          <w:sz w:val="20"/>
        </w:rPr>
        <w:t xml:space="preserve">In October 2025, the Company entered into a Private Placement pursuant to which the Company issued and sold (i) 42,633,337 shares (the “Shares”) of Class A Common Stock, par value $0.0001 per share, (ii) Common Warrants to purchase up to an aggregate of 125,000,004 shares of Class A Common Stock or pre-funded warrants and (iii) Pre-Funded Warrants to purchase up to an aggregate of 82,366,667 shares of Class A Common Stock. The aggregate gross proceeds to the Company from the closing of the Private Placement are approximately $60.3 million (including conversion of $6.0 million of the Loan's principal balance, see </w:t>
      </w:r>
      <w:hyperlink w:anchor="fn13_long_term_debt">
        <w:r>
          <w:rPr>
            <w:rStyle w:val="InternetLink"/>
            <w:rFonts w:ascii="Times New Roman" w:hAnsi="Times New Roman"/>
            <w:color w:val="0000FF"/>
            <w:sz w:val="20"/>
            <w:u w:val="single"/>
          </w:rPr>
          <w:t>Note 13</w:t>
        </w:r>
      </w:hyperlink>
      <w:r>
        <w:rPr>
          <w:rFonts w:ascii="Times New Roman" w:hAnsi="Times New Roman"/>
          <w:color w:val="000000"/>
          <w:sz w:val="20"/>
        </w:rPr>
        <w:t xml:space="preserve">), before deducting placement agent fees of approximately $4.5 million and other expenses payable by the Company, and excluding the proceeds, if any, from the exercise of the Common Warrants. Refer to </w:t>
      </w:r>
      <w:hyperlink w:anchor="fn9_warrants">
        <w:r>
          <w:rPr>
            <w:rStyle w:val="InternetLink"/>
            <w:rFonts w:ascii="Times New Roman" w:hAnsi="Times New Roman"/>
            <w:color w:val="0000FF"/>
            <w:sz w:val="20"/>
            <w:u w:val="single"/>
          </w:rPr>
          <w:t>Note 9</w:t>
        </w:r>
      </w:hyperlink>
      <w:r>
        <w:rPr>
          <w:rFonts w:ascii="Times New Roman" w:hAnsi="Times New Roman"/>
          <w:color w:val="000000"/>
          <w:sz w:val="20"/>
        </w:rPr>
        <w:t xml:space="preserve"> for more detail.</w:t>
      </w:r>
    </w:p>
    <w:p>
      <w:pPr>
        <w:pStyle w:val="TextBody"/>
        <w:bidi w:val="0"/>
        <w:spacing w:before="240" w:after="283"/>
        <w:jc w:val="left"/>
        <w:rPr/>
      </w:pPr>
      <w:r>
        <w:rPr>
          <w:rFonts w:ascii="Times New Roman" w:hAnsi="Times New Roman"/>
          <w:color w:val="000000"/>
          <w:sz w:val="20"/>
        </w:rPr>
        <w:t xml:space="preserve">In July 2025, the Company closed the July 2025 Securities Purchase Agreement, pursuant to which the Company issued and sold 4,354,000 shares of Class A common stock, par value $0.0001 per share, and pre-funded warrants to purchase 3,146,000 shares of Class A common stock. The pre-funded warrants are exercisable immediately following the closing date of the offering, have an unlimited term, an exercise price of $0.0001 per share. The aggregate gross proceeds to the Company from the closing of the July 2025 Securities Purchase Agreement are approximately $3.0 million before deducting issuance costs of approximately $0.2 million. In July 2025, the institutional investor fully exercised all pre-funded warrants. Refer to </w:t>
      </w:r>
      <w:hyperlink w:anchor="fn9_warrants">
        <w:r>
          <w:rPr>
            <w:rStyle w:val="InternetLink"/>
            <w:rFonts w:ascii="Times New Roman" w:hAnsi="Times New Roman"/>
            <w:color w:val="0000FF"/>
            <w:sz w:val="20"/>
            <w:u w:val="single"/>
          </w:rPr>
          <w:t>Note 9</w:t>
        </w:r>
      </w:hyperlink>
      <w:r>
        <w:rPr>
          <w:rFonts w:ascii="Times New Roman" w:hAnsi="Times New Roman"/>
          <w:color w:val="000000"/>
          <w:sz w:val="20"/>
        </w:rPr>
        <w:t xml:space="preserve"> for more detail.</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2024, the Company closed the October 2024 Securities Purchase Agreement, pursuant to which it issued and sold: (i) 3,000,000 shares of its Class A common stock, par value $0.0001 per share, (ii) pre-funded warrants to purchase 333,333 shares of Class A common stock, and (iii) Series C common warrants, which will accompany the Class A common stock and pre-funded warrants, to purchase an aggregate of 3,333,333 shares of Class A common stock. Pursuant to the October 2024 Securities Purchase Agreement, Series A common warrants to purchase an aggregate of 3,246,753 shares of Class A common stock issued in the July 2024 Securities Purchase Agreement were cancelled. The aggregate net proceeds from the October Offering totaled $9.4 million, after deducting placement agent fees and other offering expenses, and excluding potential proceeds, if any, from the exercise of the Series C common warrants issued in the October Offering. In October 2024, the pre-funded warrants were fully exercised for de minimis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2024, the Company closed the July 2024 Securities Purchase Agreement, pursuant to which it issued and sold: (i) 2,800,000 shares of Class A common stock, (ii) pre-funded warrants to purchase 446,753 shares of Class A common stock, (iii) Series A common warrants, which accompany the Class A common stock and pre-funded warrants, to purchase an aggregate of 3,246,753 shares of Class A common stock and (iv) Series B common warrants, which accompany the Class A common stock and pre-funded warrants, to purchase an aggregate of 3,246,753 shares of Class A common stock. The aggregate net proceeds from the July 2024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Purchase Agreement totaled $8.9 million, after deducting placement agent fees and other offering expenses, and excluding potential proceeds, if any, from the exercise of the Series A common warrants and Series B common warrants issued in the July 2024 Securities Purchase Agreement. In August 2024, the pre-funded warrants were fully exercised for de minimis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reserved 0.5 million shares of Class A Common Stock for issuance under the Rani Therapeutics Holdings, Inc. 2021 Employee Stock Purchase Plan (the “ESPP”) and 2.4 million shares of Class A common stock for future issuance under the 2021 Plan.</w:t>
      </w:r>
    </w:p>
    <w:p>
      <w:pPr>
        <w:pStyle w:val="TextBody"/>
        <w:bidi w:val="0"/>
        <w:jc w:val="left"/>
        <w:rPr/>
      </w:pPr>
      <w:r>
        <w:rPr/>
        <w:t> </w:t>
      </w:r>
    </w:p>
    <w:p>
      <w:pPr>
        <w:pStyle w:val="TextBody"/>
        <w:bidi w:val="0"/>
        <w:jc w:val="left"/>
        <w:rPr>
          <w:rFonts w:ascii="Times New Roman" w:hAnsi="Times New Roman"/>
          <w:sz w:val="20"/>
        </w:rPr>
      </w:pPr>
      <w:bookmarkStart w:id="32" w:name="fn11_stockbased_compensation"/>
      <w:bookmarkEnd w:id="32"/>
      <w:r>
        <w:rPr>
          <w:rFonts w:ascii="Times New Roman" w:hAnsi="Times New Roman"/>
          <w:b/>
          <w:color w:val="000000"/>
          <w:sz w:val="20"/>
        </w:rPr>
        <w:t>11. 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stock option activity during the periods indicated is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67"/>
        <w:gridCol w:w="146"/>
        <w:gridCol w:w="214"/>
        <w:gridCol w:w="1524"/>
        <w:gridCol w:w="166"/>
        <w:gridCol w:w="146"/>
        <w:gridCol w:w="476"/>
        <w:gridCol w:w="1053"/>
        <w:gridCol w:w="146"/>
        <w:gridCol w:w="146"/>
        <w:gridCol w:w="438"/>
        <w:gridCol w:w="1401"/>
        <w:gridCol w:w="146"/>
        <w:gridCol w:w="146"/>
        <w:gridCol w:w="484"/>
        <w:gridCol w:w="1311"/>
        <w:gridCol w:w="395"/>
      </w:tblGrid>
      <w:tr>
        <w:trPr/>
        <w:tc>
          <w:tcPr>
            <w:tcW w:w="1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8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Stock Option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10,225,433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7,177,285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5,689,951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2025, the Company modified stock options held by two board members who resigned. The modification included (i) the accelerated vesting for 100,000 unvested stock options, which was accounted for as a Type III (improbable-to-probable) modification, and (ii) an extension of the post</w:t>
        <w:noBreakHyphen/>
        <w:t xml:space="preserve">termination exercise periods for vested options, which was accounted for as a Type I (probable-to-probable) modification. As a result, the Company recorded an aggregate incremental fair value of approximately $0.2 million, which was recorded as stock-based compensation expense and additional paid-in-capital on the Company’s consolidated statement of operations and balance sheet, respectively,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Black-Scholes option pricing model to estimate the fair value of each stock option award on the date of grant. The assumptions and estimates are as follows: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Expected term</w:t>
      </w:r>
      <w:r>
        <w:rPr>
          <w:color w:val="000000"/>
        </w:rPr>
        <w:t xml:space="preserve"> </w:t>
      </w:r>
      <w:r>
        <w:rPr>
          <w:rFonts w:ascii="Times New Roman" w:hAnsi="Times New Roman"/>
          <w:color w:val="000000"/>
          <w:sz w:val="20"/>
        </w:rPr>
        <w:t>- The expected term represents the period of time that stock option awards are expected to remain outstanding. The Company estimates the expected term as the midpoint between actual or expected vesting date and the contractual term.</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Expected volatility</w:t>
      </w:r>
      <w:r>
        <w:rPr>
          <w:color w:val="000000"/>
        </w:rPr>
        <w:t xml:space="preserve"> </w:t>
      </w:r>
      <w:r>
        <w:rPr>
          <w:rFonts w:ascii="Times New Roman" w:hAnsi="Times New Roman"/>
          <w:color w:val="000000"/>
          <w:sz w:val="20"/>
        </w:rPr>
        <w:t>- The expected volatility was derived from the historical stock volatilities of peer public companies within the Company's industry that are considered to be comparable businesses over a period equivalent to the expected term of the stock option awards, since there has been limited trading history of the Company's stock.</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Risk-free interest rate</w:t>
      </w:r>
      <w:r>
        <w:rPr>
          <w:color w:val="000000"/>
        </w:rPr>
        <w:t xml:space="preserve"> </w:t>
      </w:r>
      <w:r>
        <w:rPr>
          <w:rFonts w:ascii="Times New Roman" w:hAnsi="Times New Roman"/>
          <w:color w:val="000000"/>
          <w:sz w:val="20"/>
        </w:rPr>
        <w:t>- The risk-free interest rate is based on the U.S. Treasury yield curve in effect at the date of grant for zero-coupon U.S. Treasury notes with maturities approximately equal to the stock option awards’ expected term.</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 xml:space="preserve">Expected dividend yield </w:t>
      </w:r>
      <w:r>
        <w:rPr>
          <w:rFonts w:ascii="Times New Roman" w:hAnsi="Times New Roman"/>
          <w:color w:val="000000"/>
          <w:sz w:val="20"/>
        </w:rPr>
        <w:t xml:space="preserve">- The expected dividend yield is zero as the Company has no plans to make dividend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weighted average assumptions used in estimating the fair value of stock option awards on the grant date:</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526" w:type="dxa"/>
        <w:jc w:val="left"/>
        <w:tblInd w:w="0" w:type="dxa"/>
        <w:tblLayout w:type="fixed"/>
        <w:tblCellMar>
          <w:top w:w="28" w:type="dxa"/>
          <w:left w:w="28" w:type="dxa"/>
          <w:bottom w:w="28" w:type="dxa"/>
          <w:right w:w="28" w:type="dxa"/>
        </w:tblCellMar>
      </w:tblPr>
      <w:tblGrid>
        <w:gridCol w:w="2131"/>
        <w:gridCol w:w="146"/>
        <w:gridCol w:w="146"/>
        <w:gridCol w:w="466"/>
        <w:gridCol w:w="146"/>
        <w:gridCol w:w="271"/>
        <w:gridCol w:w="146"/>
        <w:gridCol w:w="146"/>
        <w:gridCol w:w="466"/>
        <w:gridCol w:w="14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there was $8.9 million of unrecognized stock-based compensation expense related to stock options which is expected to be recognized over a weighted-average period of approximately 2.5 years.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RSU activity during the periods indicated is as follows: </w:t>
      </w:r>
    </w:p>
    <w:p>
      <w:pPr>
        <w:pStyle w:val="TextBody"/>
        <w:bidi w:val="0"/>
        <w:jc w:val="left"/>
        <w:rPr/>
      </w:pPr>
      <w:r>
        <w:rPr/>
        <w:t> </w:t>
      </w:r>
    </w:p>
    <w:tbl>
      <w:tblPr>
        <w:tblW w:w="9910" w:type="dxa"/>
        <w:jc w:val="left"/>
        <w:tblInd w:w="0" w:type="dxa"/>
        <w:tblLayout w:type="fixed"/>
        <w:tblCellMar>
          <w:top w:w="28" w:type="dxa"/>
          <w:left w:w="28" w:type="dxa"/>
          <w:bottom w:w="28" w:type="dxa"/>
          <w:right w:w="28" w:type="dxa"/>
        </w:tblCellMar>
      </w:tblPr>
      <w:tblGrid>
        <w:gridCol w:w="2596"/>
        <w:gridCol w:w="146"/>
        <w:gridCol w:w="375"/>
        <w:gridCol w:w="2160"/>
        <w:gridCol w:w="166"/>
        <w:gridCol w:w="146"/>
        <w:gridCol w:w="1223"/>
        <w:gridCol w:w="2707"/>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there was $1.6 million of unrecognized stock-based compensation expense related to RSUs which is expected to be recognized over a weighted-average period of approximately 1.0 years. The total fair value of RSUs vested was $0.4 million for the year ended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RSA activity during the periods indicated is as follows: </w:t>
      </w:r>
    </w:p>
    <w:p>
      <w:pPr>
        <w:pStyle w:val="TextBody"/>
        <w:bidi w:val="0"/>
        <w:jc w:val="left"/>
        <w:rPr/>
      </w:pPr>
      <w:r>
        <w:rPr/>
        <w:t> </w:t>
      </w:r>
    </w:p>
    <w:tbl>
      <w:tblPr>
        <w:tblW w:w="10090" w:type="dxa"/>
        <w:jc w:val="left"/>
        <w:tblInd w:w="0" w:type="dxa"/>
        <w:tblLayout w:type="fixed"/>
        <w:tblCellMar>
          <w:top w:w="28" w:type="dxa"/>
          <w:left w:w="28" w:type="dxa"/>
          <w:bottom w:w="28" w:type="dxa"/>
          <w:right w:w="28" w:type="dxa"/>
        </w:tblCellMar>
      </w:tblPr>
      <w:tblGrid>
        <w:gridCol w:w="2596"/>
        <w:gridCol w:w="146"/>
        <w:gridCol w:w="510"/>
        <w:gridCol w:w="2205"/>
        <w:gridCol w:w="166"/>
        <w:gridCol w:w="146"/>
        <w:gridCol w:w="1223"/>
        <w:gridCol w:w="2707"/>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Restricted Stock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20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0.1 million shares of Class A common stock have been issued under the ESPP. During the years ended December 31, 2025 and 2024, the Company recognized $0.1 million and $0.2 million, respectively, of stock-based compensation expense related to the ESPP. As of December 31, 2025, unrecognized stock-based compensation expense related to the ESPP was de minimis which is expected to be recognized over a weighted-average period of approximately 0.4 years. As of December 31, 2025, contributions withheld from employees were de minimis and are recorded as a component of accrued expenses and other current liabilities in the consolidated balance sheet.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components of stock-based compensation expense resulting from the grant of stock options, RSUs, RSAs, and the ESPP, recorded in the Company’s consolidated statement of operations and comprehensive loss (in thousands):</w:t>
      </w:r>
    </w:p>
    <w:p>
      <w:pPr>
        <w:pStyle w:val="TextBody"/>
        <w:bidi w:val="0"/>
        <w:jc w:val="left"/>
        <w:rPr/>
      </w:pPr>
      <w:r>
        <w:rPr/>
        <w:t> </w:t>
      </w:r>
    </w:p>
    <w:tbl>
      <w:tblPr>
        <w:tblW w:w="5949" w:type="dxa"/>
        <w:jc w:val="left"/>
        <w:tblInd w:w="0" w:type="dxa"/>
        <w:tblLayout w:type="fixed"/>
        <w:tblCellMar>
          <w:top w:w="28" w:type="dxa"/>
          <w:left w:w="28" w:type="dxa"/>
          <w:bottom w:w="28" w:type="dxa"/>
          <w:right w:w="28" w:type="dxa"/>
        </w:tblCellMar>
      </w:tblPr>
      <w:tblGrid>
        <w:gridCol w:w="3146"/>
        <w:gridCol w:w="146"/>
        <w:gridCol w:w="211"/>
        <w:gridCol w:w="676"/>
        <w:gridCol w:w="146"/>
        <w:gridCol w:w="146"/>
        <w:gridCol w:w="211"/>
        <w:gridCol w:w="676"/>
        <w:gridCol w:w="591"/>
      </w:tblGrid>
      <w:tr>
        <w:trPr/>
        <w:tc>
          <w:tcPr>
            <w:tcW w:w="3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3" w:name="fn12_commitments_and_contingencies"/>
      <w:bookmarkEnd w:id="33"/>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240" w:after="283"/>
        <w:jc w:val="left"/>
        <w:rPr/>
      </w:pPr>
      <w:r>
        <w:rPr>
          <w:rFonts w:ascii="Times New Roman" w:hAnsi="Times New Roman"/>
          <w:color w:val="000000"/>
          <w:sz w:val="20"/>
        </w:rPr>
        <w:t>The Company enters into lease arrangements for office and laboratory facilities under operating leases accounted for in accordance with ASC 842 "Leases" ("ASC 842"). The Company’s future minimum lease payments under operating leases are presented within the lease footnote (</w:t>
      </w:r>
      <w:hyperlink w:anchor="fn8_leases">
        <w:r>
          <w:rPr>
            <w:rStyle w:val="InternetLink"/>
            <w:rFonts w:ascii="Times New Roman" w:hAnsi="Times New Roman"/>
            <w:color w:val="0000FF"/>
            <w:sz w:val="20"/>
            <w:u w:val="single"/>
          </w:rPr>
          <w:t>Note 8</w:t>
        </w:r>
      </w:hyperlink>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lease liabilities represent a contractual commitment to make future payments over the lease term. As of December 31, 2025, the Company had no additional significant lease commitments outside of those recognized as operating lease liabilities on the consolidated balance sheets.</w:t>
      </w:r>
    </w:p>
    <w:p>
      <w:pPr>
        <w:pStyle w:val="TextBody"/>
        <w:bidi w:val="0"/>
        <w:spacing w:before="24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w:t>
      </w:r>
    </w:p>
    <w:p>
      <w:pPr>
        <w:pStyle w:val="TextBody"/>
        <w:bidi w:val="0"/>
        <w:spacing w:before="240" w:after="283"/>
        <w:jc w:val="left"/>
        <w:rPr>
          <w:rFonts w:ascii="Times New Roman" w:hAnsi="Times New Roman"/>
          <w:sz w:val="20"/>
        </w:rPr>
      </w:pPr>
      <w:r>
        <w:rPr>
          <w:rFonts w:ascii="Times New Roman" w:hAnsi="Times New Roman"/>
          <w:b/>
          <w:i/>
          <w:color w:val="000000"/>
          <w:sz w:val="20"/>
        </w:rPr>
        <w:t>Tax Receivable Agreement</w:t>
      </w:r>
      <w:r>
        <w:rPr>
          <w:rFonts w:ascii="Times New Roman" w:hAnsi="Times New Roman"/>
          <w:color w:val="000000"/>
          <w:sz w:val="20"/>
        </w:rPr>
        <w:t xml:space="preserve"> </w:t>
      </w:r>
    </w:p>
    <w:p>
      <w:pPr>
        <w:pStyle w:val="TextBody"/>
        <w:bidi w:val="0"/>
        <w:spacing w:before="240" w:after="283"/>
        <w:jc w:val="left"/>
        <w:rPr/>
      </w:pPr>
      <w:r>
        <w:rPr>
          <w:rFonts w:ascii="Times New Roman" w:hAnsi="Times New Roman"/>
          <w:color w:val="000000"/>
          <w:sz w:val="20"/>
        </w:rPr>
        <w:t>The Company was party to a TRA with certain of the Continuing LLC Owners (</w:t>
      </w:r>
      <w:hyperlink w:anchor="fn2_summary_of_accounting_policies">
        <w:r>
          <w:rPr>
            <w:rStyle w:val="InternetLink"/>
            <w:rFonts w:ascii="Times New Roman" w:hAnsi="Times New Roman"/>
            <w:color w:val="0000FF"/>
            <w:sz w:val="20"/>
            <w:u w:val="single"/>
          </w:rPr>
          <w:t>Note 2</w:t>
        </w:r>
      </w:hyperlink>
      <w:r>
        <w:rPr>
          <w:rFonts w:ascii="Times New Roman" w:hAnsi="Times New Roman"/>
          <w:color w:val="000000"/>
          <w:sz w:val="20"/>
        </w:rPr>
        <w:t xml:space="preserve">). As of December 31, 2025, the Company has not recorded a liability under the TRA related to the income tax benefits originating from the exchanges of Paired Interest or non-corresponding Class A Units of Rani LLC as it is not probable that the Company will realize such tax benefits.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as contemplated by the Private Placement, the Company entered into the TRA Termination Agreement by and between the Company and ICL, pursuant to which the parties agreed to terminate the TRA and disclaim any rights or interests thereunder. As a result of the termination, the Company has no further obligations under the TRA, and no tax benefit payments or early termination payments were required in connection with such termination. The TRA Termination Agreement provides for the mutual release of the parties from all obligations under the TRA, effective as of December 31, 2025.</w:t>
      </w:r>
    </w:p>
    <w:p>
      <w:pPr>
        <w:pStyle w:val="TextBody"/>
        <w:bidi w:val="0"/>
        <w:jc w:val="left"/>
        <w:rPr/>
      </w:pPr>
      <w:r>
        <w:rPr/>
        <w:t> </w:t>
      </w:r>
    </w:p>
    <w:p>
      <w:pPr>
        <w:pStyle w:val="TextBody"/>
        <w:bidi w:val="0"/>
        <w:jc w:val="left"/>
        <w:rPr>
          <w:rFonts w:ascii="Times New Roman" w:hAnsi="Times New Roman"/>
          <w:sz w:val="20"/>
        </w:rPr>
      </w:pPr>
      <w:bookmarkStart w:id="34" w:name="fn13_long_term_debt"/>
      <w:bookmarkEnd w:id="34"/>
      <w:r>
        <w:rPr>
          <w:rFonts w:ascii="Times New Roman" w:hAnsi="Times New Roman"/>
          <w:b/>
          <w:color w:val="000000"/>
          <w:sz w:val="20"/>
        </w:rPr>
        <w:t>13. Long-Term Debt</w:t>
      </w:r>
      <w:r>
        <w:rPr>
          <w:rFonts w:ascii="Times New Roman" w:hAnsi="Times New Roman"/>
          <w:color w:val="000000"/>
          <w:sz w:val="20"/>
        </w:rPr>
        <w:t xml:space="preserve"> </w:t>
      </w:r>
    </w:p>
    <w:p>
      <w:pPr>
        <w:pStyle w:val="TextBody"/>
        <w:bidi w:val="0"/>
        <w:spacing w:before="240" w:after="283"/>
        <w:jc w:val="left"/>
        <w:rPr/>
      </w:pPr>
      <w:r>
        <w:rPr>
          <w:rFonts w:ascii="Times New Roman" w:hAnsi="Times New Roman"/>
          <w:color w:val="000000"/>
          <w:sz w:val="20"/>
        </w:rPr>
        <w:t>In August 2022, the Company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funded in December 2022. The remaining $15.0 million of Loans was uncommitted and subject to certain conditions and is no longer available under the Loan Agreement. The purpose of the Loans is for general corporate purposes. In exchange for access to this facility, the Company agreed to issue warrants (</w:t>
      </w:r>
      <w:hyperlink w:anchor="fn9_warrants">
        <w:r>
          <w:rPr>
            <w:rStyle w:val="InternetLink"/>
            <w:rFonts w:ascii="Times New Roman" w:hAnsi="Times New Roman"/>
            <w:color w:val="0000FF"/>
            <w:sz w:val="20"/>
            <w:u w:val="single"/>
          </w:rPr>
          <w:t>Note 9</w:t>
        </w:r>
      </w:hyperlink>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Loan Agreement, the maturity date for the Loans is August 1, 2026 (the “Maturity Date”). The Loan principal is repayable in equal monthly installments beginning September 2024. The Loans bear interest at a variable rate per annum equal to the greater of (A) the prime rate, as published by the Wall Street Journal from time to time plus 5.60% or (B) 10.35%. The Loan Agreement is collateralized by substantially all of the Company’s assets, in which the Lender is granted continuing security interests. The Loans include customary events of default, including instances of a material adverse change in the Company’s operations, which may require prepayment of the outstanding Loans. As of December 31, 2025 and 2024, the Company paid $19.0 million and $5.0 million of principal, respectively. </w:t>
      </w:r>
    </w:p>
    <w:p>
      <w:pPr>
        <w:pStyle w:val="TextBody"/>
        <w:bidi w:val="0"/>
        <w:spacing w:before="240" w:after="283"/>
        <w:jc w:val="left"/>
        <w:rPr/>
      </w:pPr>
      <w:r>
        <w:rPr>
          <w:rFonts w:ascii="Times New Roman" w:hAnsi="Times New Roman"/>
          <w:color w:val="000000"/>
          <w:sz w:val="20"/>
        </w:rPr>
        <w:t>In October 2025, the Company and the Lender executed an amendment to Loan Agreement (the “LSA Amendment”), pursuant to which the Lender agreed, among other things, to settle $6.0 million of outstanding principal of the Loans by receiving 12,500,000 shares of Class A Common Stock in connection with the Private Placement (</w:t>
      </w:r>
      <w:hyperlink w:anchor="fn9_warrants">
        <w:r>
          <w:rPr>
            <w:rStyle w:val="InternetLink"/>
            <w:rFonts w:ascii="Times New Roman" w:hAnsi="Times New Roman"/>
            <w:color w:val="0000FF"/>
            <w:sz w:val="20"/>
            <w:u w:val="single"/>
          </w:rPr>
          <w:t>Note 9</w:t>
        </w:r>
      </w:hyperlink>
      <w:r>
        <w:rPr>
          <w:rFonts w:ascii="Times New Roman" w:hAnsi="Times New Roman"/>
          <w:color w:val="000000"/>
          <w:sz w:val="20"/>
        </w:rPr>
        <w:t xml:space="preserve">). In addition, the Lender received warrants to purchase up to 12,500,000 shares of Class A Common Stock (or Pre-Funded Warrants in lieu thereof), on the same terms as the other purchasers in the Private Placement. The conversion option was exercised in October 2025 upon the closing of the Private Placement, and the $6.0 million of outstanding principal balance was fully settled through the issuance of shares.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the Company repaid $7.9 million in cash to settle all obligations under the Loan Agreement, including the remaining principal balance of $6.2 million, a final payment of $1.7 million, and a prepayment fee of $0.1 million, offset by an interest refund of $0.1 million. The Company recognized a loss on the extinguishment of the debt of $0.6 million. Upon repayment of these amounts, all obligations under the Loan Agreement were fully satisfied. The Company no longer has any outstanding debt obligations as of December 31, 2025.</w:t>
      </w:r>
    </w:p>
    <w:p>
      <w:pPr>
        <w:pStyle w:val="TextBody"/>
        <w:bidi w:val="0"/>
        <w:jc w:val="left"/>
        <w:rPr/>
      </w:pPr>
      <w:r>
        <w:rPr/>
        <w:t> </w:t>
      </w:r>
    </w:p>
    <w:p>
      <w:pPr>
        <w:pStyle w:val="TextBody"/>
        <w:bidi w:val="0"/>
        <w:spacing w:before="40" w:after="283"/>
        <w:jc w:val="left"/>
        <w:rPr>
          <w:rFonts w:ascii="Times New Roman" w:hAnsi="Times New Roman"/>
          <w:sz w:val="20"/>
        </w:rPr>
      </w:pPr>
      <w:bookmarkStart w:id="35" w:name="fn14_income_taxes"/>
      <w:bookmarkEnd w:id="35"/>
      <w:r>
        <w:rPr>
          <w:rFonts w:ascii="Times New Roman" w:hAnsi="Times New Roman"/>
          <w:b/>
          <w:color w:val="000000"/>
          <w:sz w:val="20"/>
        </w:rPr>
        <w:t>14. Income Taxes</w:t>
      </w:r>
      <w:r>
        <w:rPr>
          <w:rFonts w:ascii="Times New Roman" w:hAnsi="Times New Roman"/>
          <w:color w:val="000000"/>
          <w:sz w:val="20"/>
        </w:rPr>
        <w:t xml:space="preserve"> </w:t>
      </w:r>
    </w:p>
    <w:p>
      <w:pPr>
        <w:pStyle w:val="TextBody"/>
        <w:bidi w:val="0"/>
        <w:spacing w:before="240" w:after="240"/>
        <w:jc w:val="left"/>
        <w:rPr/>
      </w:pPr>
      <w:r>
        <w:rPr>
          <w:rFonts w:ascii="Times New Roman" w:hAnsi="Times New Roman"/>
          <w:color w:val="000000"/>
          <w:sz w:val="20"/>
        </w:rPr>
        <w:t xml:space="preserve">The tables below provides the updated requirements of ASU 2023-09 for 2025 (in thousands). See </w:t>
      </w:r>
      <w:hyperlink w:anchor="fn2_summary_of_accounting_policies">
        <w:r>
          <w:rPr>
            <w:rStyle w:val="InternetLink"/>
            <w:rFonts w:ascii="Times New Roman" w:hAnsi="Times New Roman"/>
            <w:color w:val="0000FF"/>
            <w:sz w:val="20"/>
            <w:u w:val="single"/>
          </w:rPr>
          <w:t>Note 2</w:t>
        </w:r>
      </w:hyperlink>
      <w:r>
        <w:rPr>
          <w:rFonts w:ascii="Times New Roman" w:hAnsi="Times New Roman"/>
          <w:color w:val="000000"/>
          <w:sz w:val="20"/>
        </w:rPr>
        <w:t xml:space="preserve"> Summary of Significant Accounting Policies - Recent accounting pronouncements for additional details on the adoption of ASU 2023-09.</w:t>
      </w:r>
    </w:p>
    <w:tbl>
      <w:tblPr>
        <w:tblW w:w="6954" w:type="dxa"/>
        <w:jc w:val="left"/>
        <w:tblInd w:w="0" w:type="dxa"/>
        <w:tblLayout w:type="fixed"/>
        <w:tblCellMar>
          <w:top w:w="28" w:type="dxa"/>
          <w:left w:w="28" w:type="dxa"/>
          <w:bottom w:w="28" w:type="dxa"/>
          <w:right w:w="28" w:type="dxa"/>
        </w:tblCellMar>
      </w:tblPr>
      <w:tblGrid>
        <w:gridCol w:w="4651"/>
        <w:gridCol w:w="146"/>
        <w:gridCol w:w="146"/>
        <w:gridCol w:w="631"/>
        <w:gridCol w:w="166"/>
        <w:gridCol w:w="146"/>
        <w:gridCol w:w="526"/>
        <w:gridCol w:w="166"/>
        <w:gridCol w:w="376"/>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(benefit) at statutory federal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taxes, net of federal income tax effect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Federal research and development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Uncertain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Federal return to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(1) California contributed to the majority (greater than 50%) of the tax effect in this category.</w:t>
      </w:r>
    </w:p>
    <w:tbl>
      <w:tblPr>
        <w:tblW w:w="5080" w:type="dxa"/>
        <w:jc w:val="left"/>
        <w:tblInd w:w="0" w:type="dxa"/>
        <w:tblLayout w:type="fixed"/>
        <w:tblCellMar>
          <w:top w:w="28" w:type="dxa"/>
          <w:left w:w="28" w:type="dxa"/>
          <w:bottom w:w="28" w:type="dxa"/>
          <w:right w:w="28" w:type="dxa"/>
        </w:tblCellMar>
      </w:tblPr>
      <w:tblGrid>
        <w:gridCol w:w="2896"/>
        <w:gridCol w:w="146"/>
        <w:gridCol w:w="229"/>
        <w:gridCol w:w="825"/>
        <w:gridCol w:w="260"/>
        <w:gridCol w:w="425"/>
        <w:gridCol w:w="299"/>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net of federal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Uncertain tax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disclosed for the year ended December 31, 2024, prior to the adoption of ASU 2023-09, the difference between the Company’s provision for income taxes and the amounts computed by applying the statutory federal income tax rate to income before taxes is as follows:</w:t>
      </w:r>
    </w:p>
    <w:tbl>
      <w:tblPr>
        <w:tblW w:w="5081" w:type="dxa"/>
        <w:jc w:val="left"/>
        <w:tblInd w:w="0" w:type="dxa"/>
        <w:tblLayout w:type="fixed"/>
        <w:tblCellMar>
          <w:top w:w="28" w:type="dxa"/>
          <w:left w:w="28" w:type="dxa"/>
          <w:bottom w:w="28" w:type="dxa"/>
          <w:right w:w="28" w:type="dxa"/>
        </w:tblCellMar>
      </w:tblPr>
      <w:tblGrid>
        <w:gridCol w:w="2896"/>
        <w:gridCol w:w="146"/>
        <w:gridCol w:w="258"/>
        <w:gridCol w:w="930"/>
        <w:gridCol w:w="293"/>
        <w:gridCol w:w="558"/>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net of federal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Uncertain tax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Deferred income taxes reflect the net tax effects of temporary differences between the carrying amounts of assets and liabilities for financial reporting purposes. The components that comprise the Company’s net deferred taxes consist of the following (in thousands):</w:t>
      </w:r>
    </w:p>
    <w:tbl>
      <w:tblPr>
        <w:tblW w:w="7064" w:type="dxa"/>
        <w:jc w:val="left"/>
        <w:tblInd w:w="0" w:type="dxa"/>
        <w:tblLayout w:type="fixed"/>
        <w:tblCellMar>
          <w:top w:w="28" w:type="dxa"/>
          <w:left w:w="28" w:type="dxa"/>
          <w:bottom w:w="28" w:type="dxa"/>
          <w:right w:w="28" w:type="dxa"/>
        </w:tblCellMar>
      </w:tblPr>
      <w:tblGrid>
        <w:gridCol w:w="4321"/>
        <w:gridCol w:w="146"/>
        <w:gridCol w:w="211"/>
        <w:gridCol w:w="736"/>
        <w:gridCol w:w="166"/>
        <w:gridCol w:w="146"/>
        <w:gridCol w:w="211"/>
        <w:gridCol w:w="736"/>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 net of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Because of the Company’s recent history of operating losses, the Company believes that recognition of the deferred tax assets arising from the above-mentioned future tax benefits is currently not likely to be realized and, accordingly, has recognized a full valuation allowance on its deferred tax assets. The valuation allowance increased by $10.0 million and $8.1 million for the years ended December 31, 2025 and 2024, respectively, primarily due to the increase in the Company’s net operating losses (“NOL”)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had the following tax attribute carryforwards that will expire on various dates as follows (in thousands):</w:t>
      </w:r>
    </w:p>
    <w:p>
      <w:pPr>
        <w:pStyle w:val="TextBody"/>
        <w:bidi w:val="0"/>
        <w:jc w:val="left"/>
        <w:rPr/>
      </w:pPr>
      <w:r>
        <w:rPr/>
        <w:t> </w:t>
      </w:r>
    </w:p>
    <w:tbl>
      <w:tblPr>
        <w:tblW w:w="7357" w:type="dxa"/>
        <w:jc w:val="left"/>
        <w:tblInd w:w="0" w:type="dxa"/>
        <w:tblLayout w:type="fixed"/>
        <w:tblCellMar>
          <w:top w:w="28" w:type="dxa"/>
          <w:left w:w="28" w:type="dxa"/>
          <w:bottom w:w="28" w:type="dxa"/>
          <w:right w:w="28" w:type="dxa"/>
        </w:tblCellMar>
      </w:tblPr>
      <w:tblGrid>
        <w:gridCol w:w="4531"/>
        <w:gridCol w:w="146"/>
        <w:gridCol w:w="211"/>
        <w:gridCol w:w="781"/>
        <w:gridCol w:w="146"/>
        <w:gridCol w:w="146"/>
        <w:gridCol w:w="1396"/>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Years</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federal (post December 31, 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state (definite)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2041-2045</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2041-2045</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 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Internal Revenue Code (“IRC”) Sections 382 and 383, annual use of the Company’s research and development credit carryforwards may be limited in the event a cumulative change in ownership of more than 50% occurs within a three-year period. As of December 31, 2025, the Company has not performed an IRC Section 382 or 383 analysis. If a change in ownership were to have occurred, additional tax credit carryforwards could be eliminated or restricted. If eliminated, the related asset would be removed from the deferred tax asset schedule with a corresponding reduction in the valuation allowance.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subject to United States federal and California income taxes and is not currently under examination by any federal or state taxing authorities. Due to the Company's net operating loss carryforwards, its federal and California returns are open to examination by the Internal Revenue Service and the California Franchise Tax Board for years beginning in 2021.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changes in the amount of the unrecognized tax benefits (in thousands):</w:t>
      </w:r>
    </w:p>
    <w:p>
      <w:pPr>
        <w:pStyle w:val="TextBody"/>
        <w:bidi w:val="0"/>
        <w:jc w:val="left"/>
        <w:rPr/>
      </w:pPr>
      <w:r>
        <w:rPr/>
        <w:t> </w:t>
      </w:r>
    </w:p>
    <w:tbl>
      <w:tblPr>
        <w:tblW w:w="5722" w:type="dxa"/>
        <w:jc w:val="left"/>
        <w:tblInd w:w="0" w:type="dxa"/>
        <w:tblLayout w:type="fixed"/>
        <w:tblCellMar>
          <w:top w:w="28" w:type="dxa"/>
          <w:left w:w="28" w:type="dxa"/>
          <w:bottom w:w="28" w:type="dxa"/>
          <w:right w:w="28" w:type="dxa"/>
        </w:tblCellMar>
      </w:tblPr>
      <w:tblGrid>
        <w:gridCol w:w="3391"/>
        <w:gridCol w:w="146"/>
        <w:gridCol w:w="270"/>
        <w:gridCol w:w="540"/>
        <w:gridCol w:w="187"/>
        <w:gridCol w:w="187"/>
        <w:gridCol w:w="270"/>
        <w:gridCol w:w="540"/>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related to current year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related to prior year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related to prior year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Included in the balance of unrecognized tax benefits at December 31, 2025 is $0.7 million that if recognized would impact the Company’s income tax benefit and effective tax rate. The Company does not expect any significant increases or decreases in its unrecognized tax benefits within the next twelve months.</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Legislation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4, 2025, the One Big Beautiful Bill Act (the “OBBBA”) was signed into law, which enacts significant changes to U.S. tax and related laws. Some of the provisions of the OBBBA affecting corporations include but are not limited to restoring the current deductibility of domestic research and experimental expenses, increasing the limit of the deduction of interest expense deduction limitation under Section 163(j) of the Internal Revenue Code of 1986, as amended, to thirty percent of EBITDA, and allowing one hundred percent bonus depreciation on eligible property acquired after January 19, 2025. The OBBBA has varying effective dates, with certain provisions effective in 2025 and others with multiple effective dates through 2027. The Company has evaluated the potential impact of the OBBBA and expects it to result primarily in a timing difference, with no material impact on its effective tax rate.</w:t>
      </w:r>
    </w:p>
    <w:p>
      <w:pPr>
        <w:pStyle w:val="TextBody"/>
        <w:bidi w:val="0"/>
        <w:jc w:val="left"/>
        <w:rPr/>
      </w:pPr>
      <w:r>
        <w:rPr/>
        <w:t> </w:t>
      </w:r>
    </w:p>
    <w:p>
      <w:pPr>
        <w:pStyle w:val="TextBody"/>
        <w:bidi w:val="0"/>
        <w:spacing w:before="240" w:after="283"/>
        <w:jc w:val="left"/>
        <w:rPr>
          <w:rFonts w:ascii="Times New Roman" w:hAnsi="Times New Roman"/>
          <w:sz w:val="20"/>
        </w:rPr>
      </w:pPr>
      <w:bookmarkStart w:id="36" w:name="fn15_net_loss_per_share"/>
      <w:bookmarkEnd w:id="36"/>
      <w:r>
        <w:rPr>
          <w:rFonts w:ascii="Times New Roman" w:hAnsi="Times New Roman"/>
          <w:b/>
          <w:color w:val="000000"/>
          <w:sz w:val="20"/>
        </w:rPr>
        <w:t>15. Net Loss Per Share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loss per Class A common share attributable to Rani Holdings (in thousands, except per share data): </w:t>
      </w:r>
    </w:p>
    <w:tbl>
      <w:tblPr>
        <w:tblW w:w="10205" w:type="dxa"/>
        <w:jc w:val="left"/>
        <w:tblInd w:w="0" w:type="dxa"/>
        <w:tblLayout w:type="fixed"/>
        <w:tblCellMar>
          <w:top w:w="28" w:type="dxa"/>
          <w:left w:w="28" w:type="dxa"/>
          <w:bottom w:w="28" w:type="dxa"/>
          <w:right w:w="28" w:type="dxa"/>
        </w:tblCellMar>
      </w:tblPr>
      <w:tblGrid>
        <w:gridCol w:w="7788"/>
        <w:gridCol w:w="146"/>
        <w:gridCol w:w="211"/>
        <w:gridCol w:w="736"/>
        <w:gridCol w:w="166"/>
        <w:gridCol w:w="211"/>
        <w:gridCol w:w="736"/>
        <w:gridCol w:w="211"/>
      </w:tblGrid>
      <w:tr>
        <w:trPr/>
        <w:tc>
          <w:tcPr>
            <w:tcW w:w="7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7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Class A common share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pPr>
      <w:r>
        <w:rPr>
          <w:rFonts w:ascii="Times New Roman" w:hAnsi="Times New Roman"/>
          <w:color w:val="000000"/>
          <w:sz w:val="20"/>
        </w:rPr>
        <w:t>* The pre-funded warrants (</w:t>
      </w:r>
      <w:hyperlink w:anchor="fn9_warrants">
        <w:r>
          <w:rPr>
            <w:rStyle w:val="InternetLink"/>
            <w:rFonts w:ascii="Times New Roman" w:hAnsi="Times New Roman"/>
            <w:color w:val="0000FF"/>
            <w:sz w:val="20"/>
            <w:u w:val="single"/>
          </w:rPr>
          <w:t>Note 9</w:t>
        </w:r>
      </w:hyperlink>
      <w:r>
        <w:rPr>
          <w:rFonts w:ascii="Times New Roman" w:hAnsi="Times New Roman"/>
          <w:color w:val="000000"/>
          <w:sz w:val="20"/>
        </w:rPr>
        <w:t>) are considered outstanding shares in the basic earnings per share calculation given their nominal exercise price (as of the beginning of the period or the date of the grant, whichever is earlier).</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total outstanding securities considered anti-dilutive and therefore excluded from the computation of diluted net loss per Class A common share attributable to Rani Holdings (in thousands):</w:t>
      </w:r>
    </w:p>
    <w:p>
      <w:pPr>
        <w:pStyle w:val="TextBody"/>
        <w:bidi w:val="0"/>
        <w:jc w:val="left"/>
        <w:rPr/>
      </w:pPr>
      <w:r>
        <w:rPr/>
        <w:t> </w:t>
      </w:r>
    </w:p>
    <w:tbl>
      <w:tblPr>
        <w:tblW w:w="5323" w:type="dxa"/>
        <w:jc w:val="left"/>
        <w:tblInd w:w="0" w:type="dxa"/>
        <w:tblLayout w:type="fixed"/>
        <w:tblCellMar>
          <w:top w:w="28" w:type="dxa"/>
          <w:left w:w="28" w:type="dxa"/>
          <w:bottom w:w="28" w:type="dxa"/>
          <w:right w:w="28" w:type="dxa"/>
        </w:tblCellMar>
      </w:tblPr>
      <w:tblGrid>
        <w:gridCol w:w="3091"/>
        <w:gridCol w:w="146"/>
        <w:gridCol w:w="146"/>
        <w:gridCol w:w="781"/>
        <w:gridCol w:w="146"/>
        <w:gridCol w:w="146"/>
        <w:gridCol w:w="676"/>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Paired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Non-corresponding Class A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issuable pursuant to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year ended December 31, 2025. Therefore, they are not included in the computation of net loss per Class A common share attributable to Rani Therapeutics Holdings, Inc.</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7" w:name="fn16_segment_information"/>
      <w:bookmarkEnd w:id="37"/>
      <w:r>
        <w:rPr>
          <w:rFonts w:ascii="Times New Roman" w:hAnsi="Times New Roman"/>
          <w:b/>
          <w:color w:val="000000"/>
          <w:sz w:val="20"/>
        </w:rPr>
        <w:t>16. 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as one operating segment. The Company's chief operating decision maker (“CODM”) is its Chief Executive Officer, who reviews financial information presented on a consolidated basis. The CODM assesses operating performance and makes resource allocation decisions primarily based on net loss, cash on-hand and cash flows utilizing the Company’s long-range plan, which includes product development roadmaps and long-range financial models. Significant expenses include research and development and general and administrative expenses, which are each separately presented on the Company’s Consolidated Statements of Operations. Other segment items within net loss include interest income and other, net and interest expense and other, net. See the consolidated financial statements for other financial information regarding the Company’s operating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long-lived assets recognized on the Consolidated Balance Sheets primarily consisted of property and equipment, net and operating lease right-of-use assets, which are located within the US.</w:t>
      </w:r>
    </w:p>
    <w:p>
      <w:pPr>
        <w:pStyle w:val="TextBody"/>
        <w:bidi w:val="0"/>
        <w:jc w:val="left"/>
        <w:rPr/>
      </w:pPr>
      <w:r>
        <w:rPr/>
        <w:t> </w:t>
      </w:r>
    </w:p>
    <w:p>
      <w:pPr>
        <w:pStyle w:val="TextBody"/>
        <w:bidi w:val="0"/>
        <w:jc w:val="left"/>
        <w:rPr>
          <w:rFonts w:ascii="Times New Roman" w:hAnsi="Times New Roman"/>
          <w:b/>
          <w:color w:val="000000"/>
          <w:sz w:val="20"/>
        </w:rPr>
      </w:pPr>
      <w:bookmarkStart w:id="38" w:name="fn17_sub_events"/>
      <w:bookmarkEnd w:id="38"/>
      <w:r>
        <w:rPr>
          <w:rFonts w:ascii="Times New Roman" w:hAnsi="Times New Roman"/>
          <w:b/>
          <w:color w:val="000000"/>
          <w:sz w:val="20"/>
        </w:rPr>
        <w:t>17. Subsequent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evaluated all subsequent events through the date the consolidated financial statements were issued and determined that there have been no events or transactions that have occurred that would require recognition in the consolidated financial statements or additional disclosure herein, except as described elsewhere in the notes to the consolidated financial statements.</w:t>
      </w:r>
    </w:p>
    <w:p>
      <w:pPr>
        <w:pStyle w:val="TextBody"/>
        <w:bidi w:val="0"/>
        <w:spacing w:before="240" w:after="283"/>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9" w:name="item_9"/>
      <w:bookmarkEnd w:id="39"/>
      <w:r>
        <w:rPr>
          <w:rFonts w:ascii="Times New Roman" w:hAnsi="Times New Roman"/>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40" w:name="item_9a"/>
      <w:bookmarkEnd w:id="40"/>
      <w:r>
        <w:rPr>
          <w:rFonts w:ascii="Times New Roman" w:hAnsi="Times New Roman"/>
          <w:b/>
          <w:color w:val="000000"/>
          <w:sz w:val="20"/>
        </w:rPr>
        <w:t>Item 9A. Controls and Procedures.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Annual Report on Form 10-K.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a result of the material weakness in our internal control over financial reporting described below as of December 31, 2025, the end of the period covered by this Annual Report on Form 10-K, our disclosure controls and procedures were not effective. However, our management, including our principal executive officer and our principal financial officer, has concluded that, notwithstanding the identified material weakness in our internal control over financial reporting, the consolidated financial statements in this Annual Report on Form 10-K fairly presented, in all material respects, our financial position, results of operations, and cash flows for the periods presented in conformity with U.S. GAAP.</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such term is defined in Rule 13a-15(f) and 15d-15(f) of the Exchange Act. Under the supervision and with the participation of our management, including our CEO and CFO, we conducted an evaluation of the effectiveness of our internal control over financial reporting based on the framework in Internal Control—Integrated Framework (2013), issued by the Committee of Sponsoring Organizations of the Treadway Commission. Based on our evaluation under the framework in Internal Control—Integrated Framework, our management concluded that as a result of the material weakness in our internal control over financial reporting described below our internal control over financial reporting was not effective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has identified a material weakness in our internal control over financial reporting. Specifically, management identified a deficiency in the design and implementation effectiveness of the control related to accounting for certain significant and complex or unusual transactions. While the material weakness did not result in a misstatement of our previously filed annual or interim consolidated financial statements, this material weakness, until remediated, could result in a material misstatement to one or more accounts or disclosures in the annual or interim consolidated financial statements that would not be prevented or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does not include an attestation report of our independent registered public accounting firm regarding internal control over financial reporting. Management's report was not subject to attestation by our independent registered public accounting firm pursuant to rules of the Securities and Exchange Commission.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Management's Plan to Remediate the Material Weakness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implement measures designed to strengthen our internal control over financial reporting, including revising policies and procedures and implementing additional training to support an effective risk assessment process over evolving and growing areas of our business. The implementation of these remediation measures will require validation and testing of design and implementation effectiveness of internal controls over multiple financial reporting cycles. We will monitor the effectiveness of our remediation measures in connection with future assessments of the effectiveness of our internal control over financial reporting and disclosure controls and procedures.</w:t>
      </w:r>
    </w:p>
    <w:p>
      <w:pPr>
        <w:pStyle w:val="TextBody"/>
        <w:bidi w:val="0"/>
        <w:jc w:val="both"/>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has evaluated any changes in our internal control over financial reporting that occurred during the quarter ended December 31, 2025, and has concluded that other than the remediation efforts described above, there was no change during such quarter that has materially affected, or is reasonably likely to materially affect, our internal control over financial reporting.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 </w:t>
      </w:r>
    </w:p>
    <w:p>
      <w:pPr>
        <w:pStyle w:val="TextBody"/>
        <w:bidi w:val="0"/>
        <w:spacing w:before="240" w:after="283"/>
        <w:jc w:val="left"/>
        <w:rPr>
          <w:rFonts w:ascii="Times New Roman" w:hAnsi="Times New Roman"/>
          <w:b/>
          <w:color w:val="000000"/>
          <w:sz w:val="20"/>
        </w:rPr>
      </w:pPr>
      <w:bookmarkStart w:id="41" w:name="item_9b"/>
      <w:bookmarkEnd w:id="41"/>
      <w:r>
        <w:rPr>
          <w:rFonts w:ascii="Times New Roman" w:hAnsi="Times New Roman"/>
          <w:b/>
          <w:color w:val="000000"/>
          <w:sz w:val="20"/>
        </w:rPr>
        <w:t>Item 9B. Other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disclosures required by this Item 9B, including those relating to “Rule 10b5-1 trading arrangements” and “non-Rule 10b5-1 trading arrangements,” as those terms are defined in Item 408 of Regulation S-K.</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42" w:name="item_9c"/>
      <w:bookmarkEnd w:id="42"/>
      <w:r>
        <w:rPr>
          <w:rFonts w:ascii="Times New Roman" w:hAnsi="Times New Roman"/>
          <w:b/>
          <w:color w:val="000000"/>
          <w:sz w:val="20"/>
        </w:rPr>
        <w:t>Item 9C. Disclosure Regarding Foreign Jurisdictions That Prevent Inspections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43" w:name="item_10"/>
      <w:bookmarkEnd w:id="43"/>
      <w:r>
        <w:rPr>
          <w:rFonts w:ascii="Times New Roman" w:hAnsi="Times New Roman"/>
          <w:b/>
          <w:color w:val="000000"/>
          <w:sz w:val="20"/>
        </w:rPr>
        <w:t>Item 10. Directors, Executive Officers and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and not set forth below is incorporated by reference to the information set forth in the sections titled “Election of Directors”, “Insider Trading Policy” and “Information Regarding the Board of Directors and Corporate Governance” in our definitive Proxy Statement for our 2026 Annual Meeting of Stockholders (the “Proxy Statement”) to be filed with the SEC within 120 days after December 31, 2025.</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w:t>
      </w:r>
      <w:r>
        <w:rPr>
          <w:rFonts w:ascii="Times New Roman" w:hAnsi="Times New Roman"/>
          <w:sz w:val="20"/>
        </w:rPr>
        <w:t xml:space="preserve">https://www.ranitherapeutics.com </w:t>
      </w:r>
      <w:r>
        <w:rPr>
          <w:rFonts w:ascii="Times New Roman" w:hAnsi="Times New Roman"/>
          <w:color w:val="000000"/>
          <w:sz w:val="20"/>
        </w:rPr>
        <w:t xml:space="preserve">under the Corporate Governance section of our Investors page. We will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w:t>
      </w:r>
    </w:p>
    <w:p>
      <w:pPr>
        <w:pStyle w:val="TextBody"/>
        <w:bidi w:val="0"/>
        <w:spacing w:before="240" w:after="283"/>
        <w:jc w:val="left"/>
        <w:rPr>
          <w:rFonts w:ascii="Times New Roman" w:hAnsi="Times New Roman"/>
          <w:b/>
          <w:color w:val="000000"/>
          <w:sz w:val="20"/>
        </w:rPr>
      </w:pPr>
      <w:bookmarkStart w:id="44" w:name="item_11"/>
      <w:bookmarkEnd w:id="44"/>
      <w:r>
        <w:rPr>
          <w:rFonts w:ascii="Times New Roman" w:hAnsi="Times New Roman"/>
          <w:b/>
          <w:color w:val="000000"/>
          <w:sz w:val="20"/>
        </w:rPr>
        <w:t>Item 11.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information set forth in the section titled “Executive Compensation” in our Proxy Statement.</w:t>
      </w:r>
    </w:p>
    <w:p>
      <w:pPr>
        <w:pStyle w:val="TextBody"/>
        <w:bidi w:val="0"/>
        <w:spacing w:before="240" w:after="283"/>
        <w:jc w:val="left"/>
        <w:rPr>
          <w:rFonts w:ascii="Times New Roman" w:hAnsi="Times New Roman"/>
          <w:b/>
          <w:color w:val="000000"/>
          <w:sz w:val="20"/>
        </w:rPr>
      </w:pPr>
      <w:bookmarkStart w:id="45" w:name="item_12"/>
      <w:bookmarkEnd w:id="45"/>
      <w:r>
        <w:rPr>
          <w:rFonts w:ascii="Times New Roman" w:hAnsi="Times New Roman"/>
          <w:b/>
          <w:color w:val="000000"/>
          <w:sz w:val="20"/>
        </w:rPr>
        <w:t>Item 12. Security Ownership of Certain Beneficial Owners and Management and Related Stockholder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information in the section titled “Security Ownership of Certain Beneficial Owners and Management” in our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Item 201(d) of Regulation S-K will be set forth in the section titled “—Equity Compensation Plan Information” in our Proxy Statement and is incorporated herein by reference.</w:t>
      </w:r>
    </w:p>
    <w:p>
      <w:pPr>
        <w:pStyle w:val="TextBody"/>
        <w:bidi w:val="0"/>
        <w:spacing w:before="240" w:after="283"/>
        <w:jc w:val="left"/>
        <w:rPr>
          <w:rFonts w:ascii="Times New Roman" w:hAnsi="Times New Roman"/>
          <w:b/>
          <w:color w:val="000000"/>
          <w:sz w:val="20"/>
        </w:rPr>
      </w:pPr>
      <w:bookmarkStart w:id="46" w:name="item_13"/>
      <w:bookmarkEnd w:id="46"/>
      <w:r>
        <w:rPr>
          <w:rFonts w:ascii="Times New Roman" w:hAnsi="Times New Roman"/>
          <w:b/>
          <w:color w:val="000000"/>
          <w:sz w:val="20"/>
        </w:rPr>
        <w:t>Item 13. Certain Relationships and Related Transactions, and Director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information set forth in the sections titled “Transactions with Related Persons and Indemnification” and “—Independence of The Board of Directors” in our Proxy Statement.</w:t>
      </w:r>
    </w:p>
    <w:p>
      <w:pPr>
        <w:pStyle w:val="TextBody"/>
        <w:bidi w:val="0"/>
        <w:spacing w:before="240" w:after="283"/>
        <w:jc w:val="left"/>
        <w:rPr>
          <w:rFonts w:ascii="Times New Roman" w:hAnsi="Times New Roman"/>
          <w:b/>
          <w:color w:val="000000"/>
          <w:sz w:val="20"/>
        </w:rPr>
      </w:pPr>
      <w:bookmarkStart w:id="47" w:name="item_14"/>
      <w:bookmarkEnd w:id="47"/>
      <w:r>
        <w:rPr>
          <w:rFonts w:ascii="Times New Roman" w:hAnsi="Times New Roman"/>
          <w:b/>
          <w:color w:val="000000"/>
          <w:sz w:val="20"/>
        </w:rPr>
        <w:t>Item 14. Principal Accountant Fees and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information set forth in the section titled “Ratification of Selection of Independent Registered Public Accounting Firm” in our Proxy Statement.</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48" w:name="item_15_exhibits"/>
      <w:bookmarkEnd w:id="48"/>
      <w:r>
        <w:rPr>
          <w:rFonts w:ascii="Times New Roman" w:hAnsi="Times New Roman"/>
          <w:b/>
          <w:color w:val="000000"/>
          <w:sz w:val="20"/>
        </w:rPr>
        <w:t>Item 15.</w:t>
      </w:r>
      <w:r>
        <w:rPr>
          <w:rFonts w:ascii="Times New Roman" w:hAnsi="Times New Roman"/>
          <w:color w:val="000000"/>
          <w:sz w:val="20"/>
        </w:rPr>
        <w:t xml:space="preserve"> </w:t>
      </w:r>
      <w:r>
        <w:rPr>
          <w:rFonts w:ascii="Times New Roman" w:hAnsi="Times New Roman"/>
          <w:b/>
          <w:color w:val="000000"/>
          <w:sz w:val="20"/>
        </w:rPr>
        <w:t>Exhibits and Financial Statement Schedules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 Documents filed as part of this report.</w:t>
      </w:r>
    </w:p>
    <w:p>
      <w:pPr>
        <w:pStyle w:val="TextBody"/>
        <w:bidi w:val="0"/>
        <w:spacing w:before="240" w:after="283"/>
        <w:jc w:val="left"/>
        <w:rPr>
          <w:rFonts w:ascii="Times New Roman" w:hAnsi="Times New Roman"/>
          <w:sz w:val="20"/>
        </w:rPr>
      </w:pPr>
      <w:r>
        <w:rPr>
          <w:rFonts w:ascii="Times New Roman" w:hAnsi="Times New Roman"/>
          <w:b/>
          <w:i/>
          <w:color w:val="000000"/>
          <w:sz w:val="20"/>
        </w:rPr>
        <w:t>1.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financial statements and reports of independent registered public accounting firm are filed as part of this Annual Report (see “Index to Consolidated Financial Statements” at Item 8).</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 Financial Statement Schedules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financial statement schedules are included because the information is either provided in the consolidated financial statements, is not required under the instructions or is immaterial, and such schedules, therefore have been omitted.</w:t>
      </w:r>
    </w:p>
    <w:p>
      <w:pPr>
        <w:pStyle w:val="TextBody"/>
        <w:bidi w:val="0"/>
        <w:spacing w:before="240" w:after="283"/>
        <w:jc w:val="left"/>
        <w:rPr>
          <w:rFonts w:ascii="Times New Roman" w:hAnsi="Times New Roman"/>
          <w:sz w:val="20"/>
        </w:rPr>
      </w:pPr>
      <w:r>
        <w:rPr>
          <w:rFonts w:ascii="Times New Roman" w:hAnsi="Times New Roman"/>
          <w:b/>
          <w:i/>
          <w:color w:val="000000"/>
          <w:sz w:val="20"/>
        </w:rPr>
        <w:t>3. Exhibits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is a list of all exhibits and financial statement schedules filed or furnished as part of this report: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Amended and Restated Certificate of Incorporation of the Registrant as currently in effect (incorporated by reference to Exhibit 3.1 to the Registrant’s Current Report on Form 8-K dated December 31, 2025, filed with the SEC on January 2,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Amended and Restated Bylaws of the Registrant as currently in effect (incorporated by reference to Exhibit 3.2 to the Registrant’s Current Report on Form 8-K dated December 31, 2025, filed with the SEC on January 2,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Specimen Class A common stock certificate of the Registrant (incorporated by reference to Exhibit 4.1 to the Registrant’s Registration Statement on Form S-1, as amended, filed with the SEC on July 26,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4_2.htm">
              <w:r>
                <w:rPr>
                  <w:rStyle w:val="InternetLink"/>
                  <w:rFonts w:ascii="Times New Roman" w:hAnsi="Times New Roman"/>
                  <w:color w:val="0000FF"/>
                  <w:sz w:val="20"/>
                  <w:u w:val="single"/>
                </w:rPr>
                <w:t>Description of Registrant’s Securities Registered Pursuant to Section 12 of the Securities and Exchange Act of 1934.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Warrant to purchase shares of Class A common stock of Registrant, issued to Avenue Venture Opportunities Fund, L.P.</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jc w:val="left"/>
              <w:rPr/>
            </w:pPr>
            <w:hyperlink r:id="rId23">
              <w:r>
                <w:rPr>
                  <w:rStyle w:val="InternetLink"/>
                  <w:rFonts w:ascii="Times New Roman" w:hAnsi="Times New Roman"/>
                  <w:color w:val="0000FF"/>
                  <w:sz w:val="20"/>
                  <w:u w:val="single"/>
                </w:rPr>
                <w:t>Form of Common Stock Purchase Warrant (incorporated by reference to Exhibit 10.3 to the Registrant’s</w:t>
              </w:r>
            </w:hyperlink>
            <w:hyperlink r:id="rId24">
              <w:r>
                <w:rPr>
                  <w:rStyle w:val="InternetLink"/>
                  <w:rFonts w:ascii="Times New Roman" w:hAnsi="Times New Roman"/>
                  <w:color w:val="0000FF"/>
                  <w:sz w:val="20"/>
                </w:rPr>
                <w:t xml:space="preserve"> </w:t>
              </w:r>
            </w:hyperlink>
          </w:p>
          <w:p>
            <w:pPr>
              <w:pStyle w:val="TableContents"/>
              <w:bidi w:val="0"/>
              <w:spacing w:before="0" w:after="283"/>
              <w:jc w:val="left"/>
              <w:rPr/>
            </w:pPr>
            <w:hyperlink r:id="rId25">
              <w:r>
                <w:rPr>
                  <w:rStyle w:val="InternetLink"/>
                  <w:rFonts w:ascii="Times New Roman" w:hAnsi="Times New Roman"/>
                  <w:color w:val="0000FF"/>
                  <w:sz w:val="20"/>
                  <w:u w:val="single"/>
                </w:rPr>
                <w:t>Current Report on Form 8-K dated October 16, 2025, filed with the SEC on October 17,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jc w:val="left"/>
              <w:rPr/>
            </w:pPr>
            <w:hyperlink r:id="rId26">
              <w:r>
                <w:rPr>
                  <w:rStyle w:val="InternetLink"/>
                  <w:rFonts w:ascii="Times New Roman" w:hAnsi="Times New Roman"/>
                  <w:color w:val="0000FF"/>
                  <w:sz w:val="20"/>
                  <w:u w:val="single"/>
                </w:rPr>
                <w:t>Form of Series D Common Stock Purchase Warrant (incorporated by reference to Exhibit 10.2 to the Registrant’s</w:t>
              </w:r>
            </w:hyperlink>
            <w:hyperlink r:id="rId27">
              <w:r>
                <w:rPr>
                  <w:rStyle w:val="InternetLink"/>
                  <w:rFonts w:ascii="Times New Roman" w:hAnsi="Times New Roman"/>
                  <w:color w:val="0000FF"/>
                  <w:sz w:val="20"/>
                </w:rPr>
                <w:t xml:space="preserve"> </w:t>
              </w:r>
            </w:hyperlink>
          </w:p>
          <w:p>
            <w:pPr>
              <w:pStyle w:val="TableContents"/>
              <w:bidi w:val="0"/>
              <w:spacing w:before="0" w:after="283"/>
              <w:jc w:val="left"/>
              <w:rPr/>
            </w:pPr>
            <w:hyperlink r:id="rId28">
              <w:r>
                <w:rPr>
                  <w:rStyle w:val="InternetLink"/>
                  <w:rFonts w:ascii="Times New Roman" w:hAnsi="Times New Roman"/>
                  <w:color w:val="0000FF"/>
                  <w:sz w:val="20"/>
                  <w:u w:val="single"/>
                </w:rPr>
                <w:t>Current Report on Form 8-K dated May 20, 2025, filed with the SEC on May 20,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jc w:val="left"/>
              <w:rPr/>
            </w:pPr>
            <w:hyperlink r:id="rId29">
              <w:r>
                <w:rPr>
                  <w:rStyle w:val="InternetLink"/>
                  <w:rFonts w:ascii="Times New Roman" w:hAnsi="Times New Roman"/>
                  <w:color w:val="0000FF"/>
                  <w:sz w:val="20"/>
                  <w:u w:val="single"/>
                </w:rPr>
                <w:t>Form of Pre-Funded Common Stock Purchase Warrant (incorporated by reference to Exhibit 10.4 to the Registrant’s</w:t>
              </w:r>
            </w:hyperlink>
            <w:hyperlink r:id="rId30">
              <w:r>
                <w:rPr>
                  <w:rStyle w:val="InternetLink"/>
                  <w:rFonts w:ascii="Times New Roman" w:hAnsi="Times New Roman"/>
                  <w:color w:val="0000FF"/>
                  <w:sz w:val="20"/>
                </w:rPr>
                <w:t xml:space="preserve"> </w:t>
              </w:r>
            </w:hyperlink>
          </w:p>
          <w:p>
            <w:pPr>
              <w:pStyle w:val="TableContents"/>
              <w:bidi w:val="0"/>
              <w:spacing w:before="0" w:after="283"/>
              <w:jc w:val="left"/>
              <w:rPr/>
            </w:pPr>
            <w:hyperlink r:id="rId31">
              <w:r>
                <w:rPr>
                  <w:rStyle w:val="InternetLink"/>
                  <w:rFonts w:ascii="Times New Roman" w:hAnsi="Times New Roman"/>
                  <w:color w:val="0000FF"/>
                  <w:sz w:val="20"/>
                  <w:u w:val="single"/>
                </w:rPr>
                <w:t>Current Report on Form 8-K dated October 16, 2025, filed with the SEC on October 17,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jc w:val="left"/>
              <w:rPr/>
            </w:pPr>
            <w:hyperlink r:id="rId32">
              <w:r>
                <w:rPr>
                  <w:rStyle w:val="InternetLink"/>
                  <w:rFonts w:ascii="Times New Roman" w:hAnsi="Times New Roman"/>
                  <w:color w:val="0000FF"/>
                  <w:sz w:val="20"/>
                  <w:u w:val="single"/>
                </w:rPr>
                <w:t>Form of Pre-Funded Common Stock Purchase Warrant (incorporated by reference to Exhibit 10.4 to the Registrant’s</w:t>
              </w:r>
            </w:hyperlink>
            <w:hyperlink r:id="rId33">
              <w:r>
                <w:rPr>
                  <w:rStyle w:val="InternetLink"/>
                  <w:rFonts w:ascii="Times New Roman" w:hAnsi="Times New Roman"/>
                  <w:color w:val="0000FF"/>
                  <w:sz w:val="20"/>
                </w:rPr>
                <w:t xml:space="preserve"> </w:t>
              </w:r>
            </w:hyperlink>
          </w:p>
          <w:p>
            <w:pPr>
              <w:pStyle w:val="TableContents"/>
              <w:bidi w:val="0"/>
              <w:spacing w:before="0" w:after="283"/>
              <w:jc w:val="left"/>
              <w:rPr/>
            </w:pPr>
            <w:hyperlink r:id="rId34">
              <w:r>
                <w:rPr>
                  <w:rStyle w:val="InternetLink"/>
                  <w:rFonts w:ascii="Times New Roman" w:hAnsi="Times New Roman"/>
                  <w:color w:val="0000FF"/>
                  <w:sz w:val="20"/>
                  <w:u w:val="single"/>
                </w:rPr>
                <w:t>Current Report on Form 8-K dated July 14, 2025, filed with the SEC on July 16,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Class B Unit Exchange Agreement, effective as of August 3, 2021 (incorporated by reference to Exhibit 10.2 to the Registrant’s Quarterly Report on Form 10-Q for the quarter ended June 30, 2022 filed with the SEC on August 10,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Registration Rights Agreement, effective as of August 3, 2021 (incorporated by reference to Exhibit 10.3 to the Registrant’s Quarterly Report on Form 10-Q for the quarter ended June 30, 2022 filed with the SEC on August 10,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10_4.htm">
              <w:r>
                <w:rPr>
                  <w:rStyle w:val="InternetLink"/>
                  <w:rFonts w:ascii="Times New Roman" w:hAnsi="Times New Roman"/>
                  <w:color w:val="0000FF"/>
                  <w:sz w:val="20"/>
                  <w:u w:val="single"/>
                </w:rPr>
                <w:t>Sixth Amended and Restated Limited Liability Company Agreement of Rani Therapeutics, LLC, effective as of December 31,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Indemnification Agreement between the Registrant and each of its directors and executive officers (incorporated by reference to Exhibit 10.4 to the Registrant’s Registration Statement on Form S-1, filed with the SEC on July 9,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Rani Therapeutics, LLC 2016 Equity Incentive Plan and forms of agreement thereunder (incorporated by reference to Exhibit 10.5 to the Registrant’s Registration Statement on Form S-1, as amended, filed with the SEC on July 9,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Rani Therapeutics Holdings, Inc. 2021 Equity Incentive Plan (incorporated by reference to Exhibit 10.7 to the Registrant’s Registration Statement on Form S-1, as amended, filed with the SEC on July 26,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Forms of Agreement under the Rani Therapeutics Holdings, Inc. 2021 Equity Incentive Plan (incorporated by reference to Exhibit 10.8 to the Registrant’s Quarterly Report on Form 10-Q for the quarter ended June 30, 2022 filed with the SEC on August 10,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Rani Therapeutics Holdings, Inc. 2021 Employee Stock Purchase Plan (incorporated by reference to Exhibit 10.8 to the Registrant’s Registration Statement on Form S-1, as amended, filed with the SEC on July 26,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Rani Therapeutics Holdings, Inc. Severance and Change in Control Plan (incorporated by reference to Exhibit 10.8 to the Registrant’s Registration Statement on Form S-1, filed with the SEC on July 9, 2021).</w:t>
              </w:r>
            </w:hyperlink>
          </w:p>
        </w:tc>
      </w:tr>
    </w:tbl>
    <w:p>
      <w:pPr>
        <w:pStyle w:val="TextBody"/>
        <w:bidi w:val="0"/>
        <w:spacing w:before="120" w:after="283"/>
        <w:jc w:val="right"/>
        <w:rPr>
          <w:rFonts w:ascii="Times New Roman" w:hAnsi="Times New Roman"/>
          <w:color w:val="000000"/>
          <w:sz w:val="20"/>
        </w:rPr>
      </w:pPr>
      <w:r>
        <w:rPr>
          <w:rFonts w:ascii="Times New Roman" w:hAnsi="Times New Roman"/>
          <w:color w:val="000000"/>
          <w:sz w:val="20"/>
        </w:rPr>
        <w:t>149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2"/>
        <w:gridCol w:w="146"/>
        <w:gridCol w:w="9337"/>
      </w:tblGrid>
      <w:tr>
        <w:trPr/>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7" w:type="dxa"/>
            <w:tcBorders/>
            <w:vAlign w:val="center"/>
          </w:tcPr>
          <w:p>
            <w:pPr>
              <w:pStyle w:val="TableContents"/>
              <w:bidi w:val="0"/>
              <w:spacing w:before="0" w:after="283"/>
              <w:jc w:val="left"/>
              <w:rPr>
                <w:sz w:val="4"/>
                <w:szCs w:val="4"/>
              </w:rPr>
            </w:pPr>
            <w:r>
              <w:rPr>
                <w:sz w:val="4"/>
                <w:szCs w:val="4"/>
              </w:rPr>
            </w:r>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Form of Participation Agreement under the Rani Therapeutics Holdings, Inc. Severance and Change in Control Plan (incorporated by reference to Exhibit 10.9 to the Registrant’s Registration Statement on Form S-1, filed with the SEC on July 9, 2021).</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10_12.htm">
              <w:r>
                <w:rPr>
                  <w:rStyle w:val="InternetLink"/>
                  <w:rFonts w:ascii="Times New Roman" w:hAnsi="Times New Roman"/>
                  <w:color w:val="0000FF"/>
                  <w:sz w:val="20"/>
                  <w:u w:val="single"/>
                </w:rPr>
                <w:t>Rani Therapeutics Holdings, Inc. Non-Employee Director Compensation Policy.</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Service Agreement, by and between Rani Therapeutics, LLC and InCube Labs, LLC, dated January 1, 2021 (incorporated by reference to Exhibit 10.15 to the Registrant’s Registration Statement on Form S-1, as amended, filed with the SEC on July 9, 2021).</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Amendment No. 1 to Service Agreement, dated March 21, 2022, by and between Rani Therapeutics, LLC and InCube Labs, LLC (incorporated by reference to Exhibit 10.14 to the Registrant’s Quarterly Report on Form 10-Q for the quarter ended June 30, 2022, filed with the SEC on August 10, 2022).</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Amendment No. 2 to Service Agreement, dated March 15, 2024, by and between Rani Therapeutics, LLC and InCube Labs, LLC (incorporated by reference to Exhibit 10.15 to the Registrant’s Annual Report on Form 10-K for the year ended December 31, 2023, filed with the SEC on March 20, 2024).</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Non-Exclusive License Agreement, by and between Rani Therapeutics, LLC and InCube Labs, LLC, dated June 22, 2021 (incorporated by reference to Exhibit 10.18 to the Registrant’s Registration Statement on Form S-1, as amended, filed with the SEC on July 9, 2021).</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Amended and Restated Employment Agreement, dated August 31, 2022, by and between Rani Therapeutics, LLC and Talat Imran (incorporated by reference to Exhibit 10.19 to the Registrant’s Annual Report on form 10-K for the year ended December 31, 2022, filed with the SEC on March 22, 2023).</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Amended and Restated Employment Agreement, dated August 31, 2022, by and between Rani Therapeutics, LLC and Mir Hashim (incorporated by reference to Exhibit 10.19 to the Registrant’s Annual Report on form 10-K for the year ended December 31, 2022, filed with the SEC on March 22, 2023).</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Amended and Restated Employment Agreement, dated August 31, 2022, by and between Rani Therapeutics, LLC and Svai Sanford (incorporated by reference to Exhibit 10.19 to the Registrant’s Annual Report on form 10-K for the year ended December 31, 2022, filed with the SEC on March 22, 2023).</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Employment Agreement, dated May 17, 2023, by and between Rani Therapeutics, LLC and Kate McKinley (incorporated by reference to Exhibit 10.2 to the Registrant’s Quarterly Report on form 10-Q for the quarter ended June 30, 2023, filed with the SEC on August 11, 2023).</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License and Supply Agreement by and between Rani Therapeutics, LLC and Celltrion, Inc. dated January 6, 2023 (incorporated by reference to Exhibit 10.27 to the Registrant’s Annual Report on Form 10-K for the year ended December 31, 2022, filed with the SEC on March 22, 2023).</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License and Supply Agreement by and between Rani Therapeutics, LLC and Celltrion, Inc. dated May 26, 2023 (incorporated by reference to Exhibit.10.2 to the Registrant’s Quarterly Report on Form 10-Q for the quarter ended June 30, 2023, filed with the SEC on August 11, 2023).</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Standard Industrial/Commercial Multi-Tenant Lease – Net, by and between Rani Therapeutics, LLC and BKM South Bay 240, LLC, dated as of November 1, 2023 (incorporated by reference to Exhibit 10.1 to the Registrant’s Quarterly Report on Form 10-Q for the quarter ended September 30, 2023, filed with the SEC on November 8, 2023).</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Collaboration Agreement between Rani Therapeutics, LLC and ProGen Co., Ltd. dated June 17, 2024 (incorporated by reference to Exhibit 10.1 to the Registrant’s Quarterly Report on Form 10-Q for the quarter ended June 30, 2024, filed with the SEC on August 6, 2024).</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jc w:val="left"/>
              <w:rPr/>
            </w:pPr>
            <w:hyperlink r:id="rId56">
              <w:r>
                <w:rPr>
                  <w:rStyle w:val="InternetLink"/>
                  <w:rFonts w:ascii="Times New Roman" w:hAnsi="Times New Roman"/>
                  <w:color w:val="0000FF"/>
                  <w:sz w:val="20"/>
                  <w:u w:val="single"/>
                </w:rPr>
                <w:t>Collaboration Agreement between Rani Therapeutics, LLC and Chugai Pharmaceutical Co.,</w:t>
              </w:r>
            </w:hyperlink>
            <w:hyperlink r:id="rId57">
              <w:r>
                <w:rPr>
                  <w:rStyle w:val="InternetLink"/>
                  <w:rFonts w:ascii="Times New Roman" w:hAnsi="Times New Roman"/>
                  <w:color w:val="0000FF"/>
                  <w:sz w:val="20"/>
                </w:rPr>
                <w:t xml:space="preserve"> </w:t>
              </w:r>
            </w:hyperlink>
          </w:p>
          <w:p>
            <w:pPr>
              <w:pStyle w:val="TableContents"/>
              <w:bidi w:val="0"/>
              <w:jc w:val="left"/>
              <w:rPr/>
            </w:pPr>
            <w:hyperlink r:id="rId58">
              <w:r>
                <w:rPr>
                  <w:rStyle w:val="InternetLink"/>
                  <w:rFonts w:ascii="Times New Roman" w:hAnsi="Times New Roman"/>
                  <w:color w:val="0000FF"/>
                  <w:sz w:val="20"/>
                  <w:u w:val="single"/>
                </w:rPr>
                <w:t>Ltd. dated October 14, 2025 (incorporated by reference to Exhibit 10.1 to the Registrant’s Quarterly Report on Form</w:t>
              </w:r>
            </w:hyperlink>
            <w:hyperlink r:id="rId59">
              <w:r>
                <w:rPr>
                  <w:rStyle w:val="InternetLink"/>
                  <w:rFonts w:ascii="Times New Roman" w:hAnsi="Times New Roman"/>
                  <w:color w:val="0000FF"/>
                  <w:sz w:val="20"/>
                </w:rPr>
                <w:t xml:space="preserve"> </w:t>
              </w:r>
            </w:hyperlink>
          </w:p>
          <w:p>
            <w:pPr>
              <w:pStyle w:val="TableContents"/>
              <w:bidi w:val="0"/>
              <w:spacing w:before="0" w:after="283"/>
              <w:jc w:val="left"/>
              <w:rPr/>
            </w:pPr>
            <w:hyperlink r:id="rId60">
              <w:r>
                <w:rPr>
                  <w:rStyle w:val="InternetLink"/>
                  <w:rFonts w:ascii="Times New Roman" w:hAnsi="Times New Roman"/>
                  <w:color w:val="0000FF"/>
                  <w:sz w:val="20"/>
                  <w:u w:val="single"/>
                </w:rPr>
                <w:t>10-Q for the quarter ended September 30, 2025, filed with the SEC on November 6, 2025).</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jc w:val="left"/>
              <w:rPr/>
            </w:pPr>
            <w:hyperlink r:id="rId61">
              <w:r>
                <w:rPr>
                  <w:rStyle w:val="InternetLink"/>
                  <w:rFonts w:ascii="Times New Roman" w:hAnsi="Times New Roman"/>
                  <w:color w:val="0000FF"/>
                  <w:sz w:val="20"/>
                  <w:u w:val="single"/>
                </w:rPr>
                <w:t>Form of Securities Purchase Agreement between the Registrant and the Purchasers, dated as of October 16, 2025</w:t>
              </w:r>
            </w:hyperlink>
            <w:hyperlink r:id="rId62">
              <w:r>
                <w:rPr>
                  <w:rStyle w:val="InternetLink"/>
                  <w:rFonts w:ascii="Times New Roman" w:hAnsi="Times New Roman"/>
                  <w:color w:val="0000FF"/>
                  <w:sz w:val="20"/>
                </w:rPr>
                <w:t xml:space="preserve"> </w:t>
              </w:r>
            </w:hyperlink>
          </w:p>
          <w:p>
            <w:pPr>
              <w:pStyle w:val="TableContents"/>
              <w:bidi w:val="0"/>
              <w:jc w:val="left"/>
              <w:rPr/>
            </w:pPr>
            <w:hyperlink r:id="rId63">
              <w:r>
                <w:rPr>
                  <w:rStyle w:val="InternetLink"/>
                  <w:rFonts w:ascii="Times New Roman" w:hAnsi="Times New Roman"/>
                  <w:color w:val="0000FF"/>
                  <w:sz w:val="20"/>
                  <w:u w:val="single"/>
                </w:rPr>
                <w:t>(incorporated by reference to Exhibit 10.2 to the Registrant’s Current Report on Form 8-K dated October 16, 2025,</w:t>
              </w:r>
            </w:hyperlink>
            <w:hyperlink r:id="rId64">
              <w:r>
                <w:rPr>
                  <w:rStyle w:val="InternetLink"/>
                  <w:rFonts w:ascii="Times New Roman" w:hAnsi="Times New Roman"/>
                  <w:color w:val="0000FF"/>
                  <w:sz w:val="20"/>
                </w:rPr>
                <w:t xml:space="preserve"> </w:t>
              </w:r>
            </w:hyperlink>
          </w:p>
          <w:p>
            <w:pPr>
              <w:pStyle w:val="TableContents"/>
              <w:bidi w:val="0"/>
              <w:spacing w:before="0" w:after="283"/>
              <w:jc w:val="left"/>
              <w:rPr/>
            </w:pPr>
            <w:hyperlink r:id="rId65">
              <w:r>
                <w:rPr>
                  <w:rStyle w:val="InternetLink"/>
                  <w:rFonts w:ascii="Times New Roman" w:hAnsi="Times New Roman"/>
                  <w:color w:val="0000FF"/>
                  <w:sz w:val="20"/>
                  <w:u w:val="single"/>
                </w:rPr>
                <w:t>filed with the SEC on October 17, 2025).</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10_27.htm">
              <w:r>
                <w:rPr>
                  <w:rStyle w:val="InternetLink"/>
                  <w:rFonts w:ascii="Times New Roman" w:hAnsi="Times New Roman"/>
                  <w:color w:val="0000FF"/>
                  <w:sz w:val="20"/>
                  <w:u w:val="single"/>
                </w:rPr>
                <w:t>Form of Key Employee Retention Agreement</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19_1.htm">
              <w:r>
                <w:rPr>
                  <w:rStyle w:val="InternetLink"/>
                  <w:rFonts w:ascii="Times New Roman" w:hAnsi="Times New Roman"/>
                  <w:color w:val="0000FF"/>
                  <w:sz w:val="20"/>
                  <w:u w:val="single"/>
                </w:rPr>
                <w:t>Rani Therapeutics Holdings, Inc. Insider Trading Policy</w:t>
              </w:r>
            </w:hyperlink>
            <w:hyperlink w:anchor="rani-ex19_1.htm">
              <w:r>
                <w:rPr>
                  <w:rStyle w:val="InternetLink"/>
                  <w:rFonts w:ascii="Times New Roman" w:hAnsi="Times New Roman"/>
                  <w:color w:val="0000FF"/>
                  <w:sz w:val="20"/>
                </w:rPr>
                <w:t xml:space="preserve"> </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21_1.htm">
              <w:r>
                <w:rPr>
                  <w:rStyle w:val="InternetLink"/>
                  <w:rFonts w:ascii="Times New Roman" w:hAnsi="Times New Roman"/>
                  <w:color w:val="0000FF"/>
                  <w:sz w:val="20"/>
                  <w:u w:val="single"/>
                </w:rPr>
                <w:t>Subsidiaries of the Registrant.</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23_1.htm">
              <w:r>
                <w:rPr>
                  <w:rStyle w:val="InternetLink"/>
                  <w:rFonts w:ascii="Times New Roman" w:hAnsi="Times New Roman"/>
                  <w:color w:val="0000FF"/>
                  <w:sz w:val="20"/>
                  <w:u w:val="single"/>
                </w:rPr>
                <w:t>Consent of Marcum LLP, Independent Registered Public Accounting Firm.</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23_2.htm">
              <w:r>
                <w:rPr>
                  <w:rStyle w:val="InternetLink"/>
                  <w:rFonts w:ascii="Times New Roman" w:hAnsi="Times New Roman"/>
                  <w:color w:val="0000FF"/>
                  <w:sz w:val="20"/>
                  <w:u w:val="single"/>
                </w:rPr>
                <w:t>Consent of CBIZ CPAs P.C., Independent Registered Public Accounting Firm</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Reference is made to the signature page hereto.</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bl>
    <w:p>
      <w:pPr>
        <w:pStyle w:val="TextBody"/>
        <w:bidi w:val="0"/>
        <w:spacing w:before="120" w:after="283"/>
        <w:jc w:val="right"/>
        <w:rPr>
          <w:rFonts w:ascii="Times New Roman" w:hAnsi="Times New Roman"/>
          <w:color w:val="000000"/>
          <w:sz w:val="20"/>
        </w:rPr>
      </w:pPr>
      <w:r>
        <w:rPr>
          <w:rFonts w:ascii="Times New Roman" w:hAnsi="Times New Roman"/>
          <w:color w:val="000000"/>
          <w:sz w:val="20"/>
        </w:rPr>
        <w:t>150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6"/>
        <w:gridCol w:w="146"/>
        <w:gridCol w:w="9403"/>
      </w:tblGrid>
      <w:tr>
        <w:trPr/>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3" w:type="dxa"/>
            <w:tcBorders/>
            <w:vAlign w:val="center"/>
          </w:tcPr>
          <w:p>
            <w:pPr>
              <w:pStyle w:val="TableContents"/>
              <w:bidi w:val="0"/>
              <w:spacing w:before="0" w:after="283"/>
              <w:jc w:val="left"/>
              <w:rPr>
                <w:sz w:val="4"/>
                <w:szCs w:val="4"/>
              </w:rPr>
            </w:pPr>
            <w:r>
              <w:rPr>
                <w:sz w:val="4"/>
                <w:szCs w:val="4"/>
              </w:rPr>
            </w:r>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6">
              <w:r>
                <w:rPr>
                  <w:rStyle w:val="InternetLink"/>
                  <w:rFonts w:ascii="Times New Roman" w:hAnsi="Times New Roman"/>
                  <w:color w:val="0000FF"/>
                  <w:sz w:val="20"/>
                  <w:u w:val="single"/>
                </w:rPr>
                <w:t>Policy Relating to Recovery of Erroneously Awarded Compensation (incorporated by reference to Exhibit 97.1 to the Registrant’s Annual Report on Form 10-K for the year ended December 31, 2024, filed with the SEC on March 31, 2025).</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 32.1 which accompanies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Form 10-K), irrespective of any general incorporation language contained in such filing.</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x Portions of this exhibit have been omitted as the Registrant has determined that (i) the omitted information is not material and (ii) the omitted material is of the type that the Registrant treats as private or confidential.</w:t>
      </w:r>
    </w:p>
    <w:p>
      <w:pPr>
        <w:pStyle w:val="TextBody"/>
        <w:bidi w:val="0"/>
        <w:jc w:val="left"/>
        <w:rPr/>
      </w:pPr>
      <w:r>
        <w:rPr/>
        <w:t> </w:t>
      </w:r>
    </w:p>
    <w:p>
      <w:pPr>
        <w:pStyle w:val="TextBody"/>
        <w:bidi w:val="0"/>
        <w:jc w:val="left"/>
        <w:rPr>
          <w:rFonts w:ascii="Times New Roman" w:hAnsi="Times New Roman"/>
          <w:b/>
          <w:color w:val="000000"/>
          <w:sz w:val="20"/>
        </w:rPr>
      </w:pPr>
      <w:bookmarkStart w:id="49" w:name="item_16"/>
      <w:bookmarkEnd w:id="49"/>
      <w:r>
        <w:rPr>
          <w:rFonts w:ascii="Times New Roman" w:hAnsi="Times New Roman"/>
          <w:b/>
          <w:color w:val="000000"/>
          <w:sz w:val="20"/>
        </w:rPr>
        <w:t>Item 16. Form 10-K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0" w:name="signatures"/>
      <w:bookmarkEnd w:id="5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949" w:type="dxa"/>
        <w:jc w:val="left"/>
        <w:tblInd w:w="0" w:type="dxa"/>
        <w:tblLayout w:type="fixed"/>
        <w:tblCellMar>
          <w:top w:w="28" w:type="dxa"/>
          <w:left w:w="28" w:type="dxa"/>
          <w:bottom w:w="28" w:type="dxa"/>
          <w:right w:w="28" w:type="dxa"/>
        </w:tblCellMar>
      </w:tblPr>
      <w:tblGrid>
        <w:gridCol w:w="1891"/>
        <w:gridCol w:w="146"/>
        <w:gridCol w:w="406"/>
        <w:gridCol w:w="250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Rani Therapeutics Holdings,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Talat Imran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Talat Imran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i/>
                <w:color w:val="000000"/>
                <w:sz w:val="20"/>
              </w:rPr>
              <w:t>Chief Executive Officer</w:t>
            </w:r>
            <w:r>
              <w:rPr>
                <w:rFonts w:ascii="Times New Roman" w:hAnsi="Times New Roman"/>
                <w:color w:val="000000"/>
                <w:sz w:val="20"/>
              </w:rPr>
              <w:t xml:space="preserve">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Talat Imran and Svai Sanford, and each of them,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this Annual Report on Form 10-K has been signed below by the following persons on behalf of the registrant and in the capacities and on the dates indicated.</w:t>
      </w:r>
    </w:p>
    <w:p>
      <w:pPr>
        <w:pStyle w:val="TextBody"/>
        <w:bidi w:val="0"/>
        <w:jc w:val="left"/>
        <w:rPr/>
      </w:pPr>
      <w:r>
        <w:rPr/>
        <w:t> </w:t>
      </w:r>
    </w:p>
    <w:tbl>
      <w:tblPr>
        <w:tblW w:w="7196" w:type="dxa"/>
        <w:jc w:val="left"/>
        <w:tblInd w:w="0" w:type="dxa"/>
        <w:tblLayout w:type="fixed"/>
        <w:tblCellMar>
          <w:top w:w="28" w:type="dxa"/>
          <w:left w:w="28" w:type="dxa"/>
          <w:bottom w:w="28" w:type="dxa"/>
          <w:right w:w="28" w:type="dxa"/>
        </w:tblCellMar>
      </w:tblPr>
      <w:tblGrid>
        <w:gridCol w:w="1711"/>
        <w:gridCol w:w="109"/>
        <w:gridCol w:w="3826"/>
        <w:gridCol w:w="109"/>
        <w:gridCol w:w="1441"/>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7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Talat Imran</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26, 2026</w:t>
            </w:r>
          </w:p>
        </w:tc>
      </w:tr>
      <w:tr>
        <w:trPr/>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Talat Imran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Svai Sanford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Chief Financial Officer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26, 2026</w:t>
            </w:r>
          </w:p>
        </w:tc>
      </w:tr>
      <w:tr>
        <w:trPr/>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Svai Sanford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Mir Imran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26, 2026</w:t>
            </w:r>
          </w:p>
        </w:tc>
      </w:tr>
      <w:tr>
        <w:trPr/>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Mir Imran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Dennis Ausiello</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26, 2026</w:t>
            </w:r>
          </w:p>
        </w:tc>
      </w:tr>
      <w:tr>
        <w:trPr/>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Dennis Ausiello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Jean-Luc Butel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26, 2026</w:t>
            </w:r>
          </w:p>
        </w:tc>
      </w:tr>
      <w:tr>
        <w:trPr/>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Jean-Luc Butel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Abraham Bassan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26, 2026</w:t>
            </w:r>
          </w:p>
        </w:tc>
      </w:tr>
      <w:tr>
        <w:trPr/>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Abraham Bassan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Vasudev Bailey</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26, 2026</w:t>
            </w:r>
          </w:p>
        </w:tc>
      </w:tr>
      <w:tr>
        <w:trPr/>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Vasudev Bailey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Lisa Rometty</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26, 2026</w:t>
            </w:r>
          </w:p>
        </w:tc>
      </w:tr>
      <w:tr>
        <w:trPr/>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Lisa Rometty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152</w:t>
      </w:r>
    </w:p>
    <w:p>
      <w:pPr>
        <w:pStyle w:val="HorizontalLine"/>
        <w:pBdr>
          <w:bottom w:val="double" w:sz="2" w:space="0" w:color="808080"/>
        </w:pBdr>
        <w:bidi w:val="0"/>
        <w:spacing w:before="0" w:after="283"/>
        <w:jc w:val="left"/>
        <w:rPr/>
      </w:pPr>
      <w:r>
        <w:rPr/>
      </w:r>
    </w:p>
    <w:p>
      <w:pPr>
        <w:pStyle w:val="TextBody"/>
        <w:bidi w:val="0"/>
        <w:jc w:val="left"/>
        <w:rPr/>
      </w:pPr>
      <w:bookmarkStart w:id="51" w:name="rani-ex4_2.htm"/>
      <w:bookmarkStart w:id="52" w:name="ksraniex4_2"/>
      <w:bookmarkEnd w:id="51"/>
      <w:bookmarkEnd w:id="52"/>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4.2</w:t>
      </w:r>
    </w:p>
    <w:p>
      <w:pPr>
        <w:pStyle w:val="TextBody"/>
        <w:bidi w:val="0"/>
        <w:jc w:val="center"/>
        <w:rPr>
          <w:rFonts w:ascii="Times New Roman" w:hAnsi="Times New Roman"/>
          <w:b/>
          <w:color w:val="000000"/>
          <w:sz w:val="20"/>
        </w:rPr>
      </w:pPr>
      <w:r>
        <w:rPr>
          <w:rFonts w:ascii="Times New Roman" w:hAnsi="Times New Roman"/>
          <w:b/>
          <w:color w:val="000000"/>
          <w:sz w:val="20"/>
        </w:rPr>
        <w:t>Description of Registrant’s Securities Registered Pursuant to Section 12 of the Securities and Exchange Act of 1934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description of the Class A common stock, par value $0.0001 per share (the “Class A common stock”) of Rani Therapeutics Holdings, Inc. (“Rani”, the “Company”, “we”, “our” or “us”) which is our only class of security registered under Section 12 of the Securities Exchange Act of 1934, as amended (the “Exchange Act”). The following also contains a description of our Class B common stock, par value $0.0001 per share of the Company (the “Class B common stock”), which is not registered pursuant to Section 12 of the Exchange Act but Class B common stockholders who are members of Rani Therapeutics, LLC (“Rani LLC”) have the right to exchange their membership interests of Rani LLC (the “LLC Interests”) (with automatic cancellation of an equal number of shares of Class B common stock) for shares of our Class A common stock. The description of the Class B common stock is necessary to understand the material terms of the Class A common stock. The following also contains a description of our Class C common stock, par value $0.0001 per share (the “Class C common stock”) and our preferred stock, par value $0.0001 per share (the “preferred stock”). As of March 26, 2026, there are no shares of Class C common stock and no shares of preferred stock outstanding. The description of the Class C common stock and the preferred stock is necessary to understand the terms of the Class A common stock as the issuance of Class C common stock or preferred stock could have an adverse impact on the market price of the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summary description of our capital stock is based on the provisions of our amended and restated certificate of incorporation, as currently in effect, as well as our amended and restated bylaws, as currently in effect, and the applicable provisions of the Delaware General Corporation Law (the “DGCL”). This information is qualified entirely by reference to the applicable provisions of our amended and restated certificate of incorporation, amended and restated bylaws, and the DGCL. Our amended and restated certificate of incorporation and amended and restated bylaws are filed as exhibits to this Annual Report on Form 10-K.</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Authorized Capital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authorized capital stock consists of 800,000,000 shares of Class A common stock, par value $0.0001, 40,000,000 shares of Class B common stock, par value $0.0001 per share, 20,000,000 shares of Class C common stock, par value $0.0001 per share and 20,000,000 shares of preferred stock, par value $0.0001 per share.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Class A Common Stock</w:t>
      </w:r>
    </w:p>
    <w:p>
      <w:pPr>
        <w:pStyle w:val="TextBody"/>
        <w:bidi w:val="0"/>
        <w:spacing w:before="120" w:after="283"/>
        <w:jc w:val="left"/>
        <w:rPr>
          <w:rFonts w:ascii="Times New Roman" w:hAnsi="Times New Roman"/>
          <w:sz w:val="20"/>
        </w:rPr>
      </w:pPr>
      <w:r>
        <w:rPr>
          <w:rFonts w:ascii="Times New Roman" w:hAnsi="Times New Roman"/>
          <w:i/>
          <w:color w:val="000000"/>
          <w:sz w:val="20"/>
        </w:rPr>
        <w:t>Voting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Holders of our Class A common stock are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the affirmative vote of at least two-thirds (2/3) of the outstanding voting power of the outstanding shares of Class A common stock and Class B common stock, voting together as a single class.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Dividends and Other Distributions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Subject to preferences that may be applicable to any then outstanding preferred stock, 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 </w:t>
      </w:r>
    </w:p>
    <w:p>
      <w:pPr>
        <w:pStyle w:val="TextBody"/>
        <w:bidi w:val="0"/>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i/>
          <w:color w:val="000000"/>
          <w:sz w:val="20"/>
        </w:rPr>
        <w:t>Distribution on Dissolution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event of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Rights and Preferences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shares of Class A common stock are subject to redemption or have preemptive rights to purchase additional shares of Class A common stock. Holders of shares of our Class A common stock do not have subscription, redemption or conversion rights. There are no redemption or sinking fund provisions applicable to the Class A common stock. The rights, preferences and privileges of the holders of our Class A common stock are subject to, and may be adversely affected by, the rights of the holders of shares of any series of our preferred stock that we may designate and issue in the future.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Class B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Shares of Class B common stock will only be issued in the future to the extent necessary to maintain a one-to-one ratio between the number of LLC Interests held by our Class B common stockholders who are members of Rani LLC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amended and restated limited liability company agreement of Rani LLC, as currently in effect (the “Rani LLC Agreement”), a copy of which is filed as an exhibit with the Securities and Exchange Commission.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Voting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Holders of Class B common stock are entitled to cast one vote per share, with the number of shares of Class B common stock held by each Continuing LLC Owner being equivalent to the number of LLC Interests held by such Continuing LLC Owner. Holders of our Class B common stock are not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Distribution on Dissolution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our liquidation, dissolution or winding up, holders of Class B common stock will not be entitled to receive any distribution of our assets.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Transfers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Rani LLC Agreement, each holder of Class B common stock agrees that: (i) the holder will not transfer any shares of Class B common stock to any person unless the holder transfers an equal number of LLC Interests to the same person; and (ii) in the event the holder transfers any LLC Interests to any person, the holder will transfer an equal number of shares of Class B common stock to the same person.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Rights and Preferences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shares of Class B common stock have preemptive rights to purchase additional shares of Class B common stock. Holders of shares of our Class B common stock do not have subscription, redemption or conversion rights. There will be no redemption or sinking fund provisions applicable to the Class B common stock.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Class C Common Stock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Voting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Holders of our Class C common stock are not entitled to vote on any matter that is submitted to a vote of the stockholders, except as otherwise required by law.</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Distribution on Dissolution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provides that our board of directors has the authority, without action by the stockholders,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issuance of preferred stock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pStyle w:val="TextBody"/>
        <w:bidi w:val="0"/>
        <w:spacing w:before="200" w:after="283"/>
        <w:jc w:val="left"/>
        <w:rPr>
          <w:rFonts w:ascii="Times New Roman" w:hAnsi="Times New Roman"/>
          <w:sz w:val="20"/>
        </w:rPr>
      </w:pPr>
      <w:r>
        <w:rPr>
          <w:rFonts w:ascii="Times New Roman" w:hAnsi="Times New Roman"/>
          <w:b/>
          <w:color w:val="000000"/>
          <w:sz w:val="20"/>
        </w:rPr>
        <w:t>Anti-Takeover Provisions of Delaware Law and Our Amended and Restated Certificate of Incorporation and Amended and Restated Bylaws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Preferred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Removal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stockholders may only remove a director for cause by the affirmative vote of the holders of at least two-thirds (2/3) of the voting power of all then-outstanding shares of capital stock of the Company entitled to vote generally at an election of directors.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Director Vacancies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authorizes only our board of directors to fill vacant directorships.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No Cumulative Voting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stockholders do not have the right to cumulate votes in the election of directors.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Amendment of Bylaws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while the board of directors is expressly empowered to adopt, amend or repeal the bylaws of the Company, any such action by stockholders will require the affirmative vote of the holders of at least two-thirds (2/3) of the voting power of the outstanding shares of Class A common stock and Class B common stock, voting together as a single class.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Special Meetings of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except as otherwise required by law, special meetings of the stockholders may be called only (i) by a resolution adopted by a majority of our board of directors; (ii) by the chairperson of our board of directors; or (iii) by our Chief Executive Officer.</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Advance Notice Procedures for Director Nominations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bylaws provides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does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No Stockholder Action by Written Consent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any action required or permitted to be taken by the stockholders must be affected at a duly called annual or special meeting of stockholders and may not be effected by written consent in lieu of a meeting.</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Authorized but Unissued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Choice of Forum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provides that the Court of Chancery of the State of Delaware and any appellate court therefrom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current or former directors, officers, or other employees, arising out of or pursuant to any provision of the DGCL, our amended and restated certificate of incorporation or our amended and restated bylaws (as each may be amended from time to time); (iv) any action or proceeding seeking to interpret, apply, enforce, or determine the validity of our amended and restated certificate of incorporation or our amended and restated bylaws (as each may be amended from time to time, including any right, obligation, or remedy thereunder); (v) any action or proceeding as to which the DGCL confers jurisdiction to the Court of Chancery of the State of Delaware; and (vi) any action asserting a claim against us or any of our directors, officers, or other employees governed by the internal affairs doctrine or otherwise related to the Company’s internal affairs, in all cases to the fullest extent permitted by applicable law; provided, however, that if such court does not have, or declines to accept, jurisdiction over such a claim or cause of action, then the United States District Court for the District of Delaware shall be the sole and exclusive forum for such claim or cause of action. These provisions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pStyle w:val="TextBody"/>
        <w:bidi w:val="0"/>
        <w:spacing w:before="200" w:after="283"/>
        <w:jc w:val="left"/>
        <w:rPr>
          <w:rFonts w:ascii="Times New Roman" w:hAnsi="Times New Roman"/>
          <w:sz w:val="20"/>
        </w:rPr>
      </w:pPr>
      <w:r>
        <w:rPr>
          <w:rFonts w:ascii="Times New Roman" w:hAnsi="Times New Roman"/>
          <w:i/>
          <w:color w:val="000000"/>
          <w:sz w:val="20"/>
        </w:rPr>
        <w:t>Business Combinations with Interested Stockholders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elected to be subject to and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 </w:t>
      </w:r>
    </w:p>
    <w:p>
      <w:pPr>
        <w:pStyle w:val="TextBody"/>
        <w:bidi w:val="0"/>
        <w:spacing w:before="200" w:after="283"/>
        <w:jc w:val="left"/>
        <w:rPr>
          <w:rFonts w:ascii="Times New Roman" w:hAnsi="Times New Roman"/>
          <w:sz w:val="20"/>
        </w:rPr>
      </w:pPr>
      <w:r>
        <w:rPr>
          <w:rFonts w:ascii="Times New Roman" w:hAnsi="Times New Roman"/>
          <w:b/>
          <w:color w:val="000000"/>
          <w:sz w:val="20"/>
        </w:rPr>
        <w:t>Listing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Class A common stock is listed on The Nasdaq Global Market under the trading symbol “RANI.” </w:t>
      </w:r>
    </w:p>
    <w:p>
      <w:pPr>
        <w:pStyle w:val="TextBody"/>
        <w:bidi w:val="0"/>
        <w:spacing w:before="200" w:after="283"/>
        <w:jc w:val="left"/>
        <w:rPr>
          <w:rFonts w:ascii="Times New Roman" w:hAnsi="Times New Roman"/>
          <w:sz w:val="20"/>
        </w:rPr>
      </w:pPr>
      <w:r>
        <w:rPr>
          <w:rFonts w:ascii="Times New Roman" w:hAnsi="Times New Roman"/>
          <w:b/>
          <w:color w:val="000000"/>
          <w:sz w:val="20"/>
        </w:rPr>
        <w:t>Transfer Agent and Registrar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transfer agent and registrar for our Class A common stock is Equiniti Trust Company, LLC.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bookmarkStart w:id="53" w:name="rani-ex10_4.htm"/>
      <w:bookmarkStart w:id="54" w:name="ksraniex10_4"/>
      <w:bookmarkEnd w:id="53"/>
      <w:bookmarkEnd w:id="54"/>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10.4</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RANI THERAPEUTICS, LLC</w:t>
      </w:r>
    </w:p>
    <w:p>
      <w:pPr>
        <w:pStyle w:val="TextBody"/>
        <w:bidi w:val="0"/>
        <w:spacing w:before="0" w:after="720"/>
        <w:jc w:val="center"/>
        <w:rPr>
          <w:rFonts w:ascii="Times New Roman" w:hAnsi="Times New Roman"/>
          <w:b/>
          <w:color w:val="000000"/>
          <w:sz w:val="24"/>
        </w:rPr>
      </w:pPr>
      <w:r>
        <w:rPr>
          <w:rFonts w:ascii="Times New Roman" w:hAnsi="Times New Roman"/>
          <w:b/>
          <w:color w:val="000000"/>
          <w:sz w:val="24"/>
        </w:rPr>
        <w:t>SIXTH AMENDED AND RESTATED LIMITED LIABILITY COMPANY AGREEMENT</w:t>
        <w:br/>
        <w:br/>
        <w:t>Dated as of December 31, 2025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UNITS REPRESENTED BY THIS SIXTH AMENDED AND RESTATED LIMITED LIABILITY COMPANY AGREEMENT HAVE NOT BEEN REGISTERED UNDER THE UNITED STATES SECURITIES ACT OF 1933, AS AMENDED, OR UNDER ANY OTHER APPLICABLE SECURITIES LAWS. SUCH UNITS MAY NOT BE SOLD, ASSIGNED, PLEDGED OR OTHERWISE DISPOSED OF AT ANY TIME WITHOUT EFFECTIVE REGISTRATION UNDER SUCH ACT AND LAWS OR EXEMPTION THEREFROM, AND COMPLIANCE WITH THE OTHER SUBSTANTIAL RESTRICTIONS ON TRANSFERABILITY SET FORTH HEREIN.</w:t>
      </w:r>
    </w:p>
    <w:p>
      <w:pPr>
        <w:pStyle w:val="TextBody"/>
        <w:pBdr>
          <w:bottom w:val="sing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pPr>
      <w:r>
        <w:rPr/>
        <w:t> </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b/>
                <w:caps/>
                <w:color w:val="0000FF"/>
                <w:sz w:val="24"/>
              </w:rPr>
            </w:pPr>
            <w:bookmarkStart w:id="55" w:name="mptableofcontents"/>
            <w:bookmarkEnd w:id="55"/>
            <w:r>
              <w:rPr>
                <w:rFonts w:ascii="Times New Roman" w:hAnsi="Times New Roman"/>
                <w:b/>
                <w:caps/>
                <w:color w:val="0000FF"/>
                <w:sz w:val="24"/>
              </w:rPr>
              <w:t>Article I DEFINITIONS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aps/>
                <w:color w:val="000000"/>
                <w:sz w:val="24"/>
              </w:rPr>
            </w:pPr>
            <w:r>
              <w:rPr>
                <w:rFonts w:ascii="Times New Roman" w:hAnsi="Times New Roman"/>
                <w:caps/>
                <w:color w:val="000000"/>
                <w:sz w:val="24"/>
              </w:rPr>
              <w:t>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b/>
                <w:caps/>
                <w:color w:val="0000FF"/>
                <w:sz w:val="24"/>
              </w:rPr>
            </w:pPr>
            <w:r>
              <w:rPr>
                <w:rFonts w:ascii="Times New Roman" w:hAnsi="Times New Roman"/>
                <w:b/>
                <w:caps/>
                <w:color w:val="0000FF"/>
                <w:sz w:val="24"/>
              </w:rPr>
              <w:t>Article II ORGANIZATIONAL MATTERS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13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2.1 Formation of Company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2.2 Limited Liability Company Agreement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2.3 Name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2.4 Purpose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 Powers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2.6 Principal Office; Registered Office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2.7 Term</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2.8 No State-Law Partnership</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2.9 Tax Treatment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2.10 Prior Agreements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b/>
                <w:caps/>
                <w:color w:val="0000FF"/>
                <w:sz w:val="24"/>
              </w:rPr>
            </w:pPr>
            <w:r>
              <w:rPr>
                <w:rFonts w:ascii="Times New Roman" w:hAnsi="Times New Roman"/>
                <w:b/>
                <w:caps/>
                <w:color w:val="0000FF"/>
                <w:sz w:val="24"/>
              </w:rPr>
              <w:t>Article III CAPITALIZATION; CAPITAL CONTRIBUTIONS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14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3.1 Capitalization.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3.2 General Provisions with Respect to Units.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3.3 Capital Accounts.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20</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3.4 Negative Capital Accounts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3.5 No Withdrawal</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3.6 Loans From Members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21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b/>
                <w:caps/>
                <w:color w:val="0000FF"/>
                <w:sz w:val="24"/>
              </w:rPr>
            </w:pPr>
            <w:r>
              <w:rPr>
                <w:rFonts w:ascii="Times New Roman" w:hAnsi="Times New Roman"/>
                <w:b/>
                <w:caps/>
                <w:color w:val="0000FF"/>
                <w:sz w:val="24"/>
              </w:rPr>
              <w:t>Article IV DISTRIBUTIONS AND ALLOCATIONS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21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4.1 Distributions.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4.2 Allocations of Net Profit and Net Loss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4.3 Special Allocations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4.4 Tax Allocations.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25</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4.5 Other Allocation Rules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4.6 Withholding Taxes.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4.7 Allocations Upon Final Liquidation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28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b/>
                <w:caps/>
                <w:color w:val="0000FF"/>
                <w:sz w:val="24"/>
              </w:rPr>
            </w:pPr>
            <w:r>
              <w:rPr>
                <w:rFonts w:ascii="Times New Roman" w:hAnsi="Times New Roman"/>
                <w:b/>
                <w:caps/>
                <w:color w:val="0000FF"/>
                <w:sz w:val="24"/>
              </w:rPr>
              <w:t>Article V MANAGEMENT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28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5.1 Designation and Authority of Managing Member</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5.2 Actions of the Managing Member</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5.3 Compensation; Expenses.</w:t>
            </w:r>
          </w:p>
        </w:tc>
        <w:tc>
          <w:tcPr>
            <w:tcW w:w="219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29</w:t>
            </w:r>
          </w:p>
        </w:tc>
      </w:tr>
    </w:tbl>
    <w:tbl>
      <w:tblPr>
        <w:tblW w:w="518" w:type="dxa"/>
        <w:jc w:val="left"/>
        <w:tblInd w:w="0" w:type="dxa"/>
        <w:tblLayout w:type="fixed"/>
        <w:tblCellMar>
          <w:top w:w="28" w:type="dxa"/>
          <w:left w:w="28" w:type="dxa"/>
          <w:bottom w:w="28" w:type="dxa"/>
          <w:right w:w="28" w:type="dxa"/>
        </w:tblCellMar>
      </w:tblPr>
      <w:tblGrid>
        <w:gridCol w:w="161"/>
        <w:gridCol w:w="16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5.4 Delegation of Authority.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5.5 Limitation of Liability.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31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b/>
                <w:caps/>
                <w:color w:val="0000FF"/>
                <w:sz w:val="24"/>
              </w:rPr>
            </w:pPr>
            <w:r>
              <w:rPr>
                <w:rFonts w:ascii="Times New Roman" w:hAnsi="Times New Roman"/>
                <w:b/>
                <w:caps/>
                <w:color w:val="0000FF"/>
                <w:sz w:val="24"/>
              </w:rPr>
              <w:t>Article VI RIGHTS AND OBLIGATIONS OF MEMBERS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32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6.1 Limitation of Liability.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6.2 Lack of Authority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6.3 No Right of Partition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6.4 Indemnification.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33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b/>
                <w:caps/>
                <w:color w:val="0000FF"/>
                <w:sz w:val="24"/>
              </w:rPr>
            </w:pPr>
            <w:r>
              <w:rPr>
                <w:rFonts w:ascii="Times New Roman" w:hAnsi="Times New Roman"/>
                <w:b/>
                <w:caps/>
                <w:color w:val="0000FF"/>
                <w:sz w:val="24"/>
              </w:rPr>
              <w:t>Article VII BOOKS, RECORDS, ACCOUNTING AND REPORTS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34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7.1 Records and Accounting</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7.2 Fiscal Year</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7.3 Reports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35</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7.4 Transmission of Communications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35</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7.5 Confidentiality.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35</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b/>
                <w:caps/>
                <w:color w:val="0000FF"/>
                <w:sz w:val="24"/>
              </w:rPr>
            </w:pPr>
            <w:r>
              <w:rPr>
                <w:rFonts w:ascii="Times New Roman" w:hAnsi="Times New Roman"/>
                <w:b/>
                <w:caps/>
                <w:color w:val="0000FF"/>
                <w:sz w:val="24"/>
              </w:rPr>
              <w:t>Article VIII TAX MATTERS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36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8.1 Preparation of Tax Returns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8.2 Tax Elections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8.3 Tax Controversies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36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b/>
                <w:caps/>
                <w:color w:val="0000FF"/>
                <w:sz w:val="24"/>
              </w:rPr>
            </w:pPr>
            <w:r>
              <w:rPr>
                <w:rFonts w:ascii="Times New Roman" w:hAnsi="Times New Roman"/>
                <w:b/>
                <w:caps/>
                <w:color w:val="0000FF"/>
                <w:sz w:val="24"/>
              </w:rPr>
              <w:t>Article IX RESTRICTIONS ON TRANSFER OF UNITS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37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9.1 Transfers of Units.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9.2 Restricted Units Legend.</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9.3 Assignee’s Rights.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40</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9.4 Assignor’s Rights and Obligations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40</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9.5 Further Restrictions.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9.6 Counterparts; Joinder</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9.7 Ineffective Transfer</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b/>
                <w:caps/>
                <w:color w:val="0000FF"/>
                <w:sz w:val="24"/>
              </w:rPr>
            </w:pPr>
            <w:r>
              <w:rPr>
                <w:rFonts w:ascii="Times New Roman" w:hAnsi="Times New Roman"/>
                <w:b/>
                <w:caps/>
                <w:color w:val="0000FF"/>
                <w:sz w:val="24"/>
              </w:rPr>
              <w:t>Article X ADMISSION OF MEMBERS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42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10.1 Substituted Members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10.2 Additional Members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10.3 Additional Managing Member</w:t>
            </w:r>
          </w:p>
        </w:tc>
        <w:tc>
          <w:tcPr>
            <w:tcW w:w="219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43</w:t>
            </w:r>
          </w:p>
        </w:tc>
      </w:tr>
    </w:tbl>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ii</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b/>
                <w:caps/>
                <w:color w:val="0000FF"/>
                <w:sz w:val="24"/>
              </w:rPr>
            </w:pPr>
            <w:r>
              <w:rPr>
                <w:rFonts w:ascii="Times New Roman" w:hAnsi="Times New Roman"/>
                <w:b/>
                <w:caps/>
                <w:color w:val="0000FF"/>
                <w:sz w:val="24"/>
              </w:rPr>
              <w:t>Article XI WITHDRAWAL AND RESIGNATION OF MEMBERS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aps/>
                <w:color w:val="000000"/>
                <w:sz w:val="24"/>
              </w:rPr>
            </w:pPr>
            <w:r>
              <w:rPr>
                <w:rFonts w:ascii="Times New Roman" w:hAnsi="Times New Roman"/>
                <w:caps/>
                <w:color w:val="000000"/>
                <w:sz w:val="24"/>
              </w:rPr>
              <w:t>43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b/>
                <w:caps/>
                <w:color w:val="0000FF"/>
                <w:sz w:val="24"/>
              </w:rPr>
            </w:pPr>
            <w:r>
              <w:rPr>
                <w:rFonts w:ascii="Times New Roman" w:hAnsi="Times New Roman"/>
                <w:b/>
                <w:caps/>
                <w:color w:val="0000FF"/>
                <w:sz w:val="24"/>
              </w:rPr>
              <w:t>Article XII REDEMPTION AND EXCHANGE RIGHTS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44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12.1 Exchange Procedures.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12.2 Exchange Payment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45</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12.3 Splits, Distributions and Reclassifications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45</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12.4 PubCo Covenants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45</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12.5 Exchange Taxes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12.6 PubCo Call Rights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12.7 Distribution Rights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12.8 Exchange Restrictions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12.9 Tax Matters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12.10 Withholding</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12.11 Representations and Warranties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b/>
                <w:caps/>
                <w:color w:val="0000FF"/>
                <w:sz w:val="24"/>
              </w:rPr>
            </w:pPr>
            <w:r>
              <w:rPr>
                <w:rFonts w:ascii="Times New Roman" w:hAnsi="Times New Roman"/>
                <w:b/>
                <w:caps/>
                <w:color w:val="0000FF"/>
                <w:sz w:val="24"/>
              </w:rPr>
              <w:t>Article XIII DISSOLUTION AND WINDING UP</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49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13.1 Dissolution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13.2 Winding Up and Termination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13.3 Deferment; Distribution in Kind</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50</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13.4 Cancellation of Certificate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50</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13.5 Reasonable Time for Winding Up</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13.6 Return of Capital</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51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b/>
                <w:caps/>
                <w:color w:val="0000FF"/>
                <w:sz w:val="24"/>
              </w:rPr>
            </w:pPr>
            <w:r>
              <w:rPr>
                <w:rFonts w:ascii="Times New Roman" w:hAnsi="Times New Roman"/>
                <w:b/>
                <w:caps/>
                <w:color w:val="0000FF"/>
                <w:sz w:val="24"/>
              </w:rPr>
              <w:t>Article XIV VALUATION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51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14.1 Value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14.2 Determination and Dispute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51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b/>
                <w:caps/>
                <w:color w:val="0000FF"/>
                <w:sz w:val="24"/>
              </w:rPr>
            </w:pPr>
            <w:r>
              <w:rPr>
                <w:rFonts w:ascii="Times New Roman" w:hAnsi="Times New Roman"/>
                <w:b/>
                <w:caps/>
                <w:color w:val="0000FF"/>
                <w:sz w:val="24"/>
              </w:rPr>
              <w:t>Article XV GENERAL PROVISIONS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51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15.1 Power of Attorney.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15.2 Amendments.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15.3 Title to Company Assets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15.4 Addresses and Notices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15.5 Binding Effect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15.6 Creditors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15.7 Waiver</w:t>
            </w:r>
          </w:p>
        </w:tc>
        <w:tc>
          <w:tcPr>
            <w:tcW w:w="219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54</w:t>
            </w:r>
          </w:p>
        </w:tc>
      </w:tr>
    </w:tbl>
    <w:tbl>
      <w:tblPr>
        <w:tblW w:w="638" w:type="dxa"/>
        <w:jc w:val="left"/>
        <w:tblInd w:w="0" w:type="dxa"/>
        <w:tblLayout w:type="fixed"/>
        <w:tblCellMar>
          <w:top w:w="28" w:type="dxa"/>
          <w:left w:w="28" w:type="dxa"/>
          <w:bottom w:w="28" w:type="dxa"/>
          <w:right w:w="28" w:type="dxa"/>
        </w:tblCellMar>
      </w:tblPr>
      <w:tblGrid>
        <w:gridCol w:w="161"/>
        <w:gridCol w:w="28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iii</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tbl>
      <w:tblPr>
        <w:tblW w:w="7442" w:type="dxa"/>
        <w:jc w:val="left"/>
        <w:tblInd w:w="0" w:type="dxa"/>
        <w:tblLayout w:type="fixed"/>
        <w:tblCellMar>
          <w:top w:w="28" w:type="dxa"/>
          <w:left w:w="28" w:type="dxa"/>
          <w:bottom w:w="28" w:type="dxa"/>
          <w:right w:w="28" w:type="dxa"/>
        </w:tblCellMar>
      </w:tblPr>
      <w:tblGrid>
        <w:gridCol w:w="5611"/>
        <w:gridCol w:w="1831"/>
      </w:tblGrid>
      <w:tr>
        <w:trPr/>
        <w:tc>
          <w:tcPr>
            <w:tcW w:w="561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15.8 Counterparts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55</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15.9 Applicable Law; Waiver of Jury Trial</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55</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15.10 Severability</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55</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15.11 Further Action</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55</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15.12 Delivery by Facsimile</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55</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15.13 Offset</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56</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15.14 Entire Agreement</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56</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15.15 Remedies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56</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15.16 Descriptive Headings; Interpretation</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56</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15.17 Spousal Consent</w:t>
            </w:r>
          </w:p>
        </w:tc>
        <w:tc>
          <w:tcPr>
            <w:tcW w:w="183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56</w:t>
            </w:r>
          </w:p>
        </w:tc>
      </w:tr>
    </w:tbl>
    <w:tbl>
      <w:tblPr>
        <w:tblW w:w="638" w:type="dxa"/>
        <w:jc w:val="left"/>
        <w:tblInd w:w="0" w:type="dxa"/>
        <w:tblLayout w:type="fixed"/>
        <w:tblCellMar>
          <w:top w:w="28" w:type="dxa"/>
          <w:left w:w="28" w:type="dxa"/>
          <w:bottom w:w="28" w:type="dxa"/>
          <w:right w:w="28" w:type="dxa"/>
        </w:tblCellMar>
      </w:tblPr>
      <w:tblGrid>
        <w:gridCol w:w="161"/>
        <w:gridCol w:w="28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iv</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b/>
          <w:color w:val="000000"/>
          <w:sz w:val="24"/>
        </w:rPr>
      </w:pPr>
      <w:bookmarkStart w:id="56" w:name="docxtextref2"/>
      <w:bookmarkEnd w:id="56"/>
      <w:r>
        <w:rPr>
          <w:rFonts w:ascii="Times New Roman" w:hAnsi="Times New Roman"/>
          <w:b/>
          <w:color w:val="000000"/>
          <w:sz w:val="24"/>
        </w:rPr>
        <w:t>EXHIBIT AND SCHEDULES</w:t>
      </w:r>
    </w:p>
    <w:p>
      <w:pPr>
        <w:pStyle w:val="TextBody"/>
        <w:bidi w:val="0"/>
        <w:jc w:val="left"/>
        <w:rPr>
          <w:rFonts w:ascii="Times New Roman" w:hAnsi="Times New Roman"/>
          <w:sz w:val="20"/>
        </w:rPr>
      </w:pPr>
      <w:r>
        <w:rPr>
          <w:rFonts w:ascii="Times New Roman" w:hAnsi="Times New Roman"/>
          <w:b/>
          <w:color w:val="000000"/>
          <w:sz w:val="24"/>
        </w:rPr>
        <w:t>Exhibit A</w:t>
      </w:r>
      <w:r>
        <w:rPr>
          <w:rFonts w:ascii="Times New Roman" w:hAnsi="Times New Roman"/>
          <w:color w:val="000000"/>
          <w:sz w:val="20"/>
        </w:rPr>
        <w:t xml:space="preserve"> </w:t>
      </w:r>
      <w:r>
        <w:rPr>
          <w:rFonts w:ascii="Times New Roman" w:hAnsi="Times New Roman"/>
          <w:color w:val="000000"/>
          <w:sz w:val="24"/>
        </w:rPr>
        <w:t>Form of Election of Exchange A-1</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RANI THERAPEUTICS, LLC</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sixth AMENDED AND RESTATED LIMITED LIABILITY COMPANY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SIXTH AMENDED AND RESTATED LIMITED LIABILITY COMPANY AGREEMENT, dated as of December 31, 2025, is entered into by and among Rani Therapeutics, LLC, a California</w:t>
      </w:r>
      <w:r>
        <w:rPr>
          <w:rFonts w:ascii="Times New Roman" w:hAnsi="Times New Roman"/>
          <w:color w:val="000000"/>
          <w:sz w:val="20"/>
        </w:rPr>
        <w:t xml:space="preserve"> </w:t>
      </w:r>
      <w:r>
        <w:rPr>
          <w:rFonts w:ascii="Times New Roman" w:hAnsi="Times New Roman"/>
          <w:color w:val="000000"/>
          <w:sz w:val="24"/>
        </w:rPr>
        <w:t>limited liability company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Rani Therapeutics Holdings, Inc., a Delaware corporation (“</w:t>
      </w:r>
      <w:r>
        <w:rPr>
          <w:rFonts w:ascii="Times New Roman" w:hAnsi="Times New Roman"/>
          <w:b/>
          <w:color w:val="000000"/>
          <w:sz w:val="24"/>
        </w:rPr>
        <w:t>PubCo</w:t>
      </w:r>
      <w:r>
        <w:rPr>
          <w:rFonts w:ascii="Times New Roman" w:hAnsi="Times New Roman"/>
          <w:color w:val="000000"/>
          <w:sz w:val="20"/>
        </w:rPr>
        <w:t>”</w:t>
      </w:r>
      <w:r>
        <w:rPr>
          <w:rFonts w:ascii="Times New Roman" w:hAnsi="Times New Roman"/>
          <w:color w:val="000000"/>
          <w:sz w:val="24"/>
        </w:rPr>
        <w:t>), and the Members, and is made effective as of the date first written above (the “</w:t>
      </w:r>
      <w:r>
        <w:rPr>
          <w:rFonts w:ascii="Times New Roman" w:hAnsi="Times New Roman"/>
          <w:b/>
          <w:color w:val="000000"/>
          <w:sz w:val="24"/>
        </w:rPr>
        <w:t>Effective Time</w:t>
      </w:r>
      <w:r>
        <w:rPr>
          <w:rFonts w:ascii="Times New Roman" w:hAnsi="Times New Roman"/>
          <w:color w:val="000000"/>
          <w:sz w:val="20"/>
        </w:rPr>
        <w:t>”</w:t>
      </w:r>
      <w:r>
        <w:rPr>
          <w:rFonts w:ascii="Times New Roman" w:hAnsi="Times New Roman"/>
          <w:color w:val="000000"/>
          <w:sz w:val="24"/>
        </w:rPr>
        <w:t xml:space="preserve">). Capitalized terms used herein without definition shall have the meanings assigned to such terms in </w:t>
      </w:r>
      <w:r>
        <w:rPr>
          <w:rFonts w:ascii="Times New Roman" w:hAnsi="Times New Roman"/>
          <w:color w:val="000000"/>
          <w:sz w:val="24"/>
          <w:u w:val="single"/>
        </w:rPr>
        <w:t>Article I</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and certain of the Members entered into the Fifth Amended and Restated Limited Liability Company Agreement of the Company, dated as of August 3, 2021 (as amended, the “</w:t>
      </w:r>
      <w:r>
        <w:rPr>
          <w:rFonts w:ascii="Times New Roman" w:hAnsi="Times New Roman"/>
          <w:b/>
          <w:color w:val="000000"/>
          <w:sz w:val="24"/>
        </w:rPr>
        <w:t>Prior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in connection with the governance changes being made at PubCo pursuant to that certain Securities Purchase Agreement, dated as of October 16, 2025, by and among PubCo and the purchasers signatory thereto, the Managing Member and the Continuing Member Representative now desire to amend and restate the Prior Agreement in its entirety as set forth herein effective as of the Effective Time, at which time the Prior Agreement will be superseded entirely by this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AGREEMENT</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covenants contained herein and other good and valuable consideration, the receipt and sufficiency of which are hereby acknowledged, the parties hereto, intending to be legally bound, hereby agree to amend and restate the Prior Agreement to read in its entirety as follows:</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I</w:t>
      </w:r>
      <w:r>
        <w:rPr>
          <w:rFonts w:ascii="Times New Roman" w:hAnsi="Times New Roman"/>
          <w:b/>
          <w:color w:val="000000"/>
          <w:sz w:val="24"/>
        </w:rPr>
        <w:br/>
        <w:b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following definitions shall be applied to the terms used in this Agreement for all purposes, unless otherwise clearly indicated to the contrary.</w:t>
      </w:r>
    </w:p>
    <w:p>
      <w:pPr>
        <w:pStyle w:val="TextBody"/>
        <w:bidi w:val="0"/>
        <w:spacing w:before="0" w:after="240"/>
        <w:jc w:val="both"/>
        <w:rPr/>
      </w:pPr>
      <w:r>
        <w:rPr>
          <w:color w:val="000000"/>
        </w:rPr>
        <w:t>“</w:t>
      </w:r>
      <w:r>
        <w:rPr>
          <w:rFonts w:ascii="Times New Roman" w:hAnsi="Times New Roman"/>
          <w:b/>
          <w:color w:val="000000"/>
          <w:sz w:val="24"/>
        </w:rPr>
        <w:t>Additional Member</w:t>
      </w:r>
      <w:r>
        <w:rPr>
          <w:rFonts w:ascii="Times New Roman" w:hAnsi="Times New Roman"/>
          <w:color w:val="000000"/>
          <w:sz w:val="20"/>
        </w:rPr>
        <w:t xml:space="preserve">” </w:t>
      </w:r>
      <w:r>
        <w:rPr>
          <w:rFonts w:ascii="Times New Roman" w:hAnsi="Times New Roman"/>
          <w:color w:val="000000"/>
          <w:sz w:val="24"/>
        </w:rPr>
        <w:t xml:space="preserve">means a Person admitted to the Company as a Member pursuant to </w:t>
      </w:r>
      <w:r>
        <w:rPr>
          <w:rFonts w:ascii="Times New Roman" w:hAnsi="Times New Roman"/>
          <w:color w:val="000000"/>
          <w:sz w:val="24"/>
          <w:u w:val="single"/>
        </w:rPr>
        <w:t>Section 10.2</w:t>
      </w:r>
      <w:r>
        <w:rPr>
          <w:rFonts w:ascii="Times New Roman" w:hAnsi="Times New Roman"/>
          <w:color w:val="000000"/>
          <w:sz w:val="24"/>
        </w:rPr>
        <w:t>.</w:t>
      </w:r>
    </w:p>
    <w:p>
      <w:pPr>
        <w:pStyle w:val="TextBody"/>
        <w:bidi w:val="0"/>
        <w:spacing w:before="0" w:after="240"/>
        <w:jc w:val="both"/>
        <w:rPr/>
      </w:pPr>
      <w:bookmarkStart w:id="57" w:name="docxtextref21"/>
      <w:bookmarkEnd w:id="57"/>
      <w:r>
        <w:rPr>
          <w:color w:val="000000"/>
        </w:rPr>
        <w:t>“</w:t>
      </w:r>
      <w:r>
        <w:rPr>
          <w:rFonts w:ascii="Times New Roman" w:hAnsi="Times New Roman"/>
          <w:b/>
          <w:color w:val="000000"/>
          <w:sz w:val="24"/>
        </w:rPr>
        <w:t>Adjusted Capital Account Balance”</w:t>
      </w:r>
      <w:r>
        <w:rPr>
          <w:rFonts w:ascii="Times New Roman" w:hAnsi="Times New Roman"/>
          <w:color w:val="000000"/>
          <w:sz w:val="20"/>
        </w:rPr>
        <w:t xml:space="preserve"> </w:t>
      </w:r>
      <w:r>
        <w:rPr>
          <w:rFonts w:ascii="Times New Roman" w:hAnsi="Times New Roman"/>
          <w:color w:val="000000"/>
          <w:sz w:val="24"/>
        </w:rPr>
        <w:t>means, with respect to each Member, the balance in such Member’s Capital Account adjusted (i)</w:t>
      </w:r>
      <w:r>
        <w:rPr>
          <w:rFonts w:ascii="Times New Roman" w:hAnsi="Times New Roman"/>
          <w:color w:val="000000"/>
          <w:sz w:val="20"/>
        </w:rPr>
        <w:t xml:space="preserve"> </w:t>
      </w:r>
      <w:r>
        <w:rPr>
          <w:rFonts w:ascii="Times New Roman" w:hAnsi="Times New Roman"/>
          <w:color w:val="000000"/>
          <w:sz w:val="24"/>
        </w:rPr>
        <w:t xml:space="preserve">by taking into account the adjustments, allocations and distributions described in Treasury Regulations Sections </w:t>
      </w:r>
      <w:bookmarkStart w:id="58" w:name="docxtextref17"/>
      <w:bookmarkEnd w:id="58"/>
      <w:r>
        <w:rPr>
          <w:rFonts w:ascii="Times New Roman" w:hAnsi="Times New Roman"/>
          <w:color w:val="000000"/>
          <w:sz w:val="24"/>
        </w:rPr>
        <w:t xml:space="preserve">1.704-1(b)(2)(ii)(d)(4), </w:t>
      </w:r>
      <w:bookmarkStart w:id="59" w:name="docxtextref20"/>
      <w:bookmarkEnd w:id="59"/>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 xml:space="preserve">and (6); and (ii) by adding to such balance such Member’s share of Company Minimum Gain and Member Nonrecourse Debt Minimum Gain, determined pursuant to Treasury Regulations Sections </w:t>
      </w:r>
      <w:bookmarkStart w:id="60" w:name="docxtextref18"/>
      <w:bookmarkEnd w:id="60"/>
      <w:r>
        <w:rPr>
          <w:rFonts w:ascii="Times New Roman" w:hAnsi="Times New Roman"/>
          <w:color w:val="000000"/>
          <w:sz w:val="24"/>
        </w:rPr>
        <w:t xml:space="preserve">1.704-2(g) and </w:t>
      </w:r>
      <w:bookmarkStart w:id="61" w:name="docxtextref22"/>
      <w:bookmarkEnd w:id="61"/>
      <w:r>
        <w:rPr>
          <w:rFonts w:ascii="Times New Roman" w:hAnsi="Times New Roman"/>
          <w:color w:val="000000"/>
          <w:sz w:val="24"/>
        </w:rPr>
        <w:t>1.704-2(i)(5), any amounts such Member is obligated to restore pursuant to any provision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bookmarkStart w:id="62" w:name="docxtextref19"/>
      <w:bookmarkEnd w:id="62"/>
      <w:r>
        <w:rPr>
          <w:rFonts w:ascii="Times New Roman" w:hAnsi="Times New Roman"/>
          <w:color w:val="000000"/>
          <w:sz w:val="24"/>
        </w:rPr>
        <w:t>of this Agreement or by applicable law. The foregoing definition of Adjusted Capital Account Balance is intended to comply with the provisions of Treasury Regulations Section 1.704-1(b)(2)(ii)(d) and shall be interpreted consistently therewith.</w:t>
      </w:r>
    </w:p>
    <w:p>
      <w:pPr>
        <w:pStyle w:val="TextBody"/>
        <w:bidi w:val="0"/>
        <w:spacing w:before="0" w:after="240"/>
        <w:jc w:val="both"/>
        <w:rPr/>
      </w:pPr>
      <w:r>
        <w:rPr>
          <w:color w:val="000000"/>
        </w:rPr>
        <w:t>“</w:t>
      </w:r>
      <w:r>
        <w:rPr>
          <w:rFonts w:ascii="Times New Roman" w:hAnsi="Times New Roman"/>
          <w:b/>
          <w:color w:val="000000"/>
          <w:sz w:val="24"/>
        </w:rPr>
        <w:t>Admission Date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9.4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color w:val="000000"/>
          <w:sz w:val="24"/>
        </w:rPr>
        <w:t>of any Person means any Person that directly or indirectly controls, is controlled by, or is under common control with the Person in question.</w:t>
      </w:r>
    </w:p>
    <w:p>
      <w:pPr>
        <w:pStyle w:val="TextBody"/>
        <w:bidi w:val="0"/>
        <w:spacing w:before="0" w:after="240"/>
        <w:jc w:val="both"/>
        <w:rPr/>
      </w:pPr>
      <w:r>
        <w:rPr>
          <w:color w:val="000000"/>
        </w:rPr>
        <w:t>“</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color w:val="000000"/>
          <w:sz w:val="24"/>
        </w:rPr>
        <w:t>means this Sixth Amended and Restated Limited Liability Company Agreement of Rani Therapeutics, LLC.</w:t>
      </w:r>
    </w:p>
    <w:p>
      <w:pPr>
        <w:pStyle w:val="TextBody"/>
        <w:bidi w:val="0"/>
        <w:spacing w:before="0" w:after="240"/>
        <w:jc w:val="both"/>
        <w:rPr/>
      </w:pPr>
      <w:r>
        <w:rPr>
          <w:color w:val="000000"/>
        </w:rPr>
        <w:t>“</w:t>
      </w:r>
      <w:r>
        <w:rPr>
          <w:rFonts w:ascii="Times New Roman" w:hAnsi="Times New Roman"/>
          <w:b/>
          <w:color w:val="000000"/>
          <w:sz w:val="24"/>
        </w:rPr>
        <w:t>Appraiser FMV</w:t>
      </w:r>
      <w:r>
        <w:rPr>
          <w:rFonts w:ascii="Times New Roman" w:hAnsi="Times New Roman"/>
          <w:color w:val="000000"/>
          <w:sz w:val="20"/>
        </w:rPr>
        <w:t xml:space="preserve">” </w:t>
      </w:r>
      <w:r>
        <w:rPr>
          <w:rFonts w:ascii="Times New Roman" w:hAnsi="Times New Roman"/>
          <w:color w:val="000000"/>
          <w:sz w:val="24"/>
        </w:rPr>
        <w:t>means the fair market value of any Equity Security as determined by an independent appraiser mutually agreed upon by the Managing Member and the relevant Exchanging Member, whose determination shall be final and binding for those purposes for which Appraiser FMV is used in this Agreement. Appraiser FMV shall be the fair market value determined without regard to any discounts for minority interest, illiquidity or other discounts. The cost of any independent appraisal in connection with the determination of Appraiser FMV in accordance with this Agreement shall be borne by the Company.</w:t>
      </w:r>
    </w:p>
    <w:p>
      <w:pPr>
        <w:pStyle w:val="TextBody"/>
        <w:bidi w:val="0"/>
        <w:spacing w:before="0" w:after="240"/>
        <w:jc w:val="both"/>
        <w:rPr/>
      </w:pPr>
      <w:r>
        <w:rPr>
          <w:color w:val="000000"/>
        </w:rPr>
        <w:t>“</w:t>
      </w:r>
      <w:r>
        <w:rPr>
          <w:rFonts w:ascii="Times New Roman" w:hAnsi="Times New Roman"/>
          <w:b/>
          <w:color w:val="000000"/>
          <w:sz w:val="24"/>
        </w:rPr>
        <w:t>Articles</w:t>
      </w:r>
      <w:r>
        <w:rPr>
          <w:rFonts w:ascii="Times New Roman" w:hAnsi="Times New Roman"/>
          <w:color w:val="000000"/>
          <w:sz w:val="20"/>
        </w:rPr>
        <w:t xml:space="preserve">” </w:t>
      </w:r>
      <w:r>
        <w:rPr>
          <w:rFonts w:ascii="Times New Roman" w:hAnsi="Times New Roman"/>
          <w:color w:val="000000"/>
          <w:sz w:val="24"/>
        </w:rPr>
        <w:t>means the Company’s Articles of Organization as filed with the Secretary of State of the State of California, as amended or amended and restated from time to time.</w:t>
      </w:r>
    </w:p>
    <w:p>
      <w:pPr>
        <w:pStyle w:val="TextBody"/>
        <w:bidi w:val="0"/>
        <w:spacing w:before="0" w:after="240"/>
        <w:jc w:val="both"/>
        <w:rPr/>
      </w:pPr>
      <w:r>
        <w:rPr>
          <w:color w:val="000000"/>
        </w:rPr>
        <w:t>“</w:t>
      </w:r>
      <w:r>
        <w:rPr>
          <w:rFonts w:ascii="Times New Roman" w:hAnsi="Times New Roman"/>
          <w:b/>
          <w:color w:val="000000"/>
          <w:sz w:val="24"/>
        </w:rPr>
        <w:t>Assignee</w:t>
      </w:r>
      <w:r>
        <w:rPr>
          <w:rFonts w:ascii="Times New Roman" w:hAnsi="Times New Roman"/>
          <w:color w:val="000000"/>
          <w:sz w:val="20"/>
        </w:rPr>
        <w:t xml:space="preserve">” </w:t>
      </w:r>
      <w:r>
        <w:rPr>
          <w:rFonts w:ascii="Times New Roman" w:hAnsi="Times New Roman"/>
          <w:color w:val="000000"/>
          <w:sz w:val="24"/>
        </w:rPr>
        <w:t xml:space="preserve">means a Person to whom any Units have been Transferred in accordance with the terms of this Agreement but who has not become a Member pursuant to </w:t>
      </w:r>
      <w:r>
        <w:rPr>
          <w:rFonts w:ascii="Times New Roman" w:hAnsi="Times New Roman"/>
          <w:color w:val="000000"/>
          <w:sz w:val="24"/>
          <w:u w:val="single"/>
        </w:rPr>
        <w:t>Article IX</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Assumed Tax Rate</w:t>
      </w:r>
      <w:r>
        <w:rPr>
          <w:rFonts w:ascii="Times New Roman" w:hAnsi="Times New Roman"/>
          <w:color w:val="000000"/>
          <w:sz w:val="20"/>
        </w:rPr>
        <w:t xml:space="preserve">” </w:t>
      </w:r>
      <w:r>
        <w:rPr>
          <w:rFonts w:ascii="Times New Roman" w:hAnsi="Times New Roman"/>
          <w:color w:val="000000"/>
          <w:sz w:val="24"/>
        </w:rPr>
        <w:t>means the highest effective marginal combined U.S. federal, state and local income tax rate (including the tax imposed under Section 1411 of the Code on net investment income) for a Taxable Year prescribed for an individual or corporate resident in California or New York, New York (whichever results in the application of the highest state and local tax rate for a given type of income), and taking into account (a) the limitations imposed on the deductibility of expenses and other items, (b) the character (e.g., long-term or short-term capital gain or ordinary or exempt income) of the applicable income, and (c) the deductibility of state and local income taxes, to the extent applicable (and with any dollar limitation on state and local income tax deductibility assumed to be exceeded), but not taking into account any deduction under Section 199A of the Code or any similar state or local law, as determined in good faith by the Managing Member. For the avoidance of doubt, the Assumed Tax Rate shall be the same for all Members.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Base Rate</w:t>
      </w:r>
      <w:r>
        <w:rPr>
          <w:rFonts w:ascii="Times New Roman" w:hAnsi="Times New Roman"/>
          <w:color w:val="000000"/>
          <w:sz w:val="20"/>
        </w:rPr>
        <w:t xml:space="preserve">” </w:t>
      </w:r>
      <w:r>
        <w:rPr>
          <w:rFonts w:ascii="Times New Roman" w:hAnsi="Times New Roman"/>
          <w:color w:val="000000"/>
          <w:sz w:val="24"/>
        </w:rPr>
        <w:t>means, on any date, a variable rate per annum equal to the rate of interest most recently published by The Wall Street Journal as the “prime rate” at large U.S. money center banks.</w:t>
      </w:r>
    </w:p>
    <w:p>
      <w:pPr>
        <w:pStyle w:val="TextBody"/>
        <w:bidi w:val="0"/>
        <w:spacing w:before="0" w:after="240"/>
        <w:jc w:val="both"/>
        <w:rPr/>
      </w:pPr>
      <w:r>
        <w:rPr>
          <w:color w:val="000000"/>
        </w:rPr>
        <w:t>“</w:t>
      </w:r>
      <w:r>
        <w:rPr>
          <w:rFonts w:ascii="Times New Roman" w:hAnsi="Times New Roman"/>
          <w:b/>
          <w:color w:val="000000"/>
          <w:sz w:val="24"/>
        </w:rPr>
        <w:t>Board</w:t>
      </w:r>
      <w:r>
        <w:rPr>
          <w:rFonts w:ascii="Times New Roman" w:hAnsi="Times New Roman"/>
          <w:color w:val="000000"/>
          <w:sz w:val="20"/>
        </w:rPr>
        <w:t xml:space="preserve">” </w:t>
      </w:r>
      <w:r>
        <w:rPr>
          <w:rFonts w:ascii="Times New Roman" w:hAnsi="Times New Roman"/>
          <w:color w:val="000000"/>
          <w:sz w:val="24"/>
        </w:rPr>
        <w:t>means the board of directors of PubCo, as constituted at any given time.</w:t>
      </w:r>
    </w:p>
    <w:p>
      <w:pPr>
        <w:pStyle w:val="TextBody"/>
        <w:bidi w:val="0"/>
        <w:spacing w:before="0" w:after="240"/>
        <w:jc w:val="both"/>
        <w:rPr/>
      </w:pPr>
      <w:bookmarkStart w:id="63" w:name="docxtextref28"/>
      <w:bookmarkEnd w:id="63"/>
      <w:r>
        <w:rPr>
          <w:color w:val="000000"/>
        </w:rPr>
        <w:t>“</w:t>
      </w:r>
      <w:r>
        <w:rPr>
          <w:rFonts w:ascii="Times New Roman" w:hAnsi="Times New Roman"/>
          <w:b/>
          <w:color w:val="000000"/>
          <w:sz w:val="24"/>
        </w:rPr>
        <w:t>Book Value</w:t>
      </w:r>
      <w:r>
        <w:rPr>
          <w:rFonts w:ascii="Times New Roman" w:hAnsi="Times New Roman"/>
          <w:color w:val="000000"/>
          <w:sz w:val="20"/>
        </w:rPr>
        <w:t xml:space="preserve">” </w:t>
      </w:r>
      <w:r>
        <w:rPr>
          <w:rFonts w:ascii="Times New Roman" w:hAnsi="Times New Roman"/>
          <w:color w:val="000000"/>
          <w:sz w:val="24"/>
        </w:rPr>
        <w:t>means with respect to any asset, the asset’s adjusted basis for U.S. federal income tax purposes, except that (i) the initial Book Value of any asset contributed by a Member to the Company shall be the gross Fair Market Value of such asset; (ii) the Book Value of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property of the Company distributed to any Member shall be adjusted to equal the gross Fair Market Value of such property on the date of distribution; and (iii) the Book Values of assets of the Company shall be increased (or decreased) to the extent the Managing Member determines reasonably and in good faith that such adjustment is necessary or appropriate to comply with the provisions of Treasury Regulations Section 1.704-1(b)(2)(iv).</w:t>
      </w:r>
    </w:p>
    <w:p>
      <w:pPr>
        <w:pStyle w:val="TextBody"/>
        <w:bidi w:val="0"/>
        <w:spacing w:before="0" w:after="240"/>
        <w:jc w:val="both"/>
        <w:rPr/>
      </w:pPr>
      <w:r>
        <w:rPr>
          <w:color w:val="000000"/>
        </w:rPr>
        <w:t>“</w:t>
      </w:r>
      <w:r>
        <w:rPr>
          <w:rFonts w:ascii="Times New Roman" w:hAnsi="Times New Roman"/>
          <w:b/>
          <w:color w:val="000000"/>
          <w:sz w:val="24"/>
        </w:rPr>
        <w:t>Business Day</w:t>
      </w:r>
      <w:r>
        <w:rPr>
          <w:rFonts w:ascii="Times New Roman" w:hAnsi="Times New Roman"/>
          <w:color w:val="000000"/>
          <w:sz w:val="20"/>
        </w:rPr>
        <w:t xml:space="preserve">” </w:t>
      </w:r>
      <w:r>
        <w:rPr>
          <w:rFonts w:ascii="Times New Roman" w:hAnsi="Times New Roman"/>
          <w:color w:val="000000"/>
          <w:sz w:val="24"/>
        </w:rPr>
        <w:t>means any day, other than a Saturday, Sunday or any other day on which commercial banks located in the State of New York are authorized or obligated by law or executive order to close.</w:t>
      </w:r>
    </w:p>
    <w:p>
      <w:pPr>
        <w:pStyle w:val="TextBody"/>
        <w:bidi w:val="0"/>
        <w:spacing w:before="0" w:after="240"/>
        <w:jc w:val="both"/>
        <w:rPr/>
      </w:pPr>
      <w:r>
        <w:rPr>
          <w:color w:val="000000"/>
        </w:rPr>
        <w:t>“</w:t>
      </w:r>
      <w:r>
        <w:rPr>
          <w:rFonts w:ascii="Times New Roman" w:hAnsi="Times New Roman"/>
          <w:b/>
          <w:color w:val="000000"/>
          <w:sz w:val="24"/>
        </w:rPr>
        <w:t>California Act</w:t>
      </w:r>
      <w:r>
        <w:rPr>
          <w:rFonts w:ascii="Times New Roman" w:hAnsi="Times New Roman"/>
          <w:color w:val="000000"/>
          <w:sz w:val="20"/>
        </w:rPr>
        <w:t xml:space="preserve">” </w:t>
      </w:r>
      <w:r>
        <w:rPr>
          <w:rFonts w:ascii="Times New Roman" w:hAnsi="Times New Roman"/>
          <w:color w:val="000000"/>
          <w:sz w:val="24"/>
        </w:rPr>
        <w:t>means the California Revised Uniform Limited Liability Company Act, Title 2.6, California Corporations Code, Section 17701.01 et seq., as it may be amended from time to time, and any successor to the California Act.</w:t>
      </w:r>
    </w:p>
    <w:p>
      <w:pPr>
        <w:pStyle w:val="TextBody"/>
        <w:bidi w:val="0"/>
        <w:spacing w:before="0" w:after="240"/>
        <w:jc w:val="both"/>
        <w:rPr/>
      </w:pPr>
      <w:r>
        <w:rPr>
          <w:color w:val="000000"/>
        </w:rPr>
        <w:t>“</w:t>
      </w:r>
      <w:r>
        <w:rPr>
          <w:rFonts w:ascii="Times New Roman" w:hAnsi="Times New Roman"/>
          <w:b/>
          <w:color w:val="000000"/>
          <w:sz w:val="24"/>
        </w:rPr>
        <w:t>Capital Account</w:t>
      </w:r>
      <w:r>
        <w:rPr>
          <w:rFonts w:ascii="Times New Roman" w:hAnsi="Times New Roman"/>
          <w:color w:val="000000"/>
          <w:sz w:val="20"/>
        </w:rPr>
        <w:t xml:space="preserve">” </w:t>
      </w:r>
      <w:r>
        <w:rPr>
          <w:rFonts w:ascii="Times New Roman" w:hAnsi="Times New Roman"/>
          <w:color w:val="000000"/>
          <w:sz w:val="24"/>
        </w:rPr>
        <w:t xml:space="preserve">means the capital account maintained for a Member pursuant to </w:t>
      </w:r>
      <w:r>
        <w:rPr>
          <w:rFonts w:ascii="Times New Roman" w:hAnsi="Times New Roman"/>
          <w:color w:val="000000"/>
          <w:sz w:val="24"/>
          <w:u w:val="single"/>
        </w:rPr>
        <w:t>Section 3.3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Capital Contribution</w:t>
      </w:r>
      <w:r>
        <w:rPr>
          <w:rFonts w:ascii="Times New Roman" w:hAnsi="Times New Roman"/>
          <w:color w:val="000000"/>
          <w:sz w:val="20"/>
        </w:rPr>
        <w:t xml:space="preserve">” </w:t>
      </w:r>
      <w:r>
        <w:rPr>
          <w:rFonts w:ascii="Times New Roman" w:hAnsi="Times New Roman"/>
          <w:color w:val="000000"/>
          <w:sz w:val="24"/>
        </w:rPr>
        <w:t xml:space="preserve">means any cash, cash equivalents, promissory obligations or the Fair Market Value of other property which a Member contributes to the Company pursuant to </w:t>
      </w:r>
      <w:r>
        <w:rPr>
          <w:rFonts w:ascii="Times New Roman" w:hAnsi="Times New Roman"/>
          <w:color w:val="000000"/>
          <w:sz w:val="24"/>
          <w:u w:val="single"/>
        </w:rPr>
        <w:t>Section 3.1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Capital Stock</w:t>
      </w:r>
      <w:r>
        <w:rPr>
          <w:rFonts w:ascii="Times New Roman" w:hAnsi="Times New Roman"/>
          <w:color w:val="000000"/>
          <w:sz w:val="20"/>
        </w:rPr>
        <w:t xml:space="preserve">” </w:t>
      </w:r>
      <w:r>
        <w:rPr>
          <w:rFonts w:ascii="Times New Roman" w:hAnsi="Times New Roman"/>
          <w:color w:val="000000"/>
          <w:sz w:val="24"/>
        </w:rPr>
        <w:t>shall mean any and all shares, interests, participations or other equivalents (however designated) of capital stock of a corporation, any and all equivalent ownership interests in a Person (other than a corporation) including, without limitation, partnership or membership interests (including any components thereof such as capital accounts, priority returns or the like) in a limited partnership or limited liability company and any and all warrants, rights or options to purchase any of the foregoing.</w:t>
      </w:r>
    </w:p>
    <w:p>
      <w:pPr>
        <w:pStyle w:val="TextBody"/>
        <w:bidi w:val="0"/>
        <w:spacing w:before="0" w:after="240"/>
        <w:jc w:val="both"/>
        <w:rPr/>
      </w:pPr>
      <w:r>
        <w:rPr>
          <w:color w:val="000000"/>
        </w:rPr>
        <w:t>“</w:t>
      </w:r>
      <w:r>
        <w:rPr>
          <w:rFonts w:ascii="Times New Roman" w:hAnsi="Times New Roman"/>
          <w:b/>
          <w:color w:val="000000"/>
          <w:sz w:val="24"/>
        </w:rPr>
        <w:t>Cash Exchange Notice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12.1(b).</w:t>
      </w:r>
    </w:p>
    <w:p>
      <w:pPr>
        <w:pStyle w:val="TextBody"/>
        <w:bidi w:val="0"/>
        <w:spacing w:before="0" w:after="240"/>
        <w:jc w:val="both"/>
        <w:rPr/>
      </w:pPr>
      <w:r>
        <w:rPr>
          <w:color w:val="000000"/>
        </w:rPr>
        <w:t>“</w:t>
      </w:r>
      <w:r>
        <w:rPr>
          <w:rFonts w:ascii="Times New Roman" w:hAnsi="Times New Roman"/>
          <w:b/>
          <w:color w:val="000000"/>
          <w:sz w:val="24"/>
        </w:rPr>
        <w:t>Cash Exchange Payment</w:t>
      </w:r>
      <w:r>
        <w:rPr>
          <w:rFonts w:ascii="Times New Roman" w:hAnsi="Times New Roman"/>
          <w:color w:val="000000"/>
          <w:sz w:val="20"/>
        </w:rPr>
        <w:t xml:space="preserve">” </w:t>
      </w:r>
      <w:r>
        <w:rPr>
          <w:rFonts w:ascii="Times New Roman" w:hAnsi="Times New Roman"/>
          <w:color w:val="000000"/>
          <w:sz w:val="24"/>
        </w:rPr>
        <w:t>means with respect to a particular Exchange for which PubCo has elected to make a Cash Exchange Payment in accordance with</w:t>
      </w:r>
      <w:r>
        <w:rPr>
          <w:rFonts w:ascii="Times New Roman" w:hAnsi="Times New Roman"/>
          <w:color w:val="000000"/>
          <w:sz w:val="20"/>
          <w:u w:val="single"/>
        </w:rPr>
        <w:t xml:space="preserve"> </w:t>
      </w:r>
      <w:r>
        <w:rPr>
          <w:rFonts w:ascii="Times New Roman" w:hAnsi="Times New Roman"/>
          <w:color w:val="000000"/>
          <w:sz w:val="24"/>
          <w:u w:val="single"/>
        </w:rPr>
        <w:t>Section 12.1(b)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if the Class A Common Stock trades on a National Securities Exchange or automated or electronic quotation system, an amount of cash equal to the product of (x) the number of shares of Class A Common Stock that would have been received by the Exchanging Member in the Exchange for that portion of the Class A Common Units subject to the Exchange set forth in the Cash Exchange Notice if PubCo had paid the Stock Exchange Payment with respect to such number of Class A Common Units, and (y) the Class A 3-Day VWAP; or</w:t>
      </w:r>
    </w:p>
    <w:p>
      <w:pPr>
        <w:pStyle w:val="TextBody"/>
        <w:bidi w:val="0"/>
        <w:spacing w:before="0" w:after="240"/>
        <w:jc w:val="both"/>
        <w:rPr>
          <w:rFonts w:ascii="Times New Roman" w:hAnsi="Times New Roman"/>
          <w:sz w:val="20"/>
        </w:rPr>
      </w:pPr>
      <w:r>
        <w:rPr>
          <w:rFonts w:ascii="Times New Roman" w:hAnsi="Times New Roman"/>
          <w:color w:val="000000"/>
          <w:sz w:val="24"/>
        </w:rPr>
        <w:t>(ii) if the Class A Common Stock is not then traded on a National Securities Exchange or automated or electronic quotation system, as applicable, an amount of cash equal to the product of (x) the number of shares of Class A Common Stock that would have been received by the Exchanging Member in the Exchange for that portion of the Class A Common Units subject to the Exchange set forth in the Cash Exchange Notice if PubCo had paid the Stock Exchange Payment with respect to such number of Class A Common Units, for which PubCo has elected to make a Cash Exchange Payment and (y) the Appraiser FMV of one (1) share of Class A Common Stock that would be obtained in an arms-length transaction between an informed and willing buyer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informed and willing seller, neither of whom is under any compulsion to buy or sell, respectively, and without regard to the particular circumstances of the buyer or seller.</w:t>
      </w:r>
    </w:p>
    <w:p>
      <w:pPr>
        <w:pStyle w:val="TextBody"/>
        <w:bidi w:val="0"/>
        <w:spacing w:before="0" w:after="240"/>
        <w:jc w:val="both"/>
        <w:rPr/>
      </w:pPr>
      <w:r>
        <w:rPr>
          <w:color w:val="000000"/>
        </w:rPr>
        <w:t>“</w:t>
      </w:r>
      <w:r>
        <w:rPr>
          <w:rFonts w:ascii="Times New Roman" w:hAnsi="Times New Roman"/>
          <w:b/>
          <w:color w:val="000000"/>
          <w:sz w:val="24"/>
        </w:rPr>
        <w:t>Certificate Delivery</w:t>
      </w:r>
      <w:r>
        <w:rPr>
          <w:rFonts w:ascii="Times New Roman" w:hAnsi="Times New Roman"/>
          <w:color w:val="000000"/>
          <w:sz w:val="20"/>
        </w:rPr>
        <w:t xml:space="preserve">” </w:t>
      </w:r>
      <w:r>
        <w:rPr>
          <w:rFonts w:ascii="Times New Roman" w:hAnsi="Times New Roman"/>
          <w:color w:val="000000"/>
          <w:sz w:val="24"/>
        </w:rPr>
        <w:t>means, in the case of any shares of Paired Voting Stock to be transferred and surrendered by an Exchanging Member in connection with an Exchange which are represented by a certificate or certificates, the process by which the Exchanging Member shall also present and surrender such certificate or certificates representing such shares of Paired Voting Stock during normal business hours at the principal executive offices of PubCo, or if any agent for the registration or transfer of shares of Paired Voting Stock is then duly appointed and acting, at the office of such transfer agent, along with any instruments of transfer reasonably required by the Managing Member or such transfer agent, as applicable, duly executed by the Exchanging Member or the Exchanging Member’s duly authorized representative.</w:t>
      </w:r>
    </w:p>
    <w:p>
      <w:pPr>
        <w:pStyle w:val="TextBody"/>
        <w:bidi w:val="0"/>
        <w:spacing w:before="0" w:after="240"/>
        <w:jc w:val="both"/>
        <w:rPr/>
      </w:pPr>
      <w:r>
        <w:rPr>
          <w:color w:val="000000"/>
        </w:rPr>
        <w:t>“</w:t>
      </w:r>
      <w:r>
        <w:rPr>
          <w:rFonts w:ascii="Times New Roman" w:hAnsi="Times New Roman"/>
          <w:b/>
          <w:color w:val="000000"/>
          <w:sz w:val="24"/>
        </w:rPr>
        <w:t>Class A 3-Day VWAP</w:t>
      </w:r>
      <w:r>
        <w:rPr>
          <w:rFonts w:ascii="Times New Roman" w:hAnsi="Times New Roman"/>
          <w:color w:val="000000"/>
          <w:sz w:val="20"/>
        </w:rPr>
        <w:t xml:space="preserve">” </w:t>
      </w:r>
      <w:r>
        <w:rPr>
          <w:rFonts w:ascii="Times New Roman" w:hAnsi="Times New Roman"/>
          <w:color w:val="000000"/>
          <w:sz w:val="24"/>
        </w:rPr>
        <w:t>means, on any relevant measurement date, the VWAP for five (5) consecutive Trading Days ending on such date.</w:t>
      </w:r>
    </w:p>
    <w:p>
      <w:pPr>
        <w:pStyle w:val="TextBody"/>
        <w:bidi w:val="0"/>
        <w:spacing w:before="0" w:after="240"/>
        <w:jc w:val="both"/>
        <w:rPr/>
      </w:pPr>
      <w:r>
        <w:rPr>
          <w:color w:val="000000"/>
        </w:rPr>
        <w:t>“</w:t>
      </w:r>
      <w:r>
        <w:rPr>
          <w:rFonts w:ascii="Times New Roman" w:hAnsi="Times New Roman"/>
          <w:b/>
          <w:color w:val="000000"/>
          <w:sz w:val="24"/>
        </w:rPr>
        <w:t>Class A Common Stock</w:t>
      </w:r>
      <w:r>
        <w:rPr>
          <w:rFonts w:ascii="Times New Roman" w:hAnsi="Times New Roman"/>
          <w:color w:val="000000"/>
          <w:sz w:val="20"/>
        </w:rPr>
        <w:t xml:space="preserve">” </w:t>
      </w:r>
      <w:r>
        <w:rPr>
          <w:rFonts w:ascii="Times New Roman" w:hAnsi="Times New Roman"/>
          <w:color w:val="000000"/>
          <w:sz w:val="24"/>
        </w:rPr>
        <w:t>means the Class A common stock, par value $0.0001 per share, of PubCo.</w:t>
      </w:r>
    </w:p>
    <w:p>
      <w:pPr>
        <w:pStyle w:val="TextBody"/>
        <w:bidi w:val="0"/>
        <w:spacing w:before="0" w:after="240"/>
        <w:jc w:val="both"/>
        <w:rPr/>
      </w:pPr>
      <w:r>
        <w:rPr>
          <w:color w:val="000000"/>
        </w:rPr>
        <w:t>“</w:t>
      </w:r>
      <w:r>
        <w:rPr>
          <w:rFonts w:ascii="Times New Roman" w:hAnsi="Times New Roman"/>
          <w:b/>
          <w:color w:val="000000"/>
          <w:sz w:val="24"/>
        </w:rPr>
        <w:t>Class A Common Units</w:t>
      </w:r>
      <w:r>
        <w:rPr>
          <w:rFonts w:ascii="Times New Roman" w:hAnsi="Times New Roman"/>
          <w:color w:val="000000"/>
          <w:sz w:val="20"/>
        </w:rPr>
        <w:t xml:space="preserve">” </w:t>
      </w:r>
      <w:r>
        <w:rPr>
          <w:rFonts w:ascii="Times New Roman" w:hAnsi="Times New Roman"/>
          <w:color w:val="000000"/>
          <w:sz w:val="24"/>
        </w:rPr>
        <w:t xml:space="preserve">means the limited liability company interests described in </w:t>
      </w:r>
      <w:r>
        <w:rPr>
          <w:rFonts w:ascii="Times New Roman" w:hAnsi="Times New Roman"/>
          <w:color w:val="000000"/>
          <w:sz w:val="24"/>
          <w:u w:val="single"/>
        </w:rPr>
        <w:t>Section 3.1(a)(i)</w:t>
      </w:r>
      <w:r>
        <w:rPr>
          <w:rFonts w:ascii="Times New Roman" w:hAnsi="Times New Roman"/>
          <w:color w:val="000000"/>
          <w:sz w:val="20"/>
        </w:rPr>
        <w:t xml:space="preserve"> </w:t>
      </w:r>
      <w:r>
        <w:rPr>
          <w:rFonts w:ascii="Times New Roman" w:hAnsi="Times New Roman"/>
          <w:color w:val="000000"/>
          <w:sz w:val="24"/>
        </w:rPr>
        <w:t>and having the rights, powers and preferences specified herein.</w:t>
      </w:r>
    </w:p>
    <w:p>
      <w:pPr>
        <w:pStyle w:val="TextBody"/>
        <w:bidi w:val="0"/>
        <w:spacing w:before="0" w:after="240"/>
        <w:jc w:val="both"/>
        <w:rPr/>
      </w:pPr>
      <w:r>
        <w:rPr>
          <w:color w:val="000000"/>
        </w:rPr>
        <w:t>“</w:t>
      </w:r>
      <w:r>
        <w:rPr>
          <w:rFonts w:ascii="Times New Roman" w:hAnsi="Times New Roman"/>
          <w:b/>
          <w:color w:val="000000"/>
          <w:sz w:val="24"/>
        </w:rPr>
        <w:t>Class B Common Stock</w:t>
      </w:r>
      <w:r>
        <w:rPr>
          <w:rFonts w:ascii="Times New Roman" w:hAnsi="Times New Roman"/>
          <w:color w:val="000000"/>
          <w:sz w:val="20"/>
        </w:rPr>
        <w:t xml:space="preserve">” </w:t>
      </w:r>
      <w:r>
        <w:rPr>
          <w:rFonts w:ascii="Times New Roman" w:hAnsi="Times New Roman"/>
          <w:color w:val="000000"/>
          <w:sz w:val="24"/>
        </w:rPr>
        <w:t>means the Class B common stock, par value $0.0001 per share, of PubCo.</w:t>
      </w:r>
    </w:p>
    <w:p>
      <w:pPr>
        <w:pStyle w:val="TextBody"/>
        <w:bidi w:val="0"/>
        <w:spacing w:before="0" w:after="240"/>
        <w:jc w:val="both"/>
        <w:rPr/>
      </w:pPr>
      <w:r>
        <w:rPr>
          <w:color w:val="000000"/>
        </w:rPr>
        <w:t>“</w:t>
      </w:r>
      <w:r>
        <w:rPr>
          <w:rFonts w:ascii="Times New Roman" w:hAnsi="Times New Roman"/>
          <w:b/>
          <w:color w:val="000000"/>
          <w:sz w:val="24"/>
        </w:rPr>
        <w:t>Class C Common Stock</w:t>
      </w:r>
      <w:r>
        <w:rPr>
          <w:rFonts w:ascii="Times New Roman" w:hAnsi="Times New Roman"/>
          <w:color w:val="000000"/>
          <w:sz w:val="20"/>
        </w:rPr>
        <w:t xml:space="preserve">” </w:t>
      </w:r>
      <w:r>
        <w:rPr>
          <w:rFonts w:ascii="Times New Roman" w:hAnsi="Times New Roman"/>
          <w:color w:val="000000"/>
          <w:sz w:val="24"/>
        </w:rPr>
        <w:t>means the Class C common stock, par value $0.0001 per share, of PubCo.</w:t>
      </w:r>
    </w:p>
    <w:p>
      <w:pPr>
        <w:pStyle w:val="TextBody"/>
        <w:bidi w:val="0"/>
        <w:spacing w:before="0" w:after="240"/>
        <w:jc w:val="both"/>
        <w:rPr/>
      </w:pPr>
      <w:r>
        <w:rPr>
          <w:color w:val="000000"/>
        </w:rPr>
        <w:t>“</w:t>
      </w:r>
      <w:r>
        <w:rPr>
          <w:rFonts w:ascii="Times New Roman" w:hAnsi="Times New Roman"/>
          <w:b/>
          <w:color w:val="000000"/>
          <w:sz w:val="24"/>
        </w:rPr>
        <w:t xml:space="preserve">Class B Voting Units” </w:t>
      </w:r>
      <w:r>
        <w:rPr>
          <w:rFonts w:ascii="Times New Roman" w:hAnsi="Times New Roman"/>
          <w:color w:val="000000"/>
          <w:sz w:val="24"/>
        </w:rPr>
        <w:t xml:space="preserve">means the limited liability company interests described in </w:t>
      </w:r>
      <w:r>
        <w:rPr>
          <w:rFonts w:ascii="Times New Roman" w:hAnsi="Times New Roman"/>
          <w:color w:val="000000"/>
          <w:sz w:val="24"/>
          <w:u w:val="single"/>
        </w:rPr>
        <w:t>Section 3.1(a)(ii)</w:t>
      </w:r>
      <w:r>
        <w:rPr>
          <w:rFonts w:ascii="Times New Roman" w:hAnsi="Times New Roman"/>
          <w:color w:val="000000"/>
          <w:sz w:val="20"/>
        </w:rPr>
        <w:t xml:space="preserve"> </w:t>
      </w:r>
      <w:r>
        <w:rPr>
          <w:rFonts w:ascii="Times New Roman" w:hAnsi="Times New Roman"/>
          <w:color w:val="000000"/>
          <w:sz w:val="24"/>
        </w:rPr>
        <w:t>and having the rights, powers and preferences specified herein.</w:t>
      </w:r>
    </w:p>
    <w:p>
      <w:pPr>
        <w:pStyle w:val="TextBody"/>
        <w:bidi w:val="0"/>
        <w:spacing w:before="0" w:after="240"/>
        <w:jc w:val="both"/>
        <w:rPr/>
      </w:pPr>
      <w:r>
        <w:rPr>
          <w:color w:val="000000"/>
        </w:rPr>
        <w:t>“</w:t>
      </w:r>
      <w:r>
        <w:rPr>
          <w:rFonts w:ascii="Times New Roman" w:hAnsi="Times New Roman"/>
          <w:b/>
          <w:color w:val="000000"/>
          <w:sz w:val="24"/>
        </w:rPr>
        <w:t>Code</w:t>
      </w:r>
      <w:r>
        <w:rPr>
          <w:rFonts w:ascii="Times New Roman" w:hAnsi="Times New Roman"/>
          <w:color w:val="000000"/>
          <w:sz w:val="20"/>
        </w:rPr>
        <w:t xml:space="preserve">” </w:t>
      </w:r>
      <w:r>
        <w:rPr>
          <w:rFonts w:ascii="Times New Roman" w:hAnsi="Times New Roman"/>
          <w:color w:val="000000"/>
          <w:sz w:val="24"/>
        </w:rPr>
        <w:t>means the United States Internal Revenue Code of 1986, as amended.</w:t>
      </w:r>
    </w:p>
    <w:p>
      <w:pPr>
        <w:pStyle w:val="TextBody"/>
        <w:bidi w:val="0"/>
        <w:spacing w:before="0" w:after="240"/>
        <w:jc w:val="both"/>
        <w:rPr/>
      </w:pPr>
      <w:r>
        <w:rPr>
          <w:color w:val="000000"/>
        </w:rPr>
        <w:t>“</w:t>
      </w:r>
      <w:r>
        <w:rPr>
          <w:rFonts w:ascii="Times New Roman" w:hAnsi="Times New Roman"/>
          <w:b/>
          <w:color w:val="000000"/>
          <w:sz w:val="24"/>
        </w:rPr>
        <w:t>Common Units</w:t>
      </w:r>
      <w:r>
        <w:rPr>
          <w:rFonts w:ascii="Times New Roman" w:hAnsi="Times New Roman"/>
          <w:color w:val="000000"/>
          <w:sz w:val="20"/>
        </w:rPr>
        <w:t xml:space="preserve">” </w:t>
      </w:r>
      <w:r>
        <w:rPr>
          <w:rFonts w:ascii="Times New Roman" w:hAnsi="Times New Roman"/>
          <w:color w:val="000000"/>
          <w:sz w:val="24"/>
        </w:rPr>
        <w:t>shall mean the issued and outstanding Common Units, as defined in the Prior Agreement, as of immediately prior to the IPO Effective Time.</w:t>
      </w:r>
    </w:p>
    <w:p>
      <w:pPr>
        <w:pStyle w:val="TextBody"/>
        <w:bidi w:val="0"/>
        <w:spacing w:before="0" w:after="240"/>
        <w:jc w:val="both"/>
        <w:rPr/>
      </w:pPr>
      <w:r>
        <w:rPr>
          <w:color w:val="000000"/>
        </w:rPr>
        <w:t>“</w:t>
      </w:r>
      <w:r>
        <w:rPr>
          <w:rFonts w:ascii="Times New Roman" w:hAnsi="Times New Roman"/>
          <w:b/>
          <w:color w:val="000000"/>
          <w:sz w:val="24"/>
        </w:rPr>
        <w:t>Company</w:t>
      </w:r>
      <w:r>
        <w:rPr>
          <w:rFonts w:ascii="Times New Roman" w:hAnsi="Times New Roman"/>
          <w:color w:val="000000"/>
          <w:sz w:val="20"/>
        </w:rPr>
        <w:t xml:space="preserve">” </w:t>
      </w:r>
      <w:r>
        <w:rPr>
          <w:rFonts w:ascii="Times New Roman" w:hAnsi="Times New Roman"/>
          <w:color w:val="000000"/>
          <w:sz w:val="24"/>
        </w:rPr>
        <w:t>means Rani Therapeutics, LLC, a California limited liability company.</w:t>
      </w:r>
    </w:p>
    <w:p>
      <w:pPr>
        <w:pStyle w:val="TextBody"/>
        <w:bidi w:val="0"/>
        <w:spacing w:before="0" w:after="240"/>
        <w:jc w:val="both"/>
        <w:rPr/>
      </w:pPr>
      <w:bookmarkStart w:id="64" w:name="docxtextref41"/>
      <w:bookmarkEnd w:id="64"/>
      <w:r>
        <w:rPr>
          <w:color w:val="000000"/>
        </w:rPr>
        <w:t>“</w:t>
      </w:r>
      <w:r>
        <w:rPr>
          <w:rFonts w:ascii="Times New Roman" w:hAnsi="Times New Roman"/>
          <w:b/>
          <w:color w:val="000000"/>
          <w:sz w:val="24"/>
        </w:rPr>
        <w:t>Company Minimum Gain”</w:t>
      </w:r>
      <w:r>
        <w:rPr>
          <w:rFonts w:ascii="Times New Roman" w:hAnsi="Times New Roman"/>
          <w:color w:val="000000"/>
          <w:sz w:val="20"/>
        </w:rPr>
        <w:t xml:space="preserve"> </w:t>
      </w:r>
      <w:r>
        <w:rPr>
          <w:rFonts w:ascii="Times New Roman" w:hAnsi="Times New Roman"/>
          <w:color w:val="000000"/>
          <w:sz w:val="24"/>
        </w:rPr>
        <w:t xml:space="preserve">has the meaning ascribed to the term “partnership minimum gain” set forth in Treasury Regulations Sections 1.704-2(b)(2) and </w:t>
      </w:r>
      <w:bookmarkStart w:id="65" w:name="docxtextref42"/>
      <w:bookmarkEnd w:id="65"/>
      <w:r>
        <w:rPr>
          <w:rFonts w:ascii="Times New Roman" w:hAnsi="Times New Roman"/>
          <w:color w:val="000000"/>
          <w:sz w:val="24"/>
        </w:rPr>
        <w:t>1.704-2(d).</w:t>
      </w:r>
    </w:p>
    <w:p>
      <w:pPr>
        <w:pStyle w:val="TextBody"/>
        <w:bidi w:val="0"/>
        <w:spacing w:before="0" w:after="240"/>
        <w:jc w:val="both"/>
        <w:rPr/>
      </w:pPr>
      <w:r>
        <w:rPr>
          <w:color w:val="000000"/>
        </w:rPr>
        <w:t>“</w:t>
      </w:r>
      <w:r>
        <w:rPr>
          <w:rFonts w:ascii="Times New Roman" w:hAnsi="Times New Roman"/>
          <w:b/>
          <w:color w:val="000000"/>
          <w:sz w:val="24"/>
        </w:rPr>
        <w:t>Continuing Member</w:t>
      </w:r>
      <w:r>
        <w:rPr>
          <w:rFonts w:ascii="Times New Roman" w:hAnsi="Times New Roman"/>
          <w:color w:val="000000"/>
          <w:sz w:val="20"/>
        </w:rPr>
        <w:t xml:space="preserve">” </w:t>
      </w:r>
      <w:r>
        <w:rPr>
          <w:rFonts w:ascii="Times New Roman" w:hAnsi="Times New Roman"/>
          <w:color w:val="000000"/>
          <w:sz w:val="24"/>
        </w:rPr>
        <w:t>means each member who received Class A Common Units in the Recapitalization (as defined in the Prior Agreement) for so long as such Member continues to hold such Class A Common Units after the Pre-IPO Exchanges (as defined in the Prior Agreement).</w:t>
      </w:r>
    </w:p>
    <w:p>
      <w:pPr>
        <w:pStyle w:val="TextBody"/>
        <w:bidi w:val="0"/>
        <w:spacing w:before="0" w:after="240"/>
        <w:jc w:val="both"/>
        <w:rPr/>
      </w:pPr>
      <w:r>
        <w:rPr>
          <w:color w:val="000000"/>
        </w:rPr>
        <w:t>“</w:t>
      </w:r>
      <w:r>
        <w:rPr>
          <w:rFonts w:ascii="Times New Roman" w:hAnsi="Times New Roman"/>
          <w:b/>
          <w:color w:val="000000"/>
          <w:sz w:val="24"/>
        </w:rPr>
        <w:t>Continuing Member Representative</w:t>
      </w:r>
      <w:r>
        <w:rPr>
          <w:rFonts w:ascii="Times New Roman" w:hAnsi="Times New Roman"/>
          <w:color w:val="000000"/>
          <w:sz w:val="20"/>
        </w:rPr>
        <w:t xml:space="preserve">” </w:t>
      </w:r>
      <w:r>
        <w:rPr>
          <w:rFonts w:ascii="Times New Roman" w:hAnsi="Times New Roman"/>
          <w:color w:val="000000"/>
          <w:sz w:val="24"/>
        </w:rPr>
        <w:t>means ICL or any Affiliate of ICL designated in writing by ICL to PubCo, the Company and each of the Continuing Members after the IPO Effective Time.</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Covered Transaction</w:t>
      </w:r>
      <w:r>
        <w:rPr>
          <w:rFonts w:ascii="Times New Roman" w:hAnsi="Times New Roman"/>
          <w:color w:val="000000"/>
          <w:sz w:val="20"/>
        </w:rPr>
        <w:t xml:space="preserve">” </w:t>
      </w:r>
      <w:r>
        <w:rPr>
          <w:rFonts w:ascii="Times New Roman" w:hAnsi="Times New Roman"/>
          <w:color w:val="000000"/>
          <w:sz w:val="24"/>
        </w:rPr>
        <w:t>means any Liquidity Event or any other sale, redemption or Transfer of Units.</w:t>
      </w:r>
    </w:p>
    <w:p>
      <w:pPr>
        <w:pStyle w:val="TextBody"/>
        <w:bidi w:val="0"/>
        <w:spacing w:before="0" w:after="240"/>
        <w:jc w:val="both"/>
        <w:rPr/>
      </w:pPr>
      <w:r>
        <w:rPr>
          <w:color w:val="000000"/>
        </w:rPr>
        <w:t>“</w:t>
      </w:r>
      <w:r>
        <w:rPr>
          <w:rFonts w:ascii="Times New Roman" w:hAnsi="Times New Roman"/>
          <w:b/>
          <w:color w:val="000000"/>
          <w:sz w:val="24"/>
        </w:rPr>
        <w:t>DGCL</w:t>
      </w:r>
      <w:r>
        <w:rPr>
          <w:rFonts w:ascii="Times New Roman" w:hAnsi="Times New Roman"/>
          <w:color w:val="000000"/>
          <w:sz w:val="20"/>
        </w:rPr>
        <w:t xml:space="preserve">” </w:t>
      </w:r>
      <w:r>
        <w:rPr>
          <w:rFonts w:ascii="Times New Roman" w:hAnsi="Times New Roman"/>
          <w:color w:val="000000"/>
          <w:sz w:val="24"/>
        </w:rPr>
        <w:t>means the General Corporation Law of the State of Delaware.</w:t>
      </w:r>
    </w:p>
    <w:p>
      <w:pPr>
        <w:pStyle w:val="TextBody"/>
        <w:bidi w:val="0"/>
        <w:spacing w:before="0" w:after="240"/>
        <w:jc w:val="both"/>
        <w:rPr/>
      </w:pPr>
      <w:bookmarkStart w:id="66" w:name="docxtextref46"/>
      <w:bookmarkEnd w:id="66"/>
      <w:r>
        <w:rPr>
          <w:color w:val="000000"/>
        </w:rPr>
        <w:t>“</w:t>
      </w:r>
      <w:r>
        <w:rPr>
          <w:rFonts w:ascii="Times New Roman" w:hAnsi="Times New Roman"/>
          <w:b/>
          <w:color w:val="000000"/>
          <w:sz w:val="24"/>
        </w:rPr>
        <w:t>Distribution</w:t>
      </w:r>
      <w:r>
        <w:rPr>
          <w:rFonts w:ascii="Times New Roman" w:hAnsi="Times New Roman"/>
          <w:color w:val="000000"/>
          <w:sz w:val="20"/>
        </w:rPr>
        <w:t xml:space="preserve">” </w:t>
      </w:r>
      <w:r>
        <w:rPr>
          <w:rFonts w:ascii="Times New Roman" w:hAnsi="Times New Roman"/>
          <w:color w:val="000000"/>
          <w:sz w:val="24"/>
        </w:rPr>
        <w:t xml:space="preserve">means each distribution made by the Company to a Member, whether in cash, property or securities of the Company and whether by liquidating distribution or otherwise;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none of the following shall be a Distribution: (a)</w:t>
      </w:r>
      <w:r>
        <w:rPr>
          <w:rFonts w:ascii="Times New Roman" w:hAnsi="Times New Roman"/>
          <w:color w:val="000000"/>
          <w:sz w:val="20"/>
        </w:rPr>
        <w:t xml:space="preserve"> </w:t>
      </w:r>
      <w:r>
        <w:rPr>
          <w:rFonts w:ascii="Times New Roman" w:hAnsi="Times New Roman"/>
          <w:color w:val="000000"/>
          <w:sz w:val="24"/>
        </w:rPr>
        <w:t xml:space="preserve">any redemption or repurchase by the Company of any securities, or </w:t>
      </w:r>
      <w:bookmarkStart w:id="67" w:name="docxtextref47"/>
      <w:bookmarkEnd w:id="67"/>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any recapitalization or exchange of securities of the Company, or any subdivision (by Unit split or otherwise) or any combination (by reverse Unit split or otherwise) of any outstanding Units.</w:t>
      </w:r>
    </w:p>
    <w:p>
      <w:pPr>
        <w:pStyle w:val="TextBody"/>
        <w:bidi w:val="0"/>
        <w:spacing w:before="0" w:after="240"/>
        <w:jc w:val="both"/>
        <w:rPr/>
      </w:pPr>
      <w:r>
        <w:rPr>
          <w:color w:val="000000"/>
        </w:rPr>
        <w:t>“</w:t>
      </w:r>
      <w:r>
        <w:rPr>
          <w:rFonts w:ascii="Times New Roman" w:hAnsi="Times New Roman"/>
          <w:b/>
          <w:color w:val="000000"/>
          <w:sz w:val="24"/>
        </w:rPr>
        <w:t>DTC</w:t>
      </w:r>
      <w:r>
        <w:rPr>
          <w:rFonts w:ascii="Times New Roman" w:hAnsi="Times New Roman"/>
          <w:color w:val="000000"/>
          <w:sz w:val="20"/>
        </w:rPr>
        <w:t xml:space="preserve">” </w:t>
      </w:r>
      <w:r>
        <w:rPr>
          <w:rFonts w:ascii="Times New Roman" w:hAnsi="Times New Roman"/>
          <w:color w:val="000000"/>
          <w:sz w:val="24"/>
        </w:rPr>
        <w:t>means The Depository Trust Company.</w:t>
      </w:r>
    </w:p>
    <w:p>
      <w:pPr>
        <w:pStyle w:val="TextBody"/>
        <w:bidi w:val="0"/>
        <w:spacing w:before="0" w:after="240"/>
        <w:jc w:val="both"/>
        <w:rPr/>
      </w:pPr>
      <w:r>
        <w:rPr>
          <w:color w:val="000000"/>
        </w:rPr>
        <w:t>“</w:t>
      </w:r>
      <w:r>
        <w:rPr>
          <w:rFonts w:ascii="Times New Roman" w:hAnsi="Times New Roman"/>
          <w:b/>
          <w:color w:val="000000"/>
          <w:sz w:val="24"/>
        </w:rPr>
        <w:t>Equity Securities</w:t>
      </w:r>
      <w:r>
        <w:rPr>
          <w:rFonts w:ascii="Times New Roman" w:hAnsi="Times New Roman"/>
          <w:color w:val="000000"/>
          <w:sz w:val="20"/>
        </w:rPr>
        <w:t xml:space="preserve">” </w:t>
      </w:r>
      <w:r>
        <w:rPr>
          <w:rFonts w:ascii="Times New Roman" w:hAnsi="Times New Roman"/>
          <w:color w:val="000000"/>
          <w:sz w:val="24"/>
        </w:rPr>
        <w:t>means, with respect to any Person, all of the shares of capital stock or equity of (or other ownership or profit interests in) such Person, all of the warrants, options or other rights for the purchase or acquisition from such Person of shares of capital stock or preferred interests or equity of (or other ownership or profit interests in) such Person, all of the securities convertible into or exchangeable for shares of capital stock or equity of (or other ownership or profit interests in) such Person, including convertible debt securities, or warrants, rights or options for the purchase or acquisition from such Person of such shares or equity (or such other interests), restricted stock awards, restricted stock units, equity appreciation rights, phantom equity rights, profit participation and all of the other ownership or profit interests of such Person (including partnership or member interests therein), whether voting or nonvoting.</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ERISA</w:t>
      </w:r>
      <w:r>
        <w:rPr>
          <w:rFonts w:ascii="Times New Roman" w:hAnsi="Times New Roman"/>
          <w:color w:val="000000"/>
          <w:sz w:val="20"/>
        </w:rPr>
        <w:t xml:space="preserve">” </w:t>
      </w:r>
      <w:r>
        <w:rPr>
          <w:rFonts w:ascii="Times New Roman" w:hAnsi="Times New Roman"/>
          <w:color w:val="000000"/>
          <w:sz w:val="24"/>
        </w:rPr>
        <w:t>means the Employee Retirement Income Security Act of 1974, as amended.</w:t>
      </w:r>
    </w:p>
    <w:p>
      <w:pPr>
        <w:pStyle w:val="TextBody"/>
        <w:bidi w:val="0"/>
        <w:spacing w:before="0" w:after="240"/>
        <w:jc w:val="both"/>
        <w:rPr/>
      </w:pPr>
      <w:r>
        <w:rPr>
          <w:color w:val="000000"/>
        </w:rPr>
        <w:t>“</w:t>
      </w:r>
      <w:r>
        <w:rPr>
          <w:rFonts w:ascii="Times New Roman" w:hAnsi="Times New Roman"/>
          <w:b/>
          <w:color w:val="000000"/>
          <w:sz w:val="24"/>
        </w:rPr>
        <w:t>Event of Withdrawal</w:t>
      </w:r>
      <w:r>
        <w:rPr>
          <w:rFonts w:ascii="Times New Roman" w:hAnsi="Times New Roman"/>
          <w:color w:val="000000"/>
          <w:sz w:val="20"/>
        </w:rPr>
        <w:t xml:space="preserve">” </w:t>
      </w:r>
      <w:r>
        <w:rPr>
          <w:rFonts w:ascii="Times New Roman" w:hAnsi="Times New Roman"/>
          <w:color w:val="000000"/>
          <w:sz w:val="24"/>
        </w:rPr>
        <w:t>means the death, retirement, resignation, expulsion, bankruptcy or dissolution of a Member or the occurrence of any other event that terminates the continued membership of a Member in the Company.</w:t>
      </w:r>
    </w:p>
    <w:p>
      <w:pPr>
        <w:pStyle w:val="TextBody"/>
        <w:bidi w:val="0"/>
        <w:spacing w:before="0" w:after="240"/>
        <w:jc w:val="both"/>
        <w:rPr/>
      </w:pPr>
      <w:r>
        <w:rPr>
          <w:color w:val="000000"/>
        </w:rPr>
        <w:t>“</w:t>
      </w:r>
      <w:r>
        <w:rPr>
          <w:rFonts w:ascii="Times New Roman" w:hAnsi="Times New Roman"/>
          <w:b/>
          <w:color w:val="000000"/>
          <w:sz w:val="24"/>
        </w:rPr>
        <w:t>Exchange</w:t>
      </w:r>
      <w:r>
        <w:rPr>
          <w:rFonts w:ascii="Times New Roman" w:hAnsi="Times New Roman"/>
          <w:color w:val="000000"/>
          <w:sz w:val="20"/>
        </w:rPr>
        <w:t xml:space="preserve">” </w:t>
      </w:r>
      <w:r>
        <w:rPr>
          <w:rFonts w:ascii="Times New Roman" w:hAnsi="Times New Roman"/>
          <w:color w:val="000000"/>
          <w:sz w:val="24"/>
        </w:rPr>
        <w:t>means (a) the redemption by the Company of vested Class A Common Units held by a Member (together with the surrender and cancellation of the same number of outstanding shares of Paired Voting Stock</w:t>
      </w:r>
      <w:r>
        <w:rPr>
          <w:rFonts w:ascii="Times New Roman" w:hAnsi="Times New Roman"/>
          <w:color w:val="000000"/>
          <w:sz w:val="20"/>
        </w:rPr>
        <w:t xml:space="preserve"> </w:t>
      </w:r>
      <w:r>
        <w:rPr>
          <w:rFonts w:ascii="Times New Roman" w:hAnsi="Times New Roman"/>
          <w:color w:val="000000"/>
          <w:sz w:val="24"/>
        </w:rPr>
        <w:t xml:space="preserve">held by such Member) for either (i) a Stock Exchange Payment or (ii) a Cash Exchange Payment, or (b) the direct purchase by PubCo of vested Class A Common Units and Paired Voting Stock held by a Member in accordance with a PubCo Call Right, in each case in accordance with </w:t>
      </w:r>
      <w:r>
        <w:rPr>
          <w:rFonts w:ascii="Times New Roman" w:hAnsi="Times New Roman"/>
          <w:color w:val="000000"/>
          <w:sz w:val="24"/>
          <w:u w:val="single"/>
        </w:rPr>
        <w:t>Section 12.6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applicable rules and regulations thereunder, and any successor to such statute, rules or regulations. Any reference herein to a specific section, rule or regulation of the Exchange Act shall be deemed to include any corresponding provisions of future law.</w:t>
      </w:r>
    </w:p>
    <w:p>
      <w:pPr>
        <w:pStyle w:val="TextBody"/>
        <w:bidi w:val="0"/>
        <w:spacing w:before="0" w:after="240"/>
        <w:jc w:val="both"/>
        <w:rPr/>
      </w:pPr>
      <w:r>
        <w:rPr>
          <w:color w:val="000000"/>
        </w:rPr>
        <w:t>“</w:t>
      </w:r>
      <w:r>
        <w:rPr>
          <w:rFonts w:ascii="Times New Roman" w:hAnsi="Times New Roman"/>
          <w:b/>
          <w:color w:val="000000"/>
          <w:sz w:val="24"/>
        </w:rPr>
        <w:t>Exchange Blackout Period</w:t>
      </w:r>
      <w:r>
        <w:rPr>
          <w:rFonts w:ascii="Times New Roman" w:hAnsi="Times New Roman"/>
          <w:color w:val="000000"/>
          <w:sz w:val="20"/>
        </w:rPr>
        <w:t xml:space="preserve">” </w:t>
      </w:r>
      <w:r>
        <w:rPr>
          <w:rFonts w:ascii="Times New Roman" w:hAnsi="Times New Roman"/>
          <w:color w:val="000000"/>
          <w:sz w:val="24"/>
        </w:rPr>
        <w:t>means (i) any “black out” or similar period under PubCo’s policies covering trading in PubCo’s securities to which the applicable Exchanging Member is subject (or will be subject at such time as it owns Class A Common Stock), which period restricts the ability of such Exchanging Member to immediately resell shares of Class A Common Stock to be delivered to such Exchanging Member in connection with a Stock Exchange Payment and (ii)</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period of time commencing on (x) the date of the declaration of a dividend by PubCo and ending on the first day following (y) the record date determined by the Board with respect to such dividend declared pursuant to clause (x), which period of time shall be no longer than 10 Business Days;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in no event shall an Exchange Blackout Period which respect to clause (ii) of the definition hereof occur more than four (4) times per calendar year.</w:t>
      </w:r>
    </w:p>
    <w:p>
      <w:pPr>
        <w:pStyle w:val="TextBody"/>
        <w:bidi w:val="0"/>
        <w:spacing w:before="0" w:after="240"/>
        <w:jc w:val="both"/>
        <w:rPr/>
      </w:pPr>
      <w:r>
        <w:rPr>
          <w:color w:val="000000"/>
        </w:rPr>
        <w:t>“</w:t>
      </w:r>
      <w:r>
        <w:rPr>
          <w:rFonts w:ascii="Times New Roman" w:hAnsi="Times New Roman"/>
          <w:b/>
          <w:color w:val="000000"/>
          <w:sz w:val="24"/>
        </w:rPr>
        <w:t>Exchange Conditions</w:t>
      </w:r>
      <w:r>
        <w:rPr>
          <w:rFonts w:ascii="Times New Roman" w:hAnsi="Times New Roman"/>
          <w:color w:val="000000"/>
          <w:sz w:val="20"/>
        </w:rPr>
        <w:t xml:space="preserve">” </w:t>
      </w:r>
      <w:r>
        <w:rPr>
          <w:rFonts w:ascii="Times New Roman" w:hAnsi="Times New Roman"/>
          <w:color w:val="000000"/>
          <w:sz w:val="24"/>
        </w:rPr>
        <w:t>means any of the following conditions: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in the event of a valid request for registration pursuant to the Registration Rights Agreement, (a) PubCo shall have failed to cause any related prospectus to be supplemented by any required prospectus supplement necessary to effect such Exchange, (b) PubCo shall have exercised its right to defer, delay or suspend the filing or effectiveness of a Registration Statement and such deferral, delay or suspension shall affect the ability of such Exchanging Member to have its Class A Common Stock registered at or immediately following the consummation of the Exchange, (c) any stop order relating to the Registration Statement pursuant to which the Class A Common Stock was to be registered by such Exchanging Member at or immediately following the Exchange shall have been issued by the Securities and Exchange Commission, (d) there shall be in effect an injunction, a restraining order or a decree of any nature of any Governmental Entity that restrains or prohibits the Exchange, or (e) PubCo shall have failed to comply in any material respect with its obligations under the Registration Rights Agreement to the extent related to the resale of the Class A Common Stock of an Exchanging Member, and such failure shall have adversely affected the ability of such Exchanging Member to consummate the resale of Class A Common Stock to be received upon such Exchange pursuant to an effective Registration Statement; (ii) PubCo shall have disclosed in good faith to such Exchanging Member any material non-public information concerning PubCo, the receipt of which results in such Exchanging Member being prohibited or restricted from selling Class A Common Stock at or immediately following the Exchange without disclosure of such information (and PubCo does not permit disclosure); (iii) there shall have occurred a material disruption in the securities markets generally or in the market or markets in which the Class A Common Stock is then traded; (iv) there shall be in effect an injunction, a restraining order or a decree of any nature of any Governmental Entity that restrains or prohibits the Exchange; or (v) the Exchange Date would occur three (3) Business Days or less prior to, or during, an Exchange Blackout Period. For purposes of clarity, the matters contemplated in clauses (ii) through (v) above shall constitute an Exchange Condition regardless of the existence of a valid request for registration pursuant to the Registration Rights Agreement.</w:t>
      </w:r>
    </w:p>
    <w:p>
      <w:pPr>
        <w:pStyle w:val="TextBody"/>
        <w:bidi w:val="0"/>
        <w:spacing w:before="0" w:after="240"/>
        <w:jc w:val="both"/>
        <w:rPr/>
      </w:pPr>
      <w:r>
        <w:rPr>
          <w:color w:val="000000"/>
        </w:rPr>
        <w:t>“</w:t>
      </w:r>
      <w:r>
        <w:rPr>
          <w:rFonts w:ascii="Times New Roman" w:hAnsi="Times New Roman"/>
          <w:b/>
          <w:color w:val="000000"/>
          <w:sz w:val="24"/>
        </w:rPr>
        <w:t>Exchange Date</w:t>
      </w:r>
      <w:r>
        <w:rPr>
          <w:rFonts w:ascii="Times New Roman" w:hAnsi="Times New Roman"/>
          <w:color w:val="000000"/>
          <w:sz w:val="20"/>
        </w:rPr>
        <w:t xml:space="preserve">” </w:t>
      </w:r>
      <w:r>
        <w:rPr>
          <w:rFonts w:ascii="Times New Roman" w:hAnsi="Times New Roman"/>
          <w:color w:val="000000"/>
          <w:sz w:val="24"/>
        </w:rPr>
        <w:t xml:space="preserve">means the date that is five (5) Business Days after the Exchange Notice Date is given; </w:t>
      </w:r>
      <w:r>
        <w:rPr>
          <w:rFonts w:ascii="Times New Roman" w:hAnsi="Times New Roman"/>
          <w:i/>
          <w:color w:val="000000"/>
          <w:sz w:val="24"/>
        </w:rPr>
        <w:t>provided</w:t>
      </w:r>
      <w:r>
        <w:rPr>
          <w:rFonts w:ascii="Times New Roman" w:hAnsi="Times New Roman"/>
          <w:color w:val="000000"/>
          <w:sz w:val="24"/>
        </w:rPr>
        <w:t xml:space="preserve">, that if an Exchanging Member delays the consummation of an Exchange by delivering an Exchange Delay Notice, the Exchange Date shall occur on the date that is three (3) Business Days following the date on which the conditions giving rise to such delay cease to exist which shall in no event be prior to the date otherwise determined pursuant to this definition (or such earlier day as the Managing Member and such Exchanging Member may agree in writing); </w:t>
      </w:r>
      <w:r>
        <w:rPr>
          <w:rFonts w:ascii="Times New Roman" w:hAnsi="Times New Roman"/>
          <w:i/>
          <w:color w:val="000000"/>
          <w:sz w:val="24"/>
        </w:rPr>
        <w:t>provided, further</w:t>
      </w:r>
      <w:r>
        <w:rPr>
          <w:rFonts w:ascii="Times New Roman" w:hAnsi="Times New Roman"/>
          <w:color w:val="000000"/>
          <w:sz w:val="24"/>
        </w:rPr>
        <w:t>, that if the Exchange Date for any Exchange with respect to which PubCo elects to make a Stock Exchange Payment would otherwise fall within any Exchange Blackout Period, then the Exchange Date shall occur on the next Business Day following the end of such Exchange Blackout Period.</w:t>
      </w:r>
    </w:p>
    <w:p>
      <w:pPr>
        <w:pStyle w:val="TextBody"/>
        <w:bidi w:val="0"/>
        <w:spacing w:before="0" w:after="240"/>
        <w:jc w:val="both"/>
        <w:rPr/>
      </w:pPr>
      <w:r>
        <w:rPr>
          <w:color w:val="000000"/>
        </w:rPr>
        <w:t>“</w:t>
      </w:r>
      <w:r>
        <w:rPr>
          <w:rFonts w:ascii="Times New Roman" w:hAnsi="Times New Roman"/>
          <w:b/>
          <w:color w:val="000000"/>
          <w:sz w:val="24"/>
        </w:rPr>
        <w:t>Exchange Delay Notice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12.1(c).</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Exchange Notice</w:t>
      </w:r>
      <w:r>
        <w:rPr>
          <w:rFonts w:ascii="Times New Roman" w:hAnsi="Times New Roman"/>
          <w:color w:val="000000"/>
          <w:sz w:val="20"/>
        </w:rPr>
        <w:t xml:space="preserve">” </w:t>
      </w:r>
      <w:r>
        <w:rPr>
          <w:rFonts w:ascii="Times New Roman" w:hAnsi="Times New Roman"/>
          <w:color w:val="000000"/>
          <w:sz w:val="24"/>
        </w:rPr>
        <w:t>means a written election of Exchange in the form of Exhibit A, duly executed by the Exchanging Member.</w:t>
      </w:r>
    </w:p>
    <w:p>
      <w:pPr>
        <w:pStyle w:val="TextBody"/>
        <w:bidi w:val="0"/>
        <w:spacing w:before="0" w:after="240"/>
        <w:jc w:val="both"/>
        <w:rPr/>
      </w:pPr>
      <w:r>
        <w:rPr>
          <w:color w:val="000000"/>
        </w:rPr>
        <w:t>“</w:t>
      </w:r>
      <w:r>
        <w:rPr>
          <w:rFonts w:ascii="Times New Roman" w:hAnsi="Times New Roman"/>
          <w:b/>
          <w:color w:val="000000"/>
          <w:sz w:val="24"/>
        </w:rPr>
        <w:t>Exchange Notice Date</w:t>
      </w:r>
      <w:r>
        <w:rPr>
          <w:rFonts w:ascii="Times New Roman" w:hAnsi="Times New Roman"/>
          <w:color w:val="000000"/>
          <w:sz w:val="20"/>
        </w:rPr>
        <w:t xml:space="preserve">” </w:t>
      </w:r>
      <w:r>
        <w:rPr>
          <w:rFonts w:ascii="Times New Roman" w:hAnsi="Times New Roman"/>
          <w:color w:val="000000"/>
          <w:sz w:val="24"/>
        </w:rPr>
        <w:t xml:space="preserve">means, with respect to any Exchange Notice, the date such Exchange Notice is given to the Company in accordance with </w:t>
      </w:r>
      <w:r>
        <w:rPr>
          <w:rFonts w:ascii="Times New Roman" w:hAnsi="Times New Roman"/>
          <w:color w:val="000000"/>
          <w:sz w:val="24"/>
          <w:u w:val="single"/>
        </w:rPr>
        <w:t>Section 12.1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Exchanged Units</w:t>
      </w:r>
      <w:r>
        <w:rPr>
          <w:rFonts w:ascii="Times New Roman" w:hAnsi="Times New Roman"/>
          <w:color w:val="000000"/>
          <w:sz w:val="20"/>
        </w:rPr>
        <w:t xml:space="preserve">” </w:t>
      </w:r>
      <w:r>
        <w:rPr>
          <w:rFonts w:ascii="Times New Roman" w:hAnsi="Times New Roman"/>
          <w:color w:val="000000"/>
          <w:sz w:val="24"/>
        </w:rPr>
        <w:t xml:space="preserve">means, with respect to any Exchange, the Class A Common Units being exchanged pursuant to a relevant Exchange Notice, and an equal number of shares of Paired Voting Stock held by the relevant Exchanging Member; </w:t>
      </w:r>
      <w:r>
        <w:rPr>
          <w:rFonts w:ascii="Times New Roman" w:hAnsi="Times New Roman"/>
          <w:i/>
          <w:color w:val="000000"/>
          <w:sz w:val="24"/>
        </w:rPr>
        <w:t>provided</w:t>
      </w:r>
      <w:r>
        <w:rPr>
          <w:rFonts w:ascii="Times New Roman" w:hAnsi="Times New Roman"/>
          <w:color w:val="000000"/>
          <w:sz w:val="24"/>
        </w:rPr>
        <w:t>, that, such amount of Class A Common Units shall in no event be less than the Minimum Exchange Amount.</w:t>
      </w:r>
    </w:p>
    <w:p>
      <w:pPr>
        <w:pStyle w:val="TextBody"/>
        <w:bidi w:val="0"/>
        <w:spacing w:before="0" w:after="240"/>
        <w:jc w:val="both"/>
        <w:rPr/>
      </w:pPr>
      <w:r>
        <w:rPr>
          <w:color w:val="000000"/>
        </w:rPr>
        <w:t>“</w:t>
      </w:r>
      <w:r>
        <w:rPr>
          <w:rFonts w:ascii="Times New Roman" w:hAnsi="Times New Roman"/>
          <w:b/>
          <w:color w:val="000000"/>
          <w:sz w:val="24"/>
        </w:rPr>
        <w:t>Exchanging Member</w:t>
      </w:r>
      <w:r>
        <w:rPr>
          <w:rFonts w:ascii="Times New Roman" w:hAnsi="Times New Roman"/>
          <w:color w:val="000000"/>
          <w:sz w:val="20"/>
        </w:rPr>
        <w:t xml:space="preserve">” </w:t>
      </w:r>
      <w:r>
        <w:rPr>
          <w:rFonts w:ascii="Times New Roman" w:hAnsi="Times New Roman"/>
          <w:color w:val="000000"/>
          <w:sz w:val="24"/>
        </w:rPr>
        <w:t>means a Member initiating an Exchange.</w:t>
      </w:r>
    </w:p>
    <w:p>
      <w:pPr>
        <w:pStyle w:val="TextBody"/>
        <w:bidi w:val="0"/>
        <w:spacing w:before="0" w:after="240"/>
        <w:jc w:val="both"/>
        <w:rPr/>
      </w:pPr>
      <w:r>
        <w:rPr>
          <w:color w:val="000000"/>
        </w:rPr>
        <w:t>“</w:t>
      </w:r>
      <w:r>
        <w:rPr>
          <w:rFonts w:ascii="Times New Roman" w:hAnsi="Times New Roman"/>
          <w:b/>
          <w:color w:val="000000"/>
          <w:sz w:val="24"/>
        </w:rPr>
        <w:t>Exempt Transfer</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9.1(b)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Fair Market Value</w:t>
      </w:r>
      <w:r>
        <w:rPr>
          <w:rFonts w:ascii="Times New Roman" w:hAnsi="Times New Roman"/>
          <w:color w:val="000000"/>
          <w:sz w:val="20"/>
        </w:rPr>
        <w:t xml:space="preserve">” </w:t>
      </w:r>
      <w:r>
        <w:rPr>
          <w:rFonts w:ascii="Times New Roman" w:hAnsi="Times New Roman"/>
          <w:color w:val="000000"/>
          <w:sz w:val="24"/>
        </w:rPr>
        <w:t xml:space="preserve">means, with respect to any asset or equity interest, its fair market value determined according to </w:t>
      </w:r>
      <w:r>
        <w:rPr>
          <w:rFonts w:ascii="Times New Roman" w:hAnsi="Times New Roman"/>
          <w:color w:val="000000"/>
          <w:sz w:val="24"/>
          <w:u w:val="single"/>
        </w:rPr>
        <w:t>Article XIV</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Family Group</w:t>
      </w:r>
      <w:r>
        <w:rPr>
          <w:rFonts w:ascii="Times New Roman" w:hAnsi="Times New Roman"/>
          <w:color w:val="000000"/>
          <w:sz w:val="20"/>
        </w:rPr>
        <w:t xml:space="preserve">” </w:t>
      </w:r>
      <w:r>
        <w:rPr>
          <w:rFonts w:ascii="Times New Roman" w:hAnsi="Times New Roman"/>
          <w:color w:val="000000"/>
          <w:sz w:val="24"/>
        </w:rPr>
        <w:t>means a Member’s spouse, parents, siblings and descendants (whether by birth or adoption) and any trust (whether revocable or irrevocable) or other estate planning vehicle established solely for the benefit of such Member and/or such Member’s spouse and/or such Member’s descendants (by birth or adoption), parents, siblings or dependents, or any charitable trust the grantor of which is such Member and/or member of such Member’s Family Group.</w:t>
      </w:r>
    </w:p>
    <w:p>
      <w:pPr>
        <w:pStyle w:val="TextBody"/>
        <w:bidi w:val="0"/>
        <w:spacing w:before="0" w:after="240"/>
        <w:jc w:val="both"/>
        <w:rPr/>
      </w:pPr>
      <w:r>
        <w:rPr>
          <w:color w:val="000000"/>
        </w:rPr>
        <w:t>“</w:t>
      </w:r>
      <w:r>
        <w:rPr>
          <w:rFonts w:ascii="Times New Roman" w:hAnsi="Times New Roman"/>
          <w:b/>
          <w:color w:val="000000"/>
          <w:sz w:val="24"/>
        </w:rPr>
        <w:t>Fiscal Year</w:t>
      </w:r>
      <w:r>
        <w:rPr>
          <w:rFonts w:ascii="Times New Roman" w:hAnsi="Times New Roman"/>
          <w:color w:val="000000"/>
          <w:sz w:val="20"/>
        </w:rPr>
        <w:t xml:space="preserve">” </w:t>
      </w:r>
      <w:r>
        <w:rPr>
          <w:rFonts w:ascii="Times New Roman" w:hAnsi="Times New Roman"/>
          <w:color w:val="000000"/>
          <w:sz w:val="24"/>
        </w:rPr>
        <w:t xml:space="preserve">means the Company’s annual accounting period established pursuant to </w:t>
      </w:r>
      <w:r>
        <w:rPr>
          <w:rFonts w:ascii="Times New Roman" w:hAnsi="Times New Roman"/>
          <w:color w:val="000000"/>
          <w:sz w:val="24"/>
          <w:u w:val="single"/>
        </w:rPr>
        <w:t>Section 7.2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Fund Indemnitees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6.4(e)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Fund Indemnitors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6.4(e)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Governmental Entity</w:t>
      </w:r>
      <w:r>
        <w:rPr>
          <w:rFonts w:ascii="Times New Roman" w:hAnsi="Times New Roman"/>
          <w:color w:val="000000"/>
          <w:sz w:val="20"/>
        </w:rPr>
        <w:t xml:space="preserve">” </w:t>
      </w:r>
      <w:r>
        <w:rPr>
          <w:rFonts w:ascii="Times New Roman" w:hAnsi="Times New Roman"/>
          <w:color w:val="000000"/>
          <w:sz w:val="24"/>
        </w:rPr>
        <w:t>means the United States of America or any other nation, any state or other political subdivision thereof, or any entity exercising executive, legislative, judicial, regulatory or administrative functions of government.</w:t>
      </w:r>
    </w:p>
    <w:p>
      <w:pPr>
        <w:pStyle w:val="TextBody"/>
        <w:bidi w:val="0"/>
        <w:spacing w:before="0" w:after="240"/>
        <w:jc w:val="both"/>
        <w:rPr/>
      </w:pPr>
      <w:r>
        <w:rPr>
          <w:color w:val="000000"/>
        </w:rPr>
        <w:t>“</w:t>
      </w:r>
      <w:r>
        <w:rPr>
          <w:rFonts w:ascii="Times New Roman" w:hAnsi="Times New Roman"/>
          <w:b/>
          <w:color w:val="000000"/>
          <w:sz w:val="24"/>
        </w:rPr>
        <w:t>ICL</w:t>
      </w:r>
      <w:r>
        <w:rPr>
          <w:rFonts w:ascii="Times New Roman" w:hAnsi="Times New Roman"/>
          <w:color w:val="000000"/>
          <w:sz w:val="20"/>
        </w:rPr>
        <w:t xml:space="preserve">” </w:t>
      </w:r>
      <w:r>
        <w:rPr>
          <w:rFonts w:ascii="Times New Roman" w:hAnsi="Times New Roman"/>
          <w:color w:val="000000"/>
          <w:sz w:val="24"/>
        </w:rPr>
        <w:t>means InCube Labs, LLC, a Delaware limited liability company.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Imputed Underpayment Amount</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4.6(d)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Income Amount</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4.1(c)(i)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Indemnified Person</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6.4(a)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IPO</w:t>
      </w:r>
      <w:r>
        <w:rPr>
          <w:rFonts w:ascii="Times New Roman" w:hAnsi="Times New Roman"/>
          <w:color w:val="000000"/>
          <w:sz w:val="20"/>
        </w:rPr>
        <w:t xml:space="preserve">” </w:t>
      </w:r>
      <w:r>
        <w:rPr>
          <w:rFonts w:ascii="Times New Roman" w:hAnsi="Times New Roman"/>
          <w:color w:val="000000"/>
          <w:sz w:val="24"/>
        </w:rPr>
        <w:t>means PubCo’s underwritten initial public offering of its Class A Common Stock.</w:t>
      </w:r>
    </w:p>
    <w:p>
      <w:pPr>
        <w:pStyle w:val="TextBody"/>
        <w:bidi w:val="0"/>
        <w:spacing w:before="0" w:after="240"/>
        <w:jc w:val="both"/>
        <w:rPr/>
      </w:pPr>
      <w:r>
        <w:rPr>
          <w:color w:val="000000"/>
        </w:rPr>
        <w:t>“</w:t>
      </w:r>
      <w:r>
        <w:rPr>
          <w:rFonts w:ascii="Times New Roman" w:hAnsi="Times New Roman"/>
          <w:b/>
          <w:color w:val="000000"/>
          <w:sz w:val="24"/>
        </w:rPr>
        <w:t>IPO Effective Time</w:t>
      </w:r>
      <w:r>
        <w:rPr>
          <w:rFonts w:ascii="Times New Roman" w:hAnsi="Times New Roman"/>
          <w:color w:val="000000"/>
          <w:sz w:val="20"/>
        </w:rPr>
        <w:t xml:space="preserve">” </w:t>
      </w:r>
      <w:r>
        <w:rPr>
          <w:rFonts w:ascii="Times New Roman" w:hAnsi="Times New Roman"/>
          <w:color w:val="000000"/>
          <w:sz w:val="24"/>
        </w:rPr>
        <w:t>means August 9, 2021, the closing of PubCo’s initial public offering.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Liquidity Event</w:t>
      </w:r>
      <w:r>
        <w:rPr>
          <w:rFonts w:ascii="Times New Roman" w:hAnsi="Times New Roman"/>
          <w:color w:val="000000"/>
          <w:sz w:val="20"/>
        </w:rPr>
        <w:t xml:space="preserve">” </w:t>
      </w:r>
      <w:r>
        <w:rPr>
          <w:rFonts w:ascii="Times New Roman" w:hAnsi="Times New Roman"/>
          <w:color w:val="000000"/>
          <w:sz w:val="24"/>
        </w:rPr>
        <w:t>means, whether occurring through one transaction or a series of related transactions, any liquidation, dissolution or winding up, voluntary or involuntary, of the Company.</w:t>
      </w:r>
    </w:p>
    <w:p>
      <w:pPr>
        <w:pStyle w:val="TextBody"/>
        <w:bidi w:val="0"/>
        <w:spacing w:before="0" w:after="240"/>
        <w:jc w:val="both"/>
        <w:rPr/>
      </w:pPr>
      <w:r>
        <w:rPr>
          <w:color w:val="000000"/>
        </w:rPr>
        <w:t>“</w:t>
      </w:r>
      <w:r>
        <w:rPr>
          <w:rFonts w:ascii="Times New Roman" w:hAnsi="Times New Roman"/>
          <w:b/>
          <w:color w:val="000000"/>
          <w:sz w:val="24"/>
        </w:rPr>
        <w:t>Managing Member</w:t>
      </w:r>
      <w:r>
        <w:rPr>
          <w:rFonts w:ascii="Times New Roman" w:hAnsi="Times New Roman"/>
          <w:color w:val="000000"/>
          <w:sz w:val="20"/>
        </w:rPr>
        <w:t xml:space="preserve">” </w:t>
      </w:r>
      <w:r>
        <w:rPr>
          <w:rFonts w:ascii="Times New Roman" w:hAnsi="Times New Roman"/>
          <w:color w:val="000000"/>
          <w:sz w:val="24"/>
        </w:rPr>
        <w:t xml:space="preserve">means the person designated as such pursuant to </w:t>
      </w:r>
      <w:r>
        <w:rPr>
          <w:rFonts w:ascii="Times New Roman" w:hAnsi="Times New Roman"/>
          <w:color w:val="000000"/>
          <w:sz w:val="24"/>
          <w:u w:val="single"/>
        </w:rPr>
        <w:t>Section 5.1</w:t>
      </w:r>
      <w:r>
        <w:rPr>
          <w:rFonts w:ascii="Times New Roman" w:hAnsi="Times New Roman"/>
          <w:color w:val="000000"/>
          <w:sz w:val="24"/>
        </w:rPr>
        <w:t xml:space="preserve">, which shall be PubCo as of the effectiveness of PubCo’s admission as an Additional Member pursuant to </w:t>
      </w:r>
      <w:r>
        <w:rPr>
          <w:rFonts w:ascii="Times New Roman" w:hAnsi="Times New Roman"/>
          <w:color w:val="000000"/>
          <w:sz w:val="24"/>
          <w:u w:val="single"/>
        </w:rPr>
        <w:t>Section 10.2</w:t>
      </w:r>
      <w:r>
        <w:rPr>
          <w:rFonts w:ascii="Times New Roman" w:hAnsi="Times New Roman"/>
          <w:color w:val="000000"/>
          <w:sz w:val="24"/>
        </w:rPr>
        <w:t>, or any successor Managing Member admitted to the Company in accordance with the terms of this Agreement, in its capacity as the managing member of the Company.</w:t>
      </w:r>
    </w:p>
    <w:p>
      <w:pPr>
        <w:pStyle w:val="TextBody"/>
        <w:bidi w:val="0"/>
        <w:spacing w:before="0" w:after="240"/>
        <w:jc w:val="both"/>
        <w:rPr/>
      </w:pPr>
      <w:r>
        <w:rPr>
          <w:color w:val="000000"/>
        </w:rPr>
        <w:t>“</w:t>
      </w:r>
      <w:r>
        <w:rPr>
          <w:rFonts w:ascii="Times New Roman" w:hAnsi="Times New Roman"/>
          <w:b/>
          <w:color w:val="000000"/>
          <w:sz w:val="24"/>
        </w:rPr>
        <w:t>Member</w:t>
      </w:r>
      <w:r>
        <w:rPr>
          <w:rFonts w:ascii="Times New Roman" w:hAnsi="Times New Roman"/>
          <w:color w:val="000000"/>
          <w:sz w:val="20"/>
        </w:rPr>
        <w:t xml:space="preserve">” </w:t>
      </w:r>
      <w:r>
        <w:rPr>
          <w:rFonts w:ascii="Times New Roman" w:hAnsi="Times New Roman"/>
          <w:color w:val="000000"/>
          <w:sz w:val="24"/>
        </w:rPr>
        <w:t>means each of the Persons from time to time admitted to the Company as a member of the Company and listed as a Member in the books and records of the Company, each in its capacity as a member of the Company.</w:t>
      </w:r>
    </w:p>
    <w:p>
      <w:pPr>
        <w:pStyle w:val="TextBody"/>
        <w:bidi w:val="0"/>
        <w:spacing w:before="0" w:after="240"/>
        <w:jc w:val="both"/>
        <w:rPr/>
      </w:pPr>
      <w:bookmarkStart w:id="68" w:name="docxtextref73"/>
      <w:bookmarkEnd w:id="68"/>
      <w:r>
        <w:rPr>
          <w:color w:val="000000"/>
        </w:rPr>
        <w:t>“</w:t>
      </w:r>
      <w:r>
        <w:rPr>
          <w:rFonts w:ascii="Times New Roman" w:hAnsi="Times New Roman"/>
          <w:b/>
          <w:color w:val="000000"/>
          <w:sz w:val="24"/>
        </w:rPr>
        <w:t>Member Nonrecourse Debt Minimum Gain”</w:t>
      </w:r>
      <w:r>
        <w:rPr>
          <w:rFonts w:ascii="Times New Roman" w:hAnsi="Times New Roman"/>
          <w:color w:val="000000"/>
          <w:sz w:val="20"/>
        </w:rPr>
        <w:t xml:space="preserve"> </w:t>
      </w:r>
      <w:r>
        <w:rPr>
          <w:rFonts w:ascii="Times New Roman" w:hAnsi="Times New Roman"/>
          <w:color w:val="000000"/>
          <w:sz w:val="24"/>
        </w:rPr>
        <w:t xml:space="preserve">means an amount with respect to each partner nonrecourse debt (as defined in Treasury Regulations Section 1.704-2(b)(4)) equal to the Company Minimum Gain that would result if such partner nonrecourse debt were treated as a nonrecourse liability (as defined in Treasury Regulations Section </w:t>
      </w:r>
      <w:bookmarkStart w:id="69" w:name="docxtextref74"/>
      <w:bookmarkEnd w:id="69"/>
      <w:r>
        <w:rPr>
          <w:rFonts w:ascii="Times New Roman" w:hAnsi="Times New Roman"/>
          <w:color w:val="000000"/>
          <w:sz w:val="24"/>
        </w:rPr>
        <w:t xml:space="preserve">1.752-1(a)(2)) determined in accordance with Treasury Regulations Section </w:t>
      </w:r>
      <w:bookmarkStart w:id="70" w:name="docxtextref75"/>
      <w:bookmarkEnd w:id="70"/>
      <w:r>
        <w:rPr>
          <w:rFonts w:ascii="Times New Roman" w:hAnsi="Times New Roman"/>
          <w:color w:val="000000"/>
          <w:sz w:val="24"/>
        </w:rPr>
        <w:t>1.704-2(i)(3).</w:t>
      </w:r>
    </w:p>
    <w:p>
      <w:pPr>
        <w:pStyle w:val="TextBody"/>
        <w:bidi w:val="0"/>
        <w:spacing w:before="0" w:after="240"/>
        <w:jc w:val="both"/>
        <w:rPr/>
      </w:pPr>
      <w:bookmarkStart w:id="71" w:name="docxtextref76"/>
      <w:bookmarkEnd w:id="71"/>
      <w:r>
        <w:rPr>
          <w:color w:val="000000"/>
        </w:rPr>
        <w:t>“</w:t>
      </w:r>
      <w:r>
        <w:rPr>
          <w:rFonts w:ascii="Times New Roman" w:hAnsi="Times New Roman"/>
          <w:b/>
          <w:color w:val="000000"/>
          <w:sz w:val="24"/>
        </w:rPr>
        <w:t>Member Nonrecourse Deductions”</w:t>
      </w:r>
      <w:r>
        <w:rPr>
          <w:rFonts w:ascii="Times New Roman" w:hAnsi="Times New Roman"/>
          <w:color w:val="000000"/>
          <w:sz w:val="20"/>
        </w:rPr>
        <w:t xml:space="preserve"> </w:t>
      </w:r>
      <w:r>
        <w:rPr>
          <w:rFonts w:ascii="Times New Roman" w:hAnsi="Times New Roman"/>
          <w:color w:val="000000"/>
          <w:sz w:val="24"/>
        </w:rPr>
        <w:t>has the meaning ascribed to the term “partner nonrecourse deductions” set forth in Treasury Regulations Section 1.704-2(i)(2).</w:t>
      </w:r>
    </w:p>
    <w:p>
      <w:pPr>
        <w:pStyle w:val="TextBody"/>
        <w:bidi w:val="0"/>
        <w:spacing w:before="0" w:after="240"/>
        <w:jc w:val="both"/>
        <w:rPr/>
      </w:pPr>
      <w:r>
        <w:rPr>
          <w:color w:val="000000"/>
        </w:rPr>
        <w:t>“</w:t>
      </w:r>
      <w:r>
        <w:rPr>
          <w:rFonts w:ascii="Times New Roman" w:hAnsi="Times New Roman"/>
          <w:b/>
          <w:color w:val="000000"/>
          <w:sz w:val="24"/>
        </w:rPr>
        <w:t>Minimum Exchange Amount</w:t>
      </w:r>
      <w:r>
        <w:rPr>
          <w:rFonts w:ascii="Times New Roman" w:hAnsi="Times New Roman"/>
          <w:color w:val="000000"/>
          <w:sz w:val="20"/>
        </w:rPr>
        <w:t xml:space="preserve">” </w:t>
      </w:r>
      <w:r>
        <w:rPr>
          <w:rFonts w:ascii="Times New Roman" w:hAnsi="Times New Roman"/>
          <w:color w:val="000000"/>
          <w:sz w:val="24"/>
        </w:rPr>
        <w:t>means a number of Class A Common Units held by an Exchanging Member equal to (x) if such Exchanging Member holds more than 50,000 Class A Common Units as of the date hereof, the lesser of (1) 50,000 Class A Common Units and (2) ten percent (10%) of the Class A Common Units held by the applicable Exchanging Member as of the date hereof or (y) to the extent such Exchanging Member holds 50,000 Class A Common Units or less as of the date hereof, the lesser of (1) twenty-five percent (25%) of the Class A Common Units held by the applicable Exchanging Member as of the date hereof and (2) all of the Class A Common Units then held by the applicable Exchanging Member.</w:t>
      </w:r>
    </w:p>
    <w:p>
      <w:pPr>
        <w:pStyle w:val="TextBody"/>
        <w:bidi w:val="0"/>
        <w:spacing w:before="0" w:after="240"/>
        <w:jc w:val="both"/>
        <w:rPr/>
      </w:pPr>
      <w:r>
        <w:rPr>
          <w:color w:val="000000"/>
        </w:rPr>
        <w:t>“</w:t>
      </w:r>
      <w:r>
        <w:rPr>
          <w:rFonts w:ascii="Times New Roman" w:hAnsi="Times New Roman"/>
          <w:b/>
          <w:color w:val="000000"/>
          <w:sz w:val="24"/>
        </w:rPr>
        <w:t>National Securities Exchange</w:t>
      </w:r>
      <w:r>
        <w:rPr>
          <w:rFonts w:ascii="Times New Roman" w:hAnsi="Times New Roman"/>
          <w:color w:val="000000"/>
          <w:sz w:val="20"/>
        </w:rPr>
        <w:t xml:space="preserve">” </w:t>
      </w:r>
      <w:r>
        <w:rPr>
          <w:rFonts w:ascii="Times New Roman" w:hAnsi="Times New Roman"/>
          <w:color w:val="000000"/>
          <w:sz w:val="24"/>
        </w:rPr>
        <w:t>means a securities exchange registered with the Securities and Exchange Commission under Section 6 of the Exchange Act.</w:t>
      </w:r>
    </w:p>
    <w:p>
      <w:pPr>
        <w:pStyle w:val="TextBody"/>
        <w:bidi w:val="0"/>
        <w:spacing w:before="0" w:after="240"/>
        <w:jc w:val="both"/>
        <w:rPr/>
      </w:pPr>
      <w:r>
        <w:rPr>
          <w:color w:val="000000"/>
        </w:rPr>
        <w:t>“</w:t>
      </w:r>
      <w:r>
        <w:rPr>
          <w:rFonts w:ascii="Times New Roman" w:hAnsi="Times New Roman"/>
          <w:b/>
          <w:color w:val="000000"/>
          <w:sz w:val="24"/>
        </w:rPr>
        <w:t>Net Loss</w:t>
      </w:r>
      <w:r>
        <w:rPr>
          <w:rFonts w:ascii="Times New Roman" w:hAnsi="Times New Roman"/>
          <w:color w:val="000000"/>
          <w:sz w:val="20"/>
        </w:rPr>
        <w:t xml:space="preserve">” </w:t>
      </w:r>
      <w:r>
        <w:rPr>
          <w:rFonts w:ascii="Times New Roman" w:hAnsi="Times New Roman"/>
          <w:color w:val="000000"/>
          <w:sz w:val="24"/>
        </w:rPr>
        <w:t>means, with respect to a Taxable Year, the excess, if any, of Losses for such Taxable Year over Profits for such Taxable Year (excluding Losses and Profits specially allocated pursuant to this Agreement).</w:t>
      </w:r>
    </w:p>
    <w:p>
      <w:pPr>
        <w:pStyle w:val="TextBody"/>
        <w:bidi w:val="0"/>
        <w:spacing w:before="0" w:after="240"/>
        <w:jc w:val="both"/>
        <w:rPr/>
      </w:pPr>
      <w:r>
        <w:rPr>
          <w:color w:val="000000"/>
        </w:rPr>
        <w:t>“</w:t>
      </w:r>
      <w:r>
        <w:rPr>
          <w:rFonts w:ascii="Times New Roman" w:hAnsi="Times New Roman"/>
          <w:b/>
          <w:color w:val="000000"/>
          <w:sz w:val="24"/>
        </w:rPr>
        <w:t>Net Profit</w:t>
      </w:r>
      <w:r>
        <w:rPr>
          <w:rFonts w:ascii="Times New Roman" w:hAnsi="Times New Roman"/>
          <w:color w:val="000000"/>
          <w:sz w:val="20"/>
        </w:rPr>
        <w:t xml:space="preserve">” </w:t>
      </w:r>
      <w:r>
        <w:rPr>
          <w:rFonts w:ascii="Times New Roman" w:hAnsi="Times New Roman"/>
          <w:color w:val="000000"/>
          <w:sz w:val="24"/>
        </w:rPr>
        <w:t>means, with respect to a Taxable Year, the excess, if any, of Profits for such Taxable Year over Losses for such Taxable Year (excluding Profits and Losses specially allocated pursuant to this Agreement).</w:t>
      </w:r>
    </w:p>
    <w:p>
      <w:pPr>
        <w:pStyle w:val="TextBody"/>
        <w:bidi w:val="0"/>
        <w:spacing w:before="0" w:after="240"/>
        <w:jc w:val="both"/>
        <w:rPr/>
      </w:pPr>
      <w:r>
        <w:rPr>
          <w:color w:val="000000"/>
        </w:rPr>
        <w:t>“</w:t>
      </w:r>
      <w:r>
        <w:rPr>
          <w:rFonts w:ascii="Times New Roman" w:hAnsi="Times New Roman"/>
          <w:b/>
          <w:color w:val="000000"/>
          <w:sz w:val="24"/>
        </w:rPr>
        <w:t>Non-Foreign Person Certificate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12.9(a)</w:t>
      </w:r>
      <w:r>
        <w:rPr>
          <w:rFonts w:ascii="Times New Roman" w:hAnsi="Times New Roman"/>
          <w:color w:val="000000"/>
          <w:sz w:val="24"/>
        </w:rPr>
        <w:t>.</w:t>
      </w:r>
    </w:p>
    <w:p>
      <w:pPr>
        <w:pStyle w:val="TextBody"/>
        <w:bidi w:val="0"/>
        <w:spacing w:before="0" w:after="240"/>
        <w:jc w:val="both"/>
        <w:rPr/>
      </w:pPr>
      <w:bookmarkStart w:id="72" w:name="docxtextref77"/>
      <w:bookmarkEnd w:id="72"/>
      <w:r>
        <w:rPr>
          <w:color w:val="000000"/>
        </w:rPr>
        <w:t>“</w:t>
      </w:r>
      <w:r>
        <w:rPr>
          <w:rFonts w:ascii="Times New Roman" w:hAnsi="Times New Roman"/>
          <w:b/>
          <w:color w:val="000000"/>
          <w:sz w:val="24"/>
        </w:rPr>
        <w:t>Nonrecourse Deductions”</w:t>
      </w:r>
      <w:r>
        <w:rPr>
          <w:rFonts w:ascii="Times New Roman" w:hAnsi="Times New Roman"/>
          <w:color w:val="000000"/>
          <w:sz w:val="20"/>
        </w:rPr>
        <w:t xml:space="preserve"> </w:t>
      </w:r>
      <w:r>
        <w:rPr>
          <w:rFonts w:ascii="Times New Roman" w:hAnsi="Times New Roman"/>
          <w:color w:val="000000"/>
          <w:sz w:val="24"/>
        </w:rPr>
        <w:t xml:space="preserve">has the meaning set forth in Treasury Regulations Section 1.704-2(b)(1). The amount of Nonrecourse Deductions of the Company for a Fiscal Year equals the net increase, if any, in the amount of Company Minimum Gain of the Company during that fiscal year, determined according to the provisions of Treasury Regulations Section </w:t>
      </w:r>
      <w:bookmarkStart w:id="73" w:name="docxtextref78"/>
      <w:bookmarkEnd w:id="73"/>
      <w:r>
        <w:rPr>
          <w:rFonts w:ascii="Times New Roman" w:hAnsi="Times New Roman"/>
          <w:color w:val="000000"/>
          <w:sz w:val="24"/>
        </w:rPr>
        <w:t>1.704-2(c).</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Paired Voting Stock</w:t>
      </w:r>
      <w:r>
        <w:rPr>
          <w:rFonts w:ascii="Times New Roman" w:hAnsi="Times New Roman"/>
          <w:color w:val="000000"/>
          <w:sz w:val="20"/>
        </w:rPr>
        <w:t xml:space="preserve">” </w:t>
      </w:r>
      <w:r>
        <w:rPr>
          <w:rFonts w:ascii="Times New Roman" w:hAnsi="Times New Roman"/>
          <w:color w:val="000000"/>
          <w:sz w:val="24"/>
        </w:rPr>
        <w:t xml:space="preserve">means, with respect to Class A Common Units held by a Member other than PubCo (and other than Class A Common Units received in the Recapitalization in exchange for Common Units received in the Profits Interest Conversion (as defined in the Prior Agreement)), the shares of Class B Common Stock issued in exchange for the Class B Voting Units initially paired with such Class A Common Units, subject, as applicable, to adjustment pursuant to </w:t>
      </w:r>
      <w:r>
        <w:rPr>
          <w:rFonts w:ascii="Times New Roman" w:hAnsi="Times New Roman"/>
          <w:color w:val="000000"/>
          <w:sz w:val="24"/>
          <w:u w:val="single"/>
        </w:rPr>
        <w:t>Section 3.2(d)</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3.2(e)</w:t>
      </w:r>
      <w:r>
        <w:rPr>
          <w:rFonts w:ascii="Times New Roman" w:hAnsi="Times New Roman"/>
          <w:color w:val="000000"/>
          <w:sz w:val="20"/>
        </w:rPr>
        <w:t xml:space="preserve"> </w:t>
      </w:r>
      <w:r>
        <w:rPr>
          <w:rFonts w:ascii="Times New Roman" w:hAnsi="Times New Roman"/>
          <w:color w:val="000000"/>
          <w:sz w:val="24"/>
        </w:rPr>
        <w:t>and the certificate of incorporation (as amended from time to time) of PubCo.</w:t>
      </w:r>
    </w:p>
    <w:p>
      <w:pPr>
        <w:pStyle w:val="TextBody"/>
        <w:bidi w:val="0"/>
        <w:spacing w:before="0" w:after="240"/>
        <w:jc w:val="both"/>
        <w:rPr/>
      </w:pPr>
      <w:r>
        <w:rPr>
          <w:color w:val="000000"/>
        </w:rPr>
        <w:t>“</w:t>
      </w:r>
      <w:r>
        <w:rPr>
          <w:rFonts w:ascii="Times New Roman" w:hAnsi="Times New Roman"/>
          <w:b/>
          <w:color w:val="000000"/>
          <w:sz w:val="24"/>
        </w:rPr>
        <w:t>Participate</w:t>
      </w:r>
      <w:r>
        <w:rPr>
          <w:rFonts w:ascii="Times New Roman" w:hAnsi="Times New Roman"/>
          <w:color w:val="000000"/>
          <w:sz w:val="20"/>
        </w:rPr>
        <w:t xml:space="preserve">” </w:t>
      </w:r>
      <w:r>
        <w:rPr>
          <w:rFonts w:ascii="Times New Roman" w:hAnsi="Times New Roman"/>
          <w:color w:val="000000"/>
          <w:sz w:val="24"/>
        </w:rPr>
        <w:t>(and the correlative terms “</w:t>
      </w:r>
      <w:r>
        <w:rPr>
          <w:rFonts w:ascii="Times New Roman" w:hAnsi="Times New Roman"/>
          <w:b/>
          <w:color w:val="000000"/>
          <w:sz w:val="24"/>
        </w:rPr>
        <w:t>Participating</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Participation</w:t>
      </w:r>
      <w:r>
        <w:rPr>
          <w:rFonts w:ascii="Times New Roman" w:hAnsi="Times New Roman"/>
          <w:color w:val="000000"/>
          <w:sz w:val="20"/>
        </w:rPr>
        <w:t>”</w:t>
      </w:r>
      <w:r>
        <w:rPr>
          <w:rFonts w:ascii="Times New Roman" w:hAnsi="Times New Roman"/>
          <w:color w:val="000000"/>
          <w:sz w:val="24"/>
        </w:rPr>
        <w:t>) includes any direct or indirect ownership interest in any enterprise or participation in the management of such enterprise, whether as an officer, director, employee, partner, sole proprietor, agent, representative, independent contractor, consultant, executive, franchisor, franchisee, creditor, owner or otherwise.</w:t>
      </w:r>
    </w:p>
    <w:p>
      <w:pPr>
        <w:pStyle w:val="TextBody"/>
        <w:bidi w:val="0"/>
        <w:spacing w:before="0" w:after="240"/>
        <w:jc w:val="both"/>
        <w:rPr/>
      </w:pPr>
      <w:r>
        <w:rPr>
          <w:color w:val="000000"/>
        </w:rPr>
        <w:t>“</w:t>
      </w:r>
      <w:r>
        <w:rPr>
          <w:rFonts w:ascii="Times New Roman" w:hAnsi="Times New Roman"/>
          <w:b/>
          <w:color w:val="000000"/>
          <w:sz w:val="24"/>
        </w:rPr>
        <w:t>Participating Unit</w:t>
      </w:r>
      <w:r>
        <w:rPr>
          <w:rFonts w:ascii="Times New Roman" w:hAnsi="Times New Roman"/>
          <w:color w:val="000000"/>
          <w:sz w:val="20"/>
        </w:rPr>
        <w:t xml:space="preserve">” </w:t>
      </w:r>
      <w:r>
        <w:rPr>
          <w:rFonts w:ascii="Times New Roman" w:hAnsi="Times New Roman"/>
          <w:color w:val="000000"/>
          <w:sz w:val="24"/>
        </w:rPr>
        <w:t xml:space="preserve">means, with respect to any Distribution (or other allocation of proceeds) pursuant to </w:t>
      </w:r>
      <w:r>
        <w:rPr>
          <w:rFonts w:ascii="Times New Roman" w:hAnsi="Times New Roman"/>
          <w:color w:val="000000"/>
          <w:sz w:val="24"/>
          <w:u w:val="single"/>
        </w:rPr>
        <w:t>Section 4.1(b)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4.1(c)</w:t>
      </w:r>
      <w:r>
        <w:rPr>
          <w:rFonts w:ascii="Times New Roman" w:hAnsi="Times New Roman"/>
          <w:color w:val="000000"/>
          <w:sz w:val="20"/>
        </w:rPr>
        <w:t xml:space="preserve"> </w:t>
      </w:r>
      <w:r>
        <w:rPr>
          <w:rFonts w:ascii="Times New Roman" w:hAnsi="Times New Roman"/>
          <w:color w:val="000000"/>
          <w:sz w:val="24"/>
        </w:rPr>
        <w:t>hereof, any Class A Common Unit.</w:t>
      </w:r>
    </w:p>
    <w:p>
      <w:pPr>
        <w:pStyle w:val="TextBody"/>
        <w:bidi w:val="0"/>
        <w:spacing w:before="0" w:after="240"/>
        <w:jc w:val="both"/>
        <w:rPr/>
      </w:pPr>
      <w:r>
        <w:rPr>
          <w:color w:val="000000"/>
        </w:rPr>
        <w:t>“</w:t>
      </w:r>
      <w:r>
        <w:rPr>
          <w:rFonts w:ascii="Times New Roman" w:hAnsi="Times New Roman"/>
          <w:b/>
          <w:color w:val="000000"/>
          <w:sz w:val="24"/>
        </w:rPr>
        <w:t>Partnership Representative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8.3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Permitted Transferee</w:t>
      </w:r>
      <w:r>
        <w:rPr>
          <w:rFonts w:ascii="Times New Roman" w:hAnsi="Times New Roman"/>
          <w:color w:val="000000"/>
          <w:sz w:val="20"/>
        </w:rPr>
        <w:t xml:space="preserve">” </w:t>
      </w:r>
      <w:r>
        <w:rPr>
          <w:rFonts w:ascii="Times New Roman" w:hAnsi="Times New Roman"/>
          <w:color w:val="000000"/>
          <w:sz w:val="24"/>
        </w:rPr>
        <w:t>means any transferee in an Exempt Transfer pursuant to clause (i) of the definition thereof.</w:t>
      </w:r>
    </w:p>
    <w:p>
      <w:pPr>
        <w:pStyle w:val="TextBody"/>
        <w:bidi w:val="0"/>
        <w:spacing w:before="0" w:after="240"/>
        <w:jc w:val="both"/>
        <w:rPr/>
      </w:pPr>
      <w:r>
        <w:rPr>
          <w:color w:val="00000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means an individual or a corporation, partnership, limited liability company, trust, unincorporated organization, association or other entity.</w:t>
      </w:r>
    </w:p>
    <w:p>
      <w:pPr>
        <w:pStyle w:val="TextBody"/>
        <w:bidi w:val="0"/>
        <w:spacing w:before="0" w:after="240"/>
        <w:jc w:val="both"/>
        <w:rPr/>
      </w:pPr>
      <w:r>
        <w:rPr>
          <w:color w:val="000000"/>
        </w:rPr>
        <w:t>“</w:t>
      </w:r>
      <w:r>
        <w:rPr>
          <w:rFonts w:ascii="Times New Roman" w:hAnsi="Times New Roman"/>
          <w:b/>
          <w:color w:val="000000"/>
          <w:sz w:val="24"/>
        </w:rPr>
        <w:t>Piggyback Registration</w:t>
      </w:r>
      <w:r>
        <w:rPr>
          <w:rFonts w:ascii="Times New Roman" w:hAnsi="Times New Roman"/>
          <w:color w:val="000000"/>
          <w:sz w:val="20"/>
        </w:rPr>
        <w:t xml:space="preserve">” </w:t>
      </w:r>
      <w:r>
        <w:rPr>
          <w:rFonts w:ascii="Times New Roman" w:hAnsi="Times New Roman"/>
          <w:color w:val="000000"/>
          <w:sz w:val="24"/>
        </w:rPr>
        <w:t>is defined in the Registration Rights Agreement.</w:t>
      </w:r>
    </w:p>
    <w:p>
      <w:pPr>
        <w:pStyle w:val="TextBody"/>
        <w:bidi w:val="0"/>
        <w:spacing w:before="0" w:after="240"/>
        <w:jc w:val="both"/>
        <w:rPr/>
      </w:pPr>
      <w:r>
        <w:rPr>
          <w:color w:val="000000"/>
        </w:rPr>
        <w:t>“</w:t>
      </w:r>
      <w:r>
        <w:rPr>
          <w:rFonts w:ascii="Times New Roman" w:hAnsi="Times New Roman"/>
          <w:b/>
          <w:color w:val="000000"/>
          <w:sz w:val="24"/>
        </w:rPr>
        <w:t>Profits Interests</w:t>
      </w:r>
      <w:r>
        <w:rPr>
          <w:rFonts w:ascii="Times New Roman" w:hAnsi="Times New Roman"/>
          <w:color w:val="000000"/>
          <w:sz w:val="20"/>
        </w:rPr>
        <w:t xml:space="preserve">” </w:t>
      </w:r>
      <w:r>
        <w:rPr>
          <w:rFonts w:ascii="Times New Roman" w:hAnsi="Times New Roman"/>
          <w:color w:val="000000"/>
          <w:sz w:val="24"/>
        </w:rPr>
        <w:t>shall mean all of the issued and outstanding Profits Interests, as defined in the Prior Agreement, as of immediately prior to the IPO Effective Time.</w:t>
      </w:r>
    </w:p>
    <w:p>
      <w:pPr>
        <w:pStyle w:val="TextBody"/>
        <w:bidi w:val="0"/>
        <w:spacing w:before="0" w:after="240"/>
        <w:jc w:val="both"/>
        <w:rPr/>
      </w:pPr>
      <w:r>
        <w:rPr>
          <w:color w:val="000000"/>
        </w:rPr>
        <w:t>“</w:t>
      </w:r>
      <w:r>
        <w:rPr>
          <w:rFonts w:ascii="Times New Roman" w:hAnsi="Times New Roman"/>
          <w:b/>
          <w:color w:val="000000"/>
          <w:sz w:val="24"/>
        </w:rPr>
        <w:t>Prior Agreement</w:t>
      </w:r>
      <w:r>
        <w:rPr>
          <w:rFonts w:ascii="Times New Roman" w:hAnsi="Times New Roman"/>
          <w:color w:val="000000"/>
          <w:sz w:val="20"/>
        </w:rPr>
        <w:t xml:space="preserve">” </w:t>
      </w:r>
      <w:r>
        <w:rPr>
          <w:rFonts w:ascii="Times New Roman" w:hAnsi="Times New Roman"/>
          <w:color w:val="000000"/>
          <w:sz w:val="24"/>
        </w:rPr>
        <w:t>has the meaning set forth in the Recitals.</w:t>
      </w:r>
    </w:p>
    <w:p>
      <w:pPr>
        <w:pStyle w:val="TextBody"/>
        <w:bidi w:val="0"/>
        <w:spacing w:before="0" w:after="240"/>
        <w:jc w:val="both"/>
        <w:rPr/>
      </w:pPr>
      <w:r>
        <w:rPr>
          <w:color w:val="000000"/>
        </w:rPr>
        <w:t>“</w:t>
      </w:r>
      <w:r>
        <w:rPr>
          <w:rFonts w:ascii="Times New Roman" w:hAnsi="Times New Roman"/>
          <w:b/>
          <w:color w:val="000000"/>
          <w:sz w:val="24"/>
        </w:rPr>
        <w:t>Profits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Losses</w:t>
      </w:r>
      <w:r>
        <w:rPr>
          <w:rFonts w:ascii="Times New Roman" w:hAnsi="Times New Roman"/>
          <w:color w:val="000000"/>
          <w:sz w:val="20"/>
        </w:rPr>
        <w:t xml:space="preserve">” </w:t>
      </w:r>
      <w:r>
        <w:rPr>
          <w:rFonts w:ascii="Times New Roman" w:hAnsi="Times New Roman"/>
          <w:color w:val="000000"/>
          <w:sz w:val="24"/>
        </w:rPr>
        <w:t xml:space="preserve">means items of Company income and gain or loss and deduction for an applicable tax accounting period determined for purposes of maintaining the Capital Account of each Member under </w:t>
      </w:r>
      <w:r>
        <w:rPr>
          <w:rFonts w:ascii="Times New Roman" w:hAnsi="Times New Roman"/>
          <w:color w:val="000000"/>
          <w:sz w:val="24"/>
          <w:u w:val="single"/>
        </w:rPr>
        <w:t>Section 3.3</w:t>
      </w:r>
      <w:r>
        <w:rPr>
          <w:rFonts w:ascii="Times New Roman" w:hAnsi="Times New Roman"/>
          <w:color w:val="000000"/>
          <w:sz w:val="20"/>
        </w:rPr>
        <w:t xml:space="preserve"> </w:t>
      </w:r>
      <w:r>
        <w:rPr>
          <w:rFonts w:ascii="Times New Roman" w:hAnsi="Times New Roman"/>
          <w:color w:val="000000"/>
          <w:sz w:val="24"/>
        </w:rPr>
        <w:t>and in accordance with Section 704(b) of the Code and the Treasury Regulations promulgated thereunder.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PubCo</w:t>
      </w:r>
      <w:r>
        <w:rPr>
          <w:rFonts w:ascii="Times New Roman" w:hAnsi="Times New Roman"/>
          <w:color w:val="000000"/>
          <w:sz w:val="20"/>
        </w:rPr>
        <w:t xml:space="preserve">” </w:t>
      </w:r>
      <w:r>
        <w:rPr>
          <w:rFonts w:ascii="Times New Roman" w:hAnsi="Times New Roman"/>
          <w:color w:val="000000"/>
          <w:sz w:val="24"/>
        </w:rPr>
        <w:t>means Rani Therapeutics Holdings, Inc., a corporation incorporated under the laws of the State of Delaware, and its successors.</w:t>
      </w:r>
    </w:p>
    <w:p>
      <w:pPr>
        <w:pStyle w:val="TextBody"/>
        <w:bidi w:val="0"/>
        <w:spacing w:before="0" w:after="240"/>
        <w:jc w:val="both"/>
        <w:rPr/>
      </w:pPr>
      <w:r>
        <w:rPr>
          <w:color w:val="000000"/>
        </w:rPr>
        <w:t>“</w:t>
      </w:r>
      <w:r>
        <w:rPr>
          <w:rFonts w:ascii="Times New Roman" w:hAnsi="Times New Roman"/>
          <w:b/>
          <w:color w:val="000000"/>
          <w:sz w:val="24"/>
        </w:rPr>
        <w:t>PubCo Offer</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3.2(c)(ii).</w:t>
      </w:r>
    </w:p>
    <w:p>
      <w:pPr>
        <w:pStyle w:val="TextBody"/>
        <w:bidi w:val="0"/>
        <w:spacing w:before="0" w:after="240"/>
        <w:jc w:val="both"/>
        <w:rPr/>
      </w:pPr>
      <w:r>
        <w:rPr>
          <w:color w:val="000000"/>
        </w:rPr>
        <w:t>“</w:t>
      </w:r>
      <w:r>
        <w:rPr>
          <w:rFonts w:ascii="Times New Roman" w:hAnsi="Times New Roman"/>
          <w:b/>
          <w:color w:val="000000"/>
          <w:sz w:val="24"/>
        </w:rPr>
        <w:t>Registration Rights Agreement</w:t>
      </w:r>
      <w:r>
        <w:rPr>
          <w:rFonts w:ascii="Times New Roman" w:hAnsi="Times New Roman"/>
          <w:color w:val="000000"/>
          <w:sz w:val="20"/>
        </w:rPr>
        <w:t xml:space="preserve">” </w:t>
      </w:r>
      <w:r>
        <w:rPr>
          <w:rFonts w:ascii="Times New Roman" w:hAnsi="Times New Roman"/>
          <w:color w:val="000000"/>
          <w:sz w:val="24"/>
        </w:rPr>
        <w:t>means the Registration Rights Agreement, dated as of the date hereof, by and among PubCo, certain of the Members and the other parties thereto (together with any other parties that become a party thereto from time to time upon execution of a joinder in accordance with the terms thereof by any successor or assign to any party to such Registration Rights Agreement).</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Registration Statement</w:t>
      </w:r>
      <w:r>
        <w:rPr>
          <w:rFonts w:ascii="Times New Roman" w:hAnsi="Times New Roman"/>
          <w:color w:val="000000"/>
          <w:sz w:val="20"/>
        </w:rPr>
        <w:t xml:space="preserve">” </w:t>
      </w:r>
      <w:r>
        <w:rPr>
          <w:rFonts w:ascii="Times New Roman" w:hAnsi="Times New Roman"/>
          <w:color w:val="000000"/>
          <w:sz w:val="24"/>
        </w:rPr>
        <w:t>means any registration statement that PubCo is required to file pursuant to the Registration Rights Agreement.</w:t>
      </w:r>
    </w:p>
    <w:p>
      <w:pPr>
        <w:pStyle w:val="TextBody"/>
        <w:bidi w:val="0"/>
        <w:spacing w:before="0" w:after="240"/>
        <w:jc w:val="both"/>
        <w:rPr/>
      </w:pPr>
      <w:r>
        <w:rPr>
          <w:color w:val="000000"/>
        </w:rPr>
        <w:t>“</w:t>
      </w:r>
      <w:r>
        <w:rPr>
          <w:rFonts w:ascii="Times New Roman" w:hAnsi="Times New Roman"/>
          <w:b/>
          <w:color w:val="000000"/>
          <w:sz w:val="24"/>
        </w:rPr>
        <w:t>Securities Act</w:t>
      </w:r>
      <w:r>
        <w:rPr>
          <w:rFonts w:ascii="Times New Roman" w:hAnsi="Times New Roman"/>
          <w:color w:val="000000"/>
          <w:sz w:val="20"/>
        </w:rPr>
        <w:t xml:space="preserve">” </w:t>
      </w:r>
      <w:r>
        <w:rPr>
          <w:rFonts w:ascii="Times New Roman" w:hAnsi="Times New Roman"/>
          <w:color w:val="000000"/>
          <w:sz w:val="24"/>
        </w:rPr>
        <w:t>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pStyle w:val="TextBody"/>
        <w:bidi w:val="0"/>
        <w:spacing w:before="0" w:after="240"/>
        <w:jc w:val="both"/>
        <w:rPr/>
      </w:pPr>
      <w:r>
        <w:rPr>
          <w:color w:val="000000"/>
        </w:rPr>
        <w:t>“</w:t>
      </w:r>
      <w:r>
        <w:rPr>
          <w:rFonts w:ascii="Times New Roman" w:hAnsi="Times New Roman"/>
          <w:b/>
          <w:color w:val="000000"/>
          <w:sz w:val="24"/>
        </w:rPr>
        <w:t>Securities and Exchange Commission</w:t>
      </w:r>
      <w:r>
        <w:rPr>
          <w:rFonts w:ascii="Times New Roman" w:hAnsi="Times New Roman"/>
          <w:color w:val="000000"/>
          <w:sz w:val="20"/>
        </w:rPr>
        <w:t xml:space="preserve">” </w:t>
      </w:r>
      <w:r>
        <w:rPr>
          <w:rFonts w:ascii="Times New Roman" w:hAnsi="Times New Roman"/>
          <w:color w:val="000000"/>
          <w:sz w:val="24"/>
        </w:rPr>
        <w:t>means the United States Securities and Exchange Commission, including any governmental body or agency succeeding to the functions thereof.</w:t>
      </w:r>
    </w:p>
    <w:p>
      <w:pPr>
        <w:pStyle w:val="TextBody"/>
        <w:bidi w:val="0"/>
        <w:spacing w:before="0" w:after="240"/>
        <w:jc w:val="both"/>
        <w:rPr/>
      </w:pPr>
      <w:r>
        <w:rPr>
          <w:color w:val="000000"/>
        </w:rPr>
        <w:t>“</w:t>
      </w:r>
      <w:r>
        <w:rPr>
          <w:rFonts w:ascii="Times New Roman" w:hAnsi="Times New Roman"/>
          <w:b/>
          <w:color w:val="000000"/>
          <w:sz w:val="24"/>
        </w:rPr>
        <w:t>Similar Law</w:t>
      </w:r>
      <w:r>
        <w:rPr>
          <w:rFonts w:ascii="Times New Roman" w:hAnsi="Times New Roman"/>
          <w:color w:val="000000"/>
          <w:sz w:val="20"/>
        </w:rPr>
        <w:t xml:space="preserve">” </w:t>
      </w:r>
      <w:r>
        <w:rPr>
          <w:rFonts w:ascii="Times New Roman" w:hAnsi="Times New Roman"/>
          <w:color w:val="000000"/>
          <w:sz w:val="24"/>
        </w:rPr>
        <w:t>means any law or regulation that could cause the underlying assets of the Company to be treated as assets of the Member by virtue of its limited liability company interest in the Company and thereby subject the Company and the Managing Member (or other Persons responsible for the investment and operation of the Company’s assets) to laws or regulations that are similar to the fiduciary responsibility or prohibited transaction provisions contained in Title I of ERISA or Section 4975 of the Code.</w:t>
      </w:r>
    </w:p>
    <w:p>
      <w:pPr>
        <w:pStyle w:val="TextBody"/>
        <w:bidi w:val="0"/>
        <w:spacing w:before="0" w:after="240"/>
        <w:jc w:val="both"/>
        <w:rPr/>
      </w:pPr>
      <w:r>
        <w:rPr>
          <w:color w:val="000000"/>
        </w:rPr>
        <w:t>“</w:t>
      </w:r>
      <w:r>
        <w:rPr>
          <w:rFonts w:ascii="Times New Roman" w:hAnsi="Times New Roman"/>
          <w:b/>
          <w:color w:val="000000"/>
          <w:sz w:val="24"/>
        </w:rPr>
        <w:t>Stock Exchange Payment</w:t>
      </w:r>
      <w:r>
        <w:rPr>
          <w:rFonts w:ascii="Times New Roman" w:hAnsi="Times New Roman"/>
          <w:color w:val="000000"/>
          <w:sz w:val="20"/>
        </w:rPr>
        <w:t xml:space="preserve">” </w:t>
      </w:r>
      <w:r>
        <w:rPr>
          <w:rFonts w:ascii="Times New Roman" w:hAnsi="Times New Roman"/>
          <w:color w:val="000000"/>
          <w:sz w:val="24"/>
        </w:rPr>
        <w:t>means, with respect to any Exchange for which a Cash Exchange Notice is not in effect, a number of shares of Class A Common Stock equal to the number of Class A Common Units subject to such Exchange.</w:t>
      </w:r>
    </w:p>
    <w:p>
      <w:pPr>
        <w:pStyle w:val="TextBody"/>
        <w:bidi w:val="0"/>
        <w:spacing w:before="0" w:after="240"/>
        <w:jc w:val="both"/>
        <w:rPr/>
      </w:pPr>
      <w:bookmarkStart w:id="74" w:name="docxtextref96"/>
      <w:bookmarkEnd w:id="74"/>
      <w:r>
        <w:rPr>
          <w:color w:val="000000"/>
        </w:rPr>
        <w:t>“</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means, with respect to any Person, any corporation, limited liability company, partnership, association or business entity of which (i)</w:t>
      </w:r>
      <w:r>
        <w:rPr>
          <w:rFonts w:ascii="Times New Roman" w:hAnsi="Times New Roman"/>
          <w:color w:val="000000"/>
          <w:sz w:val="20"/>
        </w:rPr>
        <w:t xml:space="preserve"> </w:t>
      </w:r>
      <w:r>
        <w:rPr>
          <w:rFonts w:ascii="Times New Roman" w:hAnsi="Times New Roman"/>
          <w:color w:val="000000"/>
          <w:sz w:val="24"/>
        </w:rPr>
        <w:t>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manager, managing director or general partner of such limited liability company, partnership, association or other business entity. For purposes hereof, references to a “Subsidiary” of the Company shall be given effect only at such times that the Company has one or more Subsidiaries, and, unless otherwise indicated, the term “Subsidiary” refers to a Subsidiary of the Company.</w:t>
      </w:r>
    </w:p>
    <w:p>
      <w:pPr>
        <w:pStyle w:val="TextBody"/>
        <w:bidi w:val="0"/>
        <w:spacing w:before="0" w:after="240"/>
        <w:jc w:val="both"/>
        <w:rPr/>
      </w:pPr>
      <w:r>
        <w:rPr>
          <w:color w:val="000000"/>
        </w:rPr>
        <w:t>“</w:t>
      </w:r>
      <w:r>
        <w:rPr>
          <w:rFonts w:ascii="Times New Roman" w:hAnsi="Times New Roman"/>
          <w:b/>
          <w:color w:val="000000"/>
          <w:sz w:val="24"/>
        </w:rPr>
        <w:t>Substituted Member</w:t>
      </w:r>
      <w:r>
        <w:rPr>
          <w:rFonts w:ascii="Times New Roman" w:hAnsi="Times New Roman"/>
          <w:color w:val="000000"/>
          <w:sz w:val="20"/>
        </w:rPr>
        <w:t xml:space="preserve">” </w:t>
      </w:r>
      <w:r>
        <w:rPr>
          <w:rFonts w:ascii="Times New Roman" w:hAnsi="Times New Roman"/>
          <w:color w:val="000000"/>
          <w:sz w:val="24"/>
        </w:rPr>
        <w:t xml:space="preserve">means a Person that is admitted as a Member to the Company pursuant to </w:t>
      </w:r>
      <w:r>
        <w:rPr>
          <w:rFonts w:ascii="Times New Roman" w:hAnsi="Times New Roman"/>
          <w:color w:val="000000"/>
          <w:sz w:val="24"/>
          <w:u w:val="single"/>
        </w:rPr>
        <w:t>Section 10.1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Tax Distributions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4.1(c)</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Tax Estimation Period</w:t>
      </w:r>
      <w:r>
        <w:rPr>
          <w:rFonts w:ascii="Times New Roman" w:hAnsi="Times New Roman"/>
          <w:color w:val="000000"/>
          <w:sz w:val="20"/>
        </w:rPr>
        <w:t xml:space="preserve">” </w:t>
      </w:r>
      <w:r>
        <w:rPr>
          <w:rFonts w:ascii="Times New Roman" w:hAnsi="Times New Roman"/>
          <w:color w:val="000000"/>
          <w:sz w:val="24"/>
        </w:rPr>
        <w:t>means each period from January 1 through March 31, from April 1 through May 31, from June 1 through August 31, and from September 1 through December 31 of each Taxable Year.</w:t>
      </w:r>
    </w:p>
    <w:p>
      <w:pPr>
        <w:pStyle w:val="TextBody"/>
        <w:bidi w:val="0"/>
        <w:spacing w:before="0" w:after="240"/>
        <w:jc w:val="both"/>
        <w:rPr/>
      </w:pPr>
      <w:r>
        <w:rPr>
          <w:color w:val="000000"/>
        </w:rPr>
        <w:t>“</w:t>
      </w:r>
      <w:r>
        <w:rPr>
          <w:rFonts w:ascii="Times New Roman" w:hAnsi="Times New Roman"/>
          <w:b/>
          <w:color w:val="000000"/>
          <w:sz w:val="24"/>
        </w:rPr>
        <w:t>Tax Matters Member</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8.3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Taxable Year</w:t>
      </w:r>
      <w:r>
        <w:rPr>
          <w:rFonts w:ascii="Times New Roman" w:hAnsi="Times New Roman"/>
          <w:color w:val="000000"/>
          <w:sz w:val="20"/>
        </w:rPr>
        <w:t xml:space="preserve">” </w:t>
      </w:r>
      <w:r>
        <w:rPr>
          <w:rFonts w:ascii="Times New Roman" w:hAnsi="Times New Roman"/>
          <w:color w:val="000000"/>
          <w:sz w:val="24"/>
        </w:rPr>
        <w:t xml:space="preserve">means the Company’s accounting period for federal income tax purposes determined pursuant to </w:t>
      </w:r>
      <w:r>
        <w:rPr>
          <w:rFonts w:ascii="Times New Roman" w:hAnsi="Times New Roman"/>
          <w:color w:val="000000"/>
          <w:sz w:val="24"/>
          <w:u w:val="single"/>
        </w:rPr>
        <w:t>Section 8.2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Trading Day</w:t>
      </w:r>
      <w:r>
        <w:rPr>
          <w:rFonts w:ascii="Times New Roman" w:hAnsi="Times New Roman"/>
          <w:color w:val="000000"/>
          <w:sz w:val="20"/>
        </w:rPr>
        <w:t xml:space="preserve">” </w:t>
      </w:r>
      <w:r>
        <w:rPr>
          <w:rFonts w:ascii="Times New Roman" w:hAnsi="Times New Roman"/>
          <w:color w:val="000000"/>
          <w:sz w:val="24"/>
        </w:rPr>
        <w:t>means a day on which the Nasdaq Stock Market or such other principal United States securities exchange on which the Class A Common Stock is listed, quoted or admitted to trading and is open for the transaction of business (unless such trading shall have been suspended for the entire day).</w:t>
      </w:r>
    </w:p>
    <w:p>
      <w:pPr>
        <w:pStyle w:val="TextBody"/>
        <w:bidi w:val="0"/>
        <w:spacing w:before="0" w:after="240"/>
        <w:jc w:val="both"/>
        <w:rPr/>
      </w:pPr>
      <w:r>
        <w:rPr>
          <w:color w:val="000000"/>
        </w:rPr>
        <w:t>“</w:t>
      </w:r>
      <w:r>
        <w:rPr>
          <w:rFonts w:ascii="Times New Roman" w:hAnsi="Times New Roman"/>
          <w:b/>
          <w:color w:val="000000"/>
          <w:sz w:val="24"/>
        </w:rPr>
        <w:t>Transfer</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9.1(a)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Transferor’s Owner</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9.1(c)(i)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Treasury Regulations</w:t>
      </w:r>
      <w:r>
        <w:rPr>
          <w:rFonts w:ascii="Times New Roman" w:hAnsi="Times New Roman"/>
          <w:color w:val="000000"/>
          <w:sz w:val="20"/>
        </w:rPr>
        <w:t xml:space="preserve">” </w:t>
      </w:r>
      <w:r>
        <w:rPr>
          <w:rFonts w:ascii="Times New Roman" w:hAnsi="Times New Roman"/>
          <w:color w:val="000000"/>
          <w:sz w:val="24"/>
        </w:rPr>
        <w:t>means the income tax regulations promulgated under the Code, as amended.</w:t>
      </w:r>
    </w:p>
    <w:p>
      <w:pPr>
        <w:pStyle w:val="TextBody"/>
        <w:bidi w:val="0"/>
        <w:spacing w:before="0" w:after="240"/>
        <w:jc w:val="both"/>
        <w:rPr/>
      </w:pPr>
      <w:r>
        <w:rPr>
          <w:color w:val="000000"/>
        </w:rPr>
        <w:t>“</w:t>
      </w:r>
      <w:r>
        <w:rPr>
          <w:rFonts w:ascii="Times New Roman" w:hAnsi="Times New Roman"/>
          <w:b/>
          <w:color w:val="000000"/>
          <w:sz w:val="24"/>
        </w:rPr>
        <w:t>Units</w:t>
      </w:r>
      <w:r>
        <w:rPr>
          <w:rFonts w:ascii="Times New Roman" w:hAnsi="Times New Roman"/>
          <w:color w:val="000000"/>
          <w:sz w:val="20"/>
        </w:rPr>
        <w:t xml:space="preserve">” </w:t>
      </w:r>
      <w:r>
        <w:rPr>
          <w:rFonts w:ascii="Times New Roman" w:hAnsi="Times New Roman"/>
          <w:color w:val="000000"/>
          <w:sz w:val="24"/>
        </w:rPr>
        <w:t>means, collectively, the Class A Common Units, the Class B Voting Units and such other units of the Company as may be authorized, designated or issued, as determined by the Managing Member from time to time after the date hereof.</w:t>
      </w:r>
    </w:p>
    <w:p>
      <w:pPr>
        <w:pStyle w:val="TextBody"/>
        <w:bidi w:val="0"/>
        <w:spacing w:before="0" w:after="240"/>
        <w:jc w:val="both"/>
        <w:rPr/>
      </w:pPr>
      <w:r>
        <w:rPr>
          <w:color w:val="000000"/>
        </w:rPr>
        <w:t>“</w:t>
      </w:r>
      <w:r>
        <w:rPr>
          <w:rFonts w:ascii="Times New Roman" w:hAnsi="Times New Roman"/>
          <w:b/>
          <w:color w:val="000000"/>
          <w:sz w:val="24"/>
        </w:rPr>
        <w:t>Unvested Class A Common Stock</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3.1(b)(iv)</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Unvested Class A Common Units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3.1(b)(ii).</w:t>
      </w:r>
    </w:p>
    <w:p>
      <w:pPr>
        <w:pStyle w:val="TextBody"/>
        <w:bidi w:val="0"/>
        <w:spacing w:before="0" w:after="240"/>
        <w:jc w:val="both"/>
        <w:rPr/>
      </w:pPr>
      <w:r>
        <w:rPr>
          <w:color w:val="000000"/>
        </w:rPr>
        <w:t>“</w:t>
      </w:r>
      <w:r>
        <w:rPr>
          <w:rFonts w:ascii="Times New Roman" w:hAnsi="Times New Roman"/>
          <w:b/>
          <w:color w:val="000000"/>
          <w:sz w:val="24"/>
        </w:rPr>
        <w:t>VWAP</w:t>
      </w:r>
      <w:r>
        <w:rPr>
          <w:rFonts w:ascii="Times New Roman" w:hAnsi="Times New Roman"/>
          <w:color w:val="000000"/>
          <w:sz w:val="20"/>
        </w:rPr>
        <w:t xml:space="preserve">” </w:t>
      </w:r>
      <w:r>
        <w:rPr>
          <w:rFonts w:ascii="Times New Roman" w:hAnsi="Times New Roman"/>
          <w:color w:val="000000"/>
          <w:sz w:val="24"/>
        </w:rPr>
        <w:t xml:space="preserve">means the daily per share volume-weighted average price of the Class A Common Stock on the Nasdaq Stock Market or such other principal United States securities exchange on which the shares of Class A Common Stock are listed, quoted or admitted to trading, as displayed under the heading Bloomberg VWAP on the Bloomberg page designated for the Class A Common Stock (or the equivalent successor if such page is not available) in respect of the period from the open of trading on such Trading Day until the close of trading on such Trading Day (or if such volume-weighted average price is unavailable, (a) the per share volume-weighted average price of a share of Class A Common Stock on such Trading Day (determined without regard to afterhours trading or any other trading outside the regular trading session or trading hours), or (b) if such determination is not feasible, the market price per share of Class A Common Stock as determined by a nationally recognized independent investment banking firm retained in good faith for this purpose by PubCo); </w:t>
      </w:r>
      <w:r>
        <w:rPr>
          <w:rFonts w:ascii="Times New Roman" w:hAnsi="Times New Roman"/>
          <w:i/>
          <w:color w:val="000000"/>
          <w:sz w:val="24"/>
        </w:rPr>
        <w:t>provided</w:t>
      </w:r>
      <w:r>
        <w:rPr>
          <w:rFonts w:ascii="Times New Roman" w:hAnsi="Times New Roman"/>
          <w:color w:val="000000"/>
          <w:sz w:val="24"/>
        </w:rPr>
        <w:t>, however, that if at any time for purposes of the Class A 3-Day VWAP shares of Class A Common Stock are not then listed, quoted or traded on a principal United States securities exchange or automated or electronic quotation system, then the VWAP shall mean the per share Appraiser FMV of one (1) share of Class A Common Stock (or such other Equity Security into which the Class A Common Stock was converted or exchanged).</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II</w:t>
      </w:r>
      <w:r>
        <w:rPr>
          <w:rFonts w:ascii="Times New Roman" w:hAnsi="Times New Roman"/>
          <w:b/>
          <w:color w:val="000000"/>
          <w:sz w:val="24"/>
        </w:rPr>
        <w:br/>
        <w:br/>
        <w:t>ORGANIZATIONAL MATTERS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Formation of Company</w:t>
      </w:r>
      <w:r>
        <w:rPr>
          <w:rFonts w:ascii="Times New Roman" w:hAnsi="Times New Roman"/>
          <w:color w:val="000000"/>
          <w:sz w:val="24"/>
        </w:rPr>
        <w:t>. The Company was formed on February 21, 2012, in accordance with the laws of the State of California.</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Limited Liability Company Agreement</w:t>
      </w:r>
      <w:r>
        <w:rPr>
          <w:rFonts w:ascii="Times New Roman" w:hAnsi="Times New Roman"/>
          <w:color w:val="000000"/>
          <w:sz w:val="24"/>
        </w:rPr>
        <w:t xml:space="preserve">. The Members hereby execute this Agreement for the purpose of establishing the affairs of the Company and the conduct of its business in accordance with the provisions of the California Act. This Agreement amends and restates the Prior Agreement in its entirety and shall constitute the “operating agreement” (as that term is used in the California Act) of the Company effective as of the Effective Time. The Members hereby agree that during the term of the Company set forth in </w:t>
      </w:r>
      <w:r>
        <w:rPr>
          <w:rFonts w:ascii="Times New Roman" w:hAnsi="Times New Roman"/>
          <w:color w:val="000000"/>
          <w:sz w:val="24"/>
          <w:u w:val="single"/>
        </w:rPr>
        <w:t>Section 2.7</w:t>
      </w:r>
      <w:r>
        <w:rPr>
          <w:rFonts w:ascii="Times New Roman" w:hAnsi="Times New Roman"/>
          <w:color w:val="000000"/>
          <w:sz w:val="20"/>
        </w:rPr>
        <w:t xml:space="preserve"> </w:t>
      </w:r>
      <w:r>
        <w:rPr>
          <w:rFonts w:ascii="Times New Roman" w:hAnsi="Times New Roman"/>
          <w:color w:val="000000"/>
          <w:sz w:val="24"/>
        </w:rPr>
        <w:t xml:space="preserve">the rights and obligations of the Members with respect to the Company will be determined in accordance with the terms and conditions of this Agreement and the California Act. On any matter upon which this Agreement is silent, the California Act shall control. No provision of this Agreement shall be in violation of the California Act and to the extent any provision of this Agreement is in violation of the California Act, such provision shall be void and of no effect to the extent of such violation without affecting the validity of the other provisions of this Agreement;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where the California Act provides that a provision of the California Act shall apply “unless otherwise provided in an operating agreement” or words of similar effect, the provisions of this Agreement shall in each instance control.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2.3 </w:t>
      </w:r>
      <w:r>
        <w:rPr>
          <w:rFonts w:ascii="Times New Roman" w:hAnsi="Times New Roman"/>
          <w:color w:val="000000"/>
          <w:sz w:val="24"/>
          <w:u w:val="single"/>
        </w:rPr>
        <w:t>Name</w:t>
      </w:r>
      <w:r>
        <w:rPr>
          <w:rFonts w:ascii="Times New Roman" w:hAnsi="Times New Roman"/>
          <w:color w:val="000000"/>
          <w:sz w:val="24"/>
        </w:rPr>
        <w:t>. The name of the Company shall be “Rani Therapeutics, LLC”. The Managing Member in its sole discretion may change the name of the Company at any time and from time to time in accordance with the California Act. Notification of any such change shall be given to all of the Members. The Company’s business may be conducted under its name and/or any other name or names deemed advisable by the Managing Member.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2.4 </w:t>
      </w:r>
      <w:r>
        <w:rPr>
          <w:rFonts w:ascii="Times New Roman" w:hAnsi="Times New Roman"/>
          <w:color w:val="000000"/>
          <w:sz w:val="24"/>
          <w:u w:val="single"/>
        </w:rPr>
        <w:t>Purpose</w:t>
      </w:r>
      <w:r>
        <w:rPr>
          <w:rFonts w:ascii="Times New Roman" w:hAnsi="Times New Roman"/>
          <w:color w:val="000000"/>
          <w:sz w:val="24"/>
        </w:rPr>
        <w:t>. The purpose and business of the Company shall be any business which may lawfully be conducted by a limited liability company formed pursuant to the California Act.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 </w:t>
      </w:r>
      <w:r>
        <w:rPr>
          <w:rFonts w:ascii="Times New Roman" w:hAnsi="Times New Roman"/>
          <w:color w:val="000000"/>
          <w:sz w:val="24"/>
          <w:u w:val="single"/>
        </w:rPr>
        <w:t>Powers</w:t>
      </w:r>
      <w:r>
        <w:rPr>
          <w:rFonts w:ascii="Times New Roman" w:hAnsi="Times New Roman"/>
          <w:color w:val="000000"/>
          <w:sz w:val="24"/>
        </w:rPr>
        <w:t>. The powers of the Company shall be all powers necessary or convenient to carry out the purposes for which it is organized, including the powers granted by the California Act.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2.6 </w:t>
      </w:r>
      <w:r>
        <w:rPr>
          <w:rFonts w:ascii="Times New Roman" w:hAnsi="Times New Roman"/>
          <w:color w:val="000000"/>
          <w:sz w:val="24"/>
          <w:u w:val="single"/>
        </w:rPr>
        <w:t>Principal Office; Registered Office</w:t>
      </w:r>
      <w:r>
        <w:rPr>
          <w:rFonts w:ascii="Times New Roman" w:hAnsi="Times New Roman"/>
          <w:color w:val="000000"/>
          <w:sz w:val="24"/>
        </w:rPr>
        <w:t>. The principal office of the Company shall be such place as the Managing Member may from time to time designate. The Company may maintain offices at such other place or places as the Managing Member deems advisable. Notification of any such change shall be given to all of the Members. The address of the registered office of the Company in the State of California shall be 330 N Brand Blvd, STE 700, Glendale, CA 91203, and the registered agent for service of process on the Company in the State of California at such registered office shall be C T Corporation System.</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2.7 </w:t>
      </w:r>
      <w:r>
        <w:rPr>
          <w:rFonts w:ascii="Times New Roman" w:hAnsi="Times New Roman"/>
          <w:color w:val="000000"/>
          <w:sz w:val="24"/>
          <w:u w:val="single"/>
        </w:rPr>
        <w:t>Term</w:t>
      </w:r>
      <w:r>
        <w:rPr>
          <w:rFonts w:ascii="Times New Roman" w:hAnsi="Times New Roman"/>
          <w:color w:val="000000"/>
          <w:sz w:val="24"/>
        </w:rPr>
        <w:t>. The term of the Company commenced upon the filing of the Articles in accordance with the California Act and shall continue in existence until dissolution thereof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accordance with the provisions of </w:t>
      </w:r>
      <w:r>
        <w:rPr>
          <w:rFonts w:ascii="Times New Roman" w:hAnsi="Times New Roman"/>
          <w:color w:val="000000"/>
          <w:sz w:val="24"/>
          <w:u w:val="single"/>
        </w:rPr>
        <w:t>Article XIII</w:t>
      </w:r>
      <w:r>
        <w:rPr>
          <w:rFonts w:ascii="Times New Roman" w:hAnsi="Times New Roman"/>
          <w:color w:val="000000"/>
          <w:sz w:val="24"/>
        </w:rPr>
        <w:t>. The existence of the Company as a separate legal entity shall continue until cancellation of the Articles as provided in the California Act.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2.8 </w:t>
      </w:r>
      <w:r>
        <w:rPr>
          <w:rFonts w:ascii="Times New Roman" w:hAnsi="Times New Roman"/>
          <w:color w:val="000000"/>
          <w:sz w:val="24"/>
          <w:u w:val="single"/>
        </w:rPr>
        <w:t>No State-Law Partnership</w:t>
      </w:r>
      <w:r>
        <w:rPr>
          <w:rFonts w:ascii="Times New Roman" w:hAnsi="Times New Roman"/>
          <w:color w:val="000000"/>
          <w:sz w:val="24"/>
        </w:rPr>
        <w:t xml:space="preserve">. The Members intend that the Company not be a partnership (including, without limitation, a limited partnership) or joint venture, and that no Member be a partner or joint venturer of any other Member by virtue of this Agreement, for any purposes other than as set forth in </w:t>
      </w:r>
      <w:r>
        <w:rPr>
          <w:rFonts w:ascii="Times New Roman" w:hAnsi="Times New Roman"/>
          <w:color w:val="000000"/>
          <w:sz w:val="24"/>
          <w:u w:val="single"/>
        </w:rPr>
        <w:t>Section 2.9</w:t>
      </w:r>
      <w:r>
        <w:rPr>
          <w:rFonts w:ascii="Times New Roman" w:hAnsi="Times New Roman"/>
          <w:color w:val="000000"/>
          <w:sz w:val="24"/>
        </w:rPr>
        <w:t>, and neither this Agreement nor any other document entered into by the Company or any Member relating to the subject matter hereof shall be construed to suggest otherwise.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2.9 </w:t>
      </w:r>
      <w:r>
        <w:rPr>
          <w:rFonts w:ascii="Times New Roman" w:hAnsi="Times New Roman"/>
          <w:color w:val="000000"/>
          <w:sz w:val="24"/>
          <w:u w:val="single"/>
        </w:rPr>
        <w:t>Tax Treatment</w:t>
      </w:r>
      <w:r>
        <w:rPr>
          <w:rFonts w:ascii="Times New Roman" w:hAnsi="Times New Roman"/>
          <w:color w:val="000000"/>
          <w:sz w:val="24"/>
        </w:rPr>
        <w:t>. The Members intend that the Company shall be treated as a partnership for federal and applicable state or local income tax purposes, and that each Member and the Company shall file all tax returns and shall otherwise take all tax and financial reporting positions in a manner consistent with and actions necessary to obtain such treatment.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2.10 </w:t>
      </w:r>
      <w:r>
        <w:rPr>
          <w:rFonts w:ascii="Times New Roman" w:hAnsi="Times New Roman"/>
          <w:color w:val="000000"/>
          <w:sz w:val="24"/>
          <w:u w:val="single"/>
        </w:rPr>
        <w:t>Prior Agreements</w:t>
      </w:r>
      <w:r>
        <w:rPr>
          <w:rFonts w:ascii="Times New Roman" w:hAnsi="Times New Roman"/>
          <w:color w:val="000000"/>
          <w:sz w:val="24"/>
        </w:rPr>
        <w:t>. For the avoidance of doubt, all prior limited liability company agreements amongst the Company and its members, including all amendments thereto, shall govern and control for all periods prior to the date hereof.</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III</w:t>
      </w:r>
      <w:r>
        <w:rPr>
          <w:rFonts w:ascii="Times New Roman" w:hAnsi="Times New Roman"/>
          <w:b/>
          <w:color w:val="000000"/>
          <w:sz w:val="24"/>
        </w:rPr>
        <w:br/>
        <w:br/>
        <w:t>CAPITALIZATION; CAPITAL CONTRIBUTIONS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3.1 </w:t>
      </w:r>
      <w:r>
        <w:rPr>
          <w:rFonts w:ascii="Times New Roman" w:hAnsi="Times New Roman"/>
          <w:color w:val="000000"/>
          <w:sz w:val="24"/>
          <w:u w:val="single"/>
        </w:rPr>
        <w:t>Capitalization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Each Member shall hold Units, and the relative rights, powers, privileges, preferences and obligations with respect to each Member’s Units shall be determined under this Agreement and the California Act based upon the number and the class of Units held by such Member. The number and the class of Units held by each Member shall be set forth in the books and records of the Company. The classes of Units are as follows: “Class A Common Units” and “Class B Voting Units.” The Members shall have no right to vote on any matter, except as specifically set forth in this Agreement, or as may be required under the California Act. Any such vote shall be at a meeting of the Members entitled to vote or in writing as provided 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Class A Common Units</w:t>
      </w:r>
      <w:r>
        <w:rPr>
          <w:rFonts w:ascii="Times New Roman" w:hAnsi="Times New Roman"/>
          <w:color w:val="000000"/>
          <w:sz w:val="24"/>
        </w:rPr>
        <w:t>. The Class A Common Units shall have all the rights, powers, privileges and obligations as are specifically provided for in this Agreement for Class A Common Units, and as may otherwise be generally applicable to all classes of Units, unless such application is specifically limited to one or more other classes of Units. Notwithstanding anything to the contrary contained herein, the holders of Class A Common Units shall not be entitled to vote on any matter subject to a vote of the Members, except as otherwise required by law and on any such matter the holders of Class A Common Units shall be entitled to one (1) vote per Class A Common Unit.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Class B Voting Units</w:t>
      </w:r>
      <w:r>
        <w:rPr>
          <w:rFonts w:ascii="Times New Roman" w:hAnsi="Times New Roman"/>
          <w:color w:val="000000"/>
          <w:sz w:val="24"/>
        </w:rPr>
        <w:t xml:space="preserve">. The holders of Class B Voting Units shall be entitled to one (1) vote per Class B Voting Unit with respect to any designation of the Managing Member pursuant to </w:t>
      </w:r>
      <w:r>
        <w:rPr>
          <w:rFonts w:ascii="Times New Roman" w:hAnsi="Times New Roman"/>
          <w:color w:val="000000"/>
          <w:sz w:val="24"/>
          <w:u w:val="single"/>
        </w:rPr>
        <w:t>Section 5.1</w:t>
      </w:r>
      <w:r>
        <w:rPr>
          <w:rFonts w:ascii="Times New Roman" w:hAnsi="Times New Roman"/>
          <w:color w:val="000000"/>
          <w:sz w:val="20"/>
        </w:rPr>
        <w:t xml:space="preserve"> </w:t>
      </w:r>
      <w:r>
        <w:rPr>
          <w:rFonts w:ascii="Times New Roman" w:hAnsi="Times New Roman"/>
          <w:color w:val="000000"/>
          <w:sz w:val="24"/>
        </w:rPr>
        <w:t xml:space="preserve">or designation of an additional Managing Member or substitute Managing Member pursuant to </w:t>
      </w:r>
      <w:r>
        <w:rPr>
          <w:rFonts w:ascii="Times New Roman" w:hAnsi="Times New Roman"/>
          <w:color w:val="000000"/>
          <w:sz w:val="24"/>
          <w:u w:val="single"/>
        </w:rPr>
        <w:t>Section 10.3</w:t>
      </w:r>
      <w:r>
        <w:rPr>
          <w:rFonts w:ascii="Times New Roman" w:hAnsi="Times New Roman"/>
          <w:color w:val="000000"/>
          <w:sz w:val="24"/>
        </w:rPr>
        <w:t>, and shall not be entitled to any other rights, powers, privileges or obligations under this Agreement.</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 connection with the IPO, the following occurred:</w:t>
      </w:r>
    </w:p>
    <w:p>
      <w:pPr>
        <w:pStyle w:val="TextBody"/>
        <w:bidi w:val="0"/>
        <w:spacing w:before="0" w:after="240"/>
        <w:jc w:val="both"/>
        <w:rPr>
          <w:rFonts w:ascii="Times New Roman" w:hAnsi="Times New Roman"/>
          <w:sz w:val="20"/>
        </w:rPr>
      </w:pPr>
      <w:r>
        <w:rPr>
          <w:rFonts w:ascii="Times New Roman" w:hAnsi="Times New Roman"/>
          <w:color w:val="000000"/>
          <w:sz w:val="24"/>
        </w:rPr>
        <w:t>(i) At the IPO Effective Time, the Recapitalization was consummated. Pursuant to the Recapitalization, any Class A Common Units received in exchange for Common Units subject to vesting not accelerated in connection with the IPO continued to vest in accordance with the vesting schedule applicable to such Profits Interests (such Class A Common Units subject to vesting, the “</w:t>
      </w:r>
      <w:r>
        <w:rPr>
          <w:rFonts w:ascii="Times New Roman" w:hAnsi="Times New Roman"/>
          <w:b/>
          <w:color w:val="000000"/>
          <w:sz w:val="24"/>
        </w:rPr>
        <w:t>Unvested Class A Common Units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(ii) Immediately after the IPO Effective Time, the Pre-IPO Exchanges were consummated. Any shares of Class A Common Stock received in respect of Unvested Class A Common Units in a Pre-IPO Exchange continued to vest in accordance with the same vesting schedule as such Unvested Class A Common Units (the “</w:t>
      </w:r>
      <w:r>
        <w:rPr>
          <w:rFonts w:ascii="Times New Roman" w:hAnsi="Times New Roman"/>
          <w:b/>
          <w:color w:val="000000"/>
          <w:sz w:val="24"/>
        </w:rPr>
        <w:t>Unvested Class A Common Stock</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Each holder of Unvested Class A Common Stock was required to make a valid and timely election in respect of such Unvested Class A Common Stock and protective election in respect of such Unvested Class A Units, in each case, pursuant to Section 83(b) of the Code and provided evidence of such election to PubCo and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Upon any forfeiture of Unvested Class A Common Stock pursuant to the Restricted Stock Award Agreement under the PubCo 2021 Equity Incentive Plan, PubCo automatically forfeited the corresponding Unvested Class A Common Units.</w:t>
      </w:r>
    </w:p>
    <w:p>
      <w:pPr>
        <w:pStyle w:val="TextBody"/>
        <w:bidi w:val="0"/>
        <w:spacing w:before="0" w:after="240"/>
        <w:jc w:val="both"/>
        <w:rPr>
          <w:rFonts w:ascii="Times New Roman" w:hAnsi="Times New Roman"/>
          <w:sz w:val="20"/>
        </w:rPr>
      </w:pPr>
      <w:r>
        <w:rPr>
          <w:rFonts w:ascii="Times New Roman" w:hAnsi="Times New Roman"/>
          <w:color w:val="000000"/>
          <w:sz w:val="24"/>
        </w:rPr>
        <w:t>(v) The Members agreed that immediately following the IPO Effective Time, no fractional Class A Common Unit shall remain outstanding and any fractional Class A Common Unit held by a Member shall be rounded down to the nearest whole number.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75" w:name="docxtextref121"/>
      <w:bookmarkEnd w:id="75"/>
      <w:r>
        <w:rPr>
          <w:rFonts w:ascii="Times New Roman" w:hAnsi="Times New Roman"/>
          <w:color w:val="000000"/>
          <w:sz w:val="24"/>
        </w:rPr>
        <w:t xml:space="preserve">(c) Subject to the terms of this Agreement (including this </w:t>
      </w:r>
      <w:r>
        <w:rPr>
          <w:rFonts w:ascii="Times New Roman" w:hAnsi="Times New Roman"/>
          <w:color w:val="000000"/>
          <w:sz w:val="24"/>
          <w:u w:val="single"/>
        </w:rPr>
        <w:t>Section 3.1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3.2</w:t>
      </w:r>
      <w:r>
        <w:rPr>
          <w:rFonts w:ascii="Times New Roman" w:hAnsi="Times New Roman"/>
          <w:color w:val="000000"/>
          <w:sz w:val="24"/>
        </w:rPr>
        <w:t>), the Managing Member in its sole discretion may establish and issue, from time to time in accordance with such procedures as the Managing Member shall determine from time to time, additional Units, in one or more classes or series of Units, or other Company securities, at such price, and with such designations, preferences and relative, participating, optional or other special rights, powers and duties (which may be senior to existing Units, classes and series of Units or other Company securities), as shall be determined by the Managing Member without the approval of any Member or any other Person who may acquire an interest in any of the Units, including (i)</w:t>
      </w:r>
      <w:r>
        <w:rPr>
          <w:rFonts w:ascii="Times New Roman" w:hAnsi="Times New Roman"/>
          <w:color w:val="000000"/>
          <w:sz w:val="20"/>
        </w:rPr>
        <w:t xml:space="preserve"> </w:t>
      </w:r>
      <w:r>
        <w:rPr>
          <w:rFonts w:ascii="Times New Roman" w:hAnsi="Times New Roman"/>
          <w:color w:val="000000"/>
          <w:sz w:val="24"/>
        </w:rPr>
        <w:t xml:space="preserve">the right of such Units to share in Profits and Losses or items thereof; (ii) the right of such Units to share in Company distributions; (iii) the rights of such Units upon dissolution and winding up of the Company; (iv) whether, and the terms and conditions upon which, the Company may or shall be required to redeem such Units (including sinking fund provisions); </w:t>
      </w:r>
      <w:bookmarkStart w:id="76" w:name="docxtextref122"/>
      <w:bookmarkEnd w:id="76"/>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whether such Units are issued with the privilege of conversion or exchange and, if so, the terms and conditions of such conversion or exchange; (vi) the terms and conditions upon which such Units will be issued, evidenced by certificates and assigned or transferred; (vii) the terms and conditions of the issuance of such Units (including, without limitation, the amount and form of consideration, if any, to be received by the Company in respect thereof, the Managing Member being expressly authorized, in its sole discretion, to cause the Company to issue such Units for less than fair market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77" w:name="docxtextref123"/>
      <w:bookmarkEnd w:id="77"/>
      <w:r>
        <w:rPr>
          <w:rFonts w:ascii="Times New Roman" w:hAnsi="Times New Roman"/>
          <w:color w:val="000000"/>
          <w:sz w:val="24"/>
        </w:rPr>
        <w:t>value); and (viii) the right, if any, of the holder of such Units to vote on Company matters, including matters relating to the relative designations, preferences, rights, powers and duties of such Units. Notwithstanding any other provision of this Agreement, the Managing Member in its sole discretion, without the approval of any Member or any other Person, is authorized (i)</w:t>
      </w:r>
      <w:r>
        <w:rPr>
          <w:rFonts w:ascii="Times New Roman" w:hAnsi="Times New Roman"/>
          <w:color w:val="000000"/>
          <w:sz w:val="20"/>
        </w:rPr>
        <w:t xml:space="preserve"> </w:t>
      </w:r>
      <w:r>
        <w:rPr>
          <w:rFonts w:ascii="Times New Roman" w:hAnsi="Times New Roman"/>
          <w:color w:val="000000"/>
          <w:sz w:val="24"/>
        </w:rPr>
        <w:t>to issue Units or other Company securities of any newly established class or any existing class to Members or other Persons who may acquire an interest in the Company; (ii) to amend this Agreement to reflect the creation of any such new class, the issuance of Units or other Company securities of such class, and the admission of any Person as a Member which has received Units or other Company securities; and (iii) to effect the combination, subdivision and/or reclassification of outstanding Units as may be necessary or appropriate to give economic effect to equity investments in the Company by the Managing Member that are not accompanied by the issuance by the Company to the Managing Member of additional Units and to update the books and records of the Company accordingly. Except as expressly provided in this Agreement to the contrary, any reference to “Units” shall include the Class A Common Units, Class B Voting Units, and Units of any other class or series that may be established in accordance with this Agreement. All Units of a particular class shall have identical rights in all respects as all other Units of such class, except in each case as otherwise specified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All Units issued hereunder shall be uncertificated unless otherwise determined by the Managing Member.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To the extent that information is required to be disclosed to any Member pursuant to this Agreement or the California Act, pursuant to Section 17704.10 of the California Act, each Member acknowledges and agrees that portions of this Agreement may be redacted by the Managing Member or information herein may otherwise be aggregated by the Managing Member to prevent disclosure of confidential information with respect to individual allocations of employee Equity Securities.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Each Member who is issued Units by the Company pursuant to the authority of the Managing Member pursuant to </w:t>
      </w:r>
      <w:r>
        <w:rPr>
          <w:rFonts w:ascii="Times New Roman" w:hAnsi="Times New Roman"/>
          <w:color w:val="000000"/>
          <w:sz w:val="24"/>
          <w:u w:val="single"/>
        </w:rPr>
        <w:t>Section 5.1</w:t>
      </w:r>
      <w:r>
        <w:rPr>
          <w:rFonts w:ascii="Times New Roman" w:hAnsi="Times New Roman"/>
          <w:color w:val="000000"/>
          <w:sz w:val="20"/>
        </w:rPr>
        <w:t xml:space="preserve"> </w:t>
      </w:r>
      <w:r>
        <w:rPr>
          <w:rFonts w:ascii="Times New Roman" w:hAnsi="Times New Roman"/>
          <w:color w:val="000000"/>
          <w:sz w:val="24"/>
        </w:rPr>
        <w:t xml:space="preserve">shall make the Capital Contributions to the Company determined by the Managing Member pursuant to the authority of the Managing Member pursuant to </w:t>
      </w:r>
      <w:r>
        <w:rPr>
          <w:rFonts w:ascii="Times New Roman" w:hAnsi="Times New Roman"/>
          <w:color w:val="000000"/>
          <w:sz w:val="24"/>
          <w:u w:val="single"/>
        </w:rPr>
        <w:t>Section 5.1</w:t>
      </w:r>
      <w:r>
        <w:rPr>
          <w:rFonts w:ascii="Times New Roman" w:hAnsi="Times New Roman"/>
          <w:color w:val="000000"/>
          <w:sz w:val="20"/>
        </w:rPr>
        <w:t xml:space="preserve"> </w:t>
      </w:r>
      <w:r>
        <w:rPr>
          <w:rFonts w:ascii="Times New Roman" w:hAnsi="Times New Roman"/>
          <w:color w:val="000000"/>
          <w:sz w:val="24"/>
        </w:rPr>
        <w:t>in exchange for such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Each Member, to the extent having the right to consent thereto, by executing this Agreement, hereby confirms, ratifies and approves the transactions contemplated by this Agreement and the other agreements and transactions referred to 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3.2 </w:t>
      </w:r>
      <w:r>
        <w:rPr>
          <w:rFonts w:ascii="Times New Roman" w:hAnsi="Times New Roman"/>
          <w:color w:val="000000"/>
          <w:sz w:val="24"/>
          <w:u w:val="single"/>
        </w:rPr>
        <w:t>General Provisions with Respect to Units.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New PubCo Issuances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Subject to </w:t>
      </w:r>
      <w:r>
        <w:rPr>
          <w:rFonts w:ascii="Times New Roman" w:hAnsi="Times New Roman"/>
          <w:color w:val="000000"/>
          <w:sz w:val="24"/>
          <w:u w:val="single"/>
        </w:rPr>
        <w:t>Article XII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3.2(a)(ii)</w:t>
      </w:r>
      <w:r>
        <w:rPr>
          <w:rFonts w:ascii="Times New Roman" w:hAnsi="Times New Roman"/>
          <w:color w:val="000000"/>
          <w:sz w:val="24"/>
        </w:rPr>
        <w:t>, if, at any time after the Effective Time, PubCo issues shares of its Class A Common Stock, shares of Class C Common Stock, or any other Equity Security of PubCo (other than shares of Class B Common Stock), (x) the Company shall concurrently issue to PubCo an equal number of Class A Common Units (if PubCo issues shares of Class A Common Stock or Class C Common Stock), or an equal number of such other Equity Security of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corresponding to the Equity Securities issued by PubCo (if PubCo issues Equity Securities other than Class A Common Stock or Class C Common Stock), and with the same rights to distributions (including distributions upon liquidation) and other economic rights as those of such Equity Securities of PubCo so issued and (y) PubCo shall concurrently contribute to the Company the net proceeds or other property received by PubCo, if any, for such share of Class A Common Stock, Class C Common Stock, or other Equity Security.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Notwithstanding anything to the contrary contained in </w:t>
      </w:r>
      <w:r>
        <w:rPr>
          <w:rFonts w:ascii="Times New Roman" w:hAnsi="Times New Roman"/>
          <w:color w:val="000000"/>
          <w:sz w:val="24"/>
          <w:u w:val="single"/>
        </w:rPr>
        <w:t>Section 3.2(a)(i)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3.2(a)(iii)</w:t>
      </w:r>
      <w:r>
        <w:rPr>
          <w:rFonts w:ascii="Times New Roman" w:hAnsi="Times New Roman"/>
          <w:color w:val="000000"/>
          <w:sz w:val="24"/>
        </w:rPr>
        <w:t xml:space="preserve">, this </w:t>
      </w:r>
      <w:r>
        <w:rPr>
          <w:rFonts w:ascii="Times New Roman" w:hAnsi="Times New Roman"/>
          <w:color w:val="000000"/>
          <w:sz w:val="24"/>
          <w:u w:val="single"/>
        </w:rPr>
        <w:t>Section 3.2(a)</w:t>
      </w:r>
      <w:r>
        <w:rPr>
          <w:rFonts w:ascii="Times New Roman" w:hAnsi="Times New Roman"/>
          <w:color w:val="000000"/>
          <w:sz w:val="20"/>
        </w:rPr>
        <w:t xml:space="preserve"> </w:t>
      </w:r>
      <w:r>
        <w:rPr>
          <w:rFonts w:ascii="Times New Roman" w:hAnsi="Times New Roman"/>
          <w:color w:val="000000"/>
          <w:sz w:val="24"/>
        </w:rPr>
        <w:t>shall not apply to (x) the issuance and distribution to holders of shares of PubCo Equity Securities of rights to purchase Equity Securities of PubCo under a “poison pill” or similar shareholder rights plan (and upon exchange of Class A Common Units for Class A Common Stock, such Class A Common Stock shall be issued together with a corresponding right under such plan) or (y) the issuance under PubCo’s employee benefit plans of any warrants, options, stock appreciation right, restricted stock, restricted stock units, performance based award or other rights to acquire Equity Securities of PubCo or rights or property that may be converted into or settled in Equity Securities of PubCo, but shall in each of the foregoing cases apply to the issuance of Equity Securities of PubCo in connection with the exercise or settlement of such warrants, options, stock appreciation right, restricted stock units, performance based awards or the vesting of restricted stock (including as set forth in clause (iii) below, as applicable).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In the event any outstanding Equity Security of PubCo is exercised or otherwise converted and, as a result, any shares of Class A Common Stock, Class C Common Stock or other Equity Securities of PubCo are issued, (x) the corresponding Equity Security outstanding at the Company, if any, shall be similarly exercised or otherwise converted, if applicable, (y) an equivalent number of Class A Common Units or equivalent Equity Securities of the Company shall be issued to PubCo as required by the first sentence of </w:t>
      </w:r>
      <w:r>
        <w:rPr>
          <w:rFonts w:ascii="Times New Roman" w:hAnsi="Times New Roman"/>
          <w:color w:val="000000"/>
          <w:sz w:val="24"/>
          <w:u w:val="single"/>
        </w:rPr>
        <w:t>Section 3.2(a)(i)</w:t>
      </w:r>
      <w:r>
        <w:rPr>
          <w:rFonts w:ascii="Times New Roman" w:hAnsi="Times New Roman"/>
          <w:color w:val="000000"/>
          <w:sz w:val="24"/>
        </w:rPr>
        <w:t>, and (z) PubCo shall as soon as practicable following such exercise or conversion contribute to the Company the net proceeds received by PubCo from any such exercise or conversion.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New Company Issuances</w:t>
      </w:r>
      <w:r>
        <w:rPr>
          <w:rFonts w:ascii="Times New Roman" w:hAnsi="Times New Roman"/>
          <w:color w:val="000000"/>
          <w:sz w:val="24"/>
        </w:rPr>
        <w:t xml:space="preserve">. Except pursuant to </w:t>
      </w:r>
      <w:r>
        <w:rPr>
          <w:rFonts w:ascii="Times New Roman" w:hAnsi="Times New Roman"/>
          <w:color w:val="000000"/>
          <w:sz w:val="24"/>
          <w:u w:val="single"/>
        </w:rPr>
        <w:t>Article XII</w:t>
      </w:r>
      <w:r>
        <w:rPr>
          <w:rFonts w:ascii="Times New Roman" w:hAnsi="Times New Roman"/>
          <w:color w:val="000000"/>
          <w:sz w:val="24"/>
        </w:rPr>
        <w:t xml:space="preserve">, (x) the Company may not issue any additional Class A Common Units to PubCo or any of its Subsidiaries (other than the Company and its Subsidiaries) unless (i) substantially simultaneously therewith PubCo or such Subsidiary issues or transfers an equal number of newly-issued shares of Class A Common Stock or Class C Common Stock (or relevant Equity Security of such Subsidiary) to another Person or Persons, and (ii) such issuance is in accordance with </w:t>
      </w:r>
      <w:r>
        <w:rPr>
          <w:rFonts w:ascii="Times New Roman" w:hAnsi="Times New Roman"/>
          <w:color w:val="000000"/>
          <w:sz w:val="24"/>
          <w:u w:val="single"/>
        </w:rPr>
        <w:t>Section 3.2(a)</w:t>
      </w:r>
      <w:r>
        <w:rPr>
          <w:rFonts w:ascii="Times New Roman" w:hAnsi="Times New Roman"/>
          <w:color w:val="000000"/>
          <w:sz w:val="24"/>
        </w:rPr>
        <w:t xml:space="preserve">, and (y) the Company may not issue any other Equity Securities of the Company to PubCo or any of its Subsidiaries (other than the Company and its Subsidiaries) unless (i) substantially simultaneously therewith PubCo or such Subsidiary issues or transfers, to another Person, an equal number of newly-issued shares of Equity Securities of PubCo or such Subsidiary with substantially the same rights to dividends and distributions (including distributions upon liquidation) and other economic rights as those of such Equity Securities of the Company, and (ii) such issuance is in accordance with </w:t>
      </w:r>
      <w:r>
        <w:rPr>
          <w:rFonts w:ascii="Times New Roman" w:hAnsi="Times New Roman"/>
          <w:color w:val="000000"/>
          <w:sz w:val="24"/>
          <w:u w:val="single"/>
        </w:rPr>
        <w:t>Section 3.2(a)</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Repurchases and Redemptions.</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Subject to </w:t>
      </w:r>
      <w:r>
        <w:rPr>
          <w:rFonts w:ascii="Times New Roman" w:hAnsi="Times New Roman"/>
          <w:color w:val="000000"/>
          <w:sz w:val="24"/>
          <w:u w:val="single"/>
        </w:rPr>
        <w:t>Section 3.2(c)(ii)</w:t>
      </w:r>
      <w:r>
        <w:rPr>
          <w:rFonts w:ascii="Times New Roman" w:hAnsi="Times New Roman"/>
          <w:color w:val="000000"/>
          <w:sz w:val="24"/>
        </w:rPr>
        <w:t>, PubCo or any of its Subsidiaries (other than the Company and its Subsidiaries) may redeem, repurchase or otherwise acquire (A) shares of Class A Common Stock or Class C Common Stock pursuant to a Board approved repurchase plan or program (or otherwise in connection with a transaction approved by the Board) and, substantially simultaneously therewith, the Company shall redeem, repurchase or otherwise acquire from PubCo or such Subsidiary an equal number of Class A Common Units for the same price per security, if any, or (B) any other Equity Securities of PubCo or any of its Subsidiaries (other than the Company and its Subsidiaries) pursuant to a Board approved repurchase plan or program (or otherwise in connection with a transaction approved by the Board) and, substantially simultaneously therewith, the Company shall redeem, repurchase or otherwise acquire from PubCo or such Subsidiary an equal number of the corresponding class or series of Equity Securities of the Company with the same rights to dividends and distributions (including distributions upon liquidation) and other economic rights as those of such Equity Securities of PubCo or such Subsidiary for the same price per security, if any.</w:t>
      </w:r>
    </w:p>
    <w:p>
      <w:pPr>
        <w:pStyle w:val="TextBody"/>
        <w:bidi w:val="0"/>
        <w:spacing w:before="0" w:after="240"/>
        <w:jc w:val="both"/>
        <w:rPr>
          <w:rFonts w:ascii="Times New Roman" w:hAnsi="Times New Roman"/>
          <w:sz w:val="20"/>
        </w:rPr>
      </w:pPr>
      <w:r>
        <w:rPr>
          <w:rFonts w:ascii="Times New Roman" w:hAnsi="Times New Roman"/>
          <w:color w:val="000000"/>
          <w:sz w:val="24"/>
        </w:rPr>
        <w:t>(ii) In the event that a tender offer, share exchange offer, or take-over bid or similar transaction with respect to Class A Common Stock and Class C Common Stock, if any (a “</w:t>
      </w:r>
      <w:r>
        <w:rPr>
          <w:rFonts w:ascii="Times New Roman" w:hAnsi="Times New Roman"/>
          <w:b/>
          <w:color w:val="000000"/>
          <w:sz w:val="24"/>
        </w:rPr>
        <w:t>PubCo Offer</w:t>
      </w:r>
      <w:r>
        <w:rPr>
          <w:rFonts w:ascii="Times New Roman" w:hAnsi="Times New Roman"/>
          <w:color w:val="000000"/>
          <w:sz w:val="20"/>
        </w:rPr>
        <w:t>”</w:t>
      </w:r>
      <w:r>
        <w:rPr>
          <w:rFonts w:ascii="Times New Roman" w:hAnsi="Times New Roman"/>
          <w:color w:val="000000"/>
          <w:sz w:val="24"/>
        </w:rPr>
        <w:t xml:space="preserve">), is proposed by PubCo or is proposed to PubCo or its stockholders, the holders of Class A Common Units shall be permitted to participate in such PubCo Offer by delivery of an Exchange Notice (which Exchange Notice shall be effective immediately prior to the consummation of such PubCo Offer (and, for the avoidance of doubt, shall be contingent upon such PubCo Offer and not be effective if such PubCo Offer is not consummated)). In the case of a PubCo Offer proposed by PubCo, PubCo shall use its reasonable best efforts to take all such actions and do all such things as are necessary or desirable to enable and permit the holders of Class A Common Units to participate in such PubCo Offer to the same extent or on an economically equivalent basis as the holders of shares of Class A Common Stock without discrimination;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without limiting the generality of this sentence (and without limiting the ability of any Member holding Class A Common Units to consummate an Exchange at any time pursuant to the terms of this Agreement), the Managing Member shall use its reasonable best efforts to ensure that such holders of Class A Common Units may participate in such PubCo Offer without being required to Exchange their Class A Common Units and cancel their shares of Paired Voting Stock, as the case may be, (or, if so required, to ensure that any such Exchange and cancelation shall be effective only upon, and shall be conditional upon, the closing of the transactions contemplated by the PubCo Offer). For the avoidance of doubt, in no event shall the holders of Class A Common Units be entitled to receive in such PubCo Offer aggregate consideration for each Class A Common Unit and share of Paired Voting Stock, taken together, that is greater than or less than the consideration payable in respect of each share of Class A Common Stock in connection with such PubCo Offer.</w:t>
      </w:r>
    </w:p>
    <w:p>
      <w:pPr>
        <w:pStyle w:val="TextBody"/>
        <w:bidi w:val="0"/>
        <w:spacing w:before="0" w:after="240"/>
        <w:jc w:val="both"/>
        <w:rPr>
          <w:rFonts w:ascii="Times New Roman" w:hAnsi="Times New Roman"/>
          <w:sz w:val="20"/>
        </w:rPr>
      </w:pPr>
      <w:r>
        <w:rPr>
          <w:rFonts w:ascii="Times New Roman" w:hAnsi="Times New Roman"/>
          <w:color w:val="000000"/>
          <w:sz w:val="24"/>
        </w:rPr>
        <w:t>(iii) The Company may not redeem, repurchase or otherwise acquire (x) any Class A Common Units from PubCo or any of its Subsidiaries (other than the Company and its Subsidiaries) unless substantially simultaneously PubCo or such Subsidiary redeems, repurchases or otherwise acquires pursuant to a Board approved repurchase plan or program (or otherwise in connection with a transaction approved by the Board) an equal number of shares of Class A Common Stock or Class C Common Stock for the same price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 security from holders thereof or (y) any other Equity Securities of the Company from PubCo or any of its Subsidiaries (other than the Company and its Subsidiaries) unless substantially simultaneously PubCo or such Subsidiary redeems, repurchases or otherwise acquires pursuant to a Board approved repurchase plan or program (or otherwise in connection with a transaction approved by the Board) for the same price per security an equal number of Equity Securities of PubCo (or such Subsidiary) of a corresponding class or series with substantially the same rights to dividends and distributions (including distributions upon liquidation) and other economic rights as those of such Equity Securities of PubCo or such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Notwithstanding the foregoing clauses (i) through (iii), to the extent that any consideration payable by PubCo in connection with the redemption, repurchase or acquisition of any shares of Class A Common Stock, Class C Common Stock or other Equity Securities of PubCo or any of its Subsidiaries (other than the Company and its Subsidiaries) consists (in whole or in part) of shares of Class A Common Stock, Class C Common Stock or such other Equity Securities (including in connection with the cashless exercise of an option or warrant (or other convertible right or security)) other than under PubCo’s employee benefit plans for which there is no corresponding Class A Common Units or other Equity Securities of the Company, then the redemption, repurchase or acquisition of the corresponding Class A Common Units or other Equity Securities of the Company shall be effectuated in an equivalent manner.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Equity Subdivisions and Combinations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The Company shall not in any manner effect any subdivision (by any equity split, equity distribution, reclassification, recapitalization or otherwise) or combination (by reverse equity split, reclassification, recapitalization or otherwise) of the outstanding Class A Common Units unless accompanied by an identical subdivision or combination, as applicable, of the outstanding PubCo Class A Common Stock and Paired Voting Stock, Class C Common Stock or other related class or series of Equity Security of PubCo, with corresponding changes made with respect to any other exchangeable or convertible Equity Securities of the Company and PubCo.</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Except in accordance with </w:t>
      </w:r>
      <w:r>
        <w:rPr>
          <w:rFonts w:ascii="Times New Roman" w:hAnsi="Times New Roman"/>
          <w:color w:val="000000"/>
          <w:sz w:val="24"/>
          <w:u w:val="single"/>
        </w:rPr>
        <w:t>Section 12.3</w:t>
      </w:r>
      <w:r>
        <w:rPr>
          <w:rFonts w:ascii="Times New Roman" w:hAnsi="Times New Roman"/>
          <w:color w:val="000000"/>
          <w:sz w:val="24"/>
        </w:rPr>
        <w:t>, PubCo shall not in any manner effect any subdivision (by any equity split, equity distribution, reclassification, recapitalization or otherwise) or combination (by reverse equity split, reclassification, recapitalization or otherwise) of the outstanding PubCo Class A Common Stock, Class C Common Stock or any other class or series of Equity Security of PubCo, unless accompanied by an identical subdivision or combination, as applicable, of the outstanding Class A Common Units or other related class or series of Equity Security of the Company, with corresponding changes made with respect to any applicable exchangeable or convertible Equity Securities of the Company and PubCo.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General Authority</w:t>
      </w:r>
      <w:r>
        <w:rPr>
          <w:rFonts w:ascii="Times New Roman" w:hAnsi="Times New Roman"/>
          <w:color w:val="000000"/>
          <w:sz w:val="24"/>
        </w:rPr>
        <w:t xml:space="preserve">. For the avoidance of doubt, but subject to </w:t>
      </w:r>
      <w:r>
        <w:rPr>
          <w:rFonts w:ascii="Times New Roman" w:hAnsi="Times New Roman"/>
          <w:color w:val="000000"/>
          <w:sz w:val="24"/>
          <w:u w:val="single"/>
        </w:rPr>
        <w:t xml:space="preserve">Sections 3.1 </w:t>
      </w:r>
      <w:r>
        <w:rPr>
          <w:rFonts w:ascii="Times New Roman" w:hAnsi="Times New Roman"/>
          <w:color w:val="000000"/>
          <w:sz w:val="24"/>
        </w:rPr>
        <w:t xml:space="preserve">and </w:t>
      </w:r>
      <w:r>
        <w:rPr>
          <w:rFonts w:ascii="Times New Roman" w:hAnsi="Times New Roman"/>
          <w:color w:val="000000"/>
          <w:sz w:val="24"/>
          <w:u w:val="single"/>
        </w:rPr>
        <w:t>3.2</w:t>
      </w:r>
      <w:r>
        <w:rPr>
          <w:rFonts w:ascii="Times New Roman" w:hAnsi="Times New Roman"/>
          <w:color w:val="000000"/>
          <w:sz w:val="24"/>
        </w:rPr>
        <w:t>, the Company and PubCo (including in its capacity as the Managing Member of the Company) shall be permitted to undertake all actions, including an issuance, redemption, reclassification, distribution, division or recapitalization, with respect to the Class A Common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Units, that are necessary, in the Managing Member’s determination, to maintain at all times a one-to-one ratio between (i) the number of Class A Common Units owned by PubCo, directly or indirectly, and the number of outstanding shares of Class A Common Stock and Class C Common Stock, and (ii) the number of outstanding shares of applicable Paired Voting Stock held by any Person and the number of Class A Common Units held by such Person disregarding, for purposes of maintaining the one-to-one ratios in clauses (i) and (ii), (A) options, rights or securities of PubCo issued under any plan involving the issuance of any Equity Securities that are convertible into or exercisable or exchangeable for Class A Common Stock, (B) treasury stock, or (C) preferred stock or other debt or equity securities (including warrants, options or rights) issued by PubCo, including Class C common stock, that are convertible into or exercisable or exchangeable for Class A Common Stock (but in each case prior to such conversion or exchange).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3.3 </w:t>
      </w:r>
      <w:r>
        <w:rPr>
          <w:rFonts w:ascii="Times New Roman" w:hAnsi="Times New Roman"/>
          <w:color w:val="000000"/>
          <w:sz w:val="24"/>
          <w:u w:val="single"/>
        </w:rPr>
        <w:t>Capital Accounts</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78" w:name="docxtextref129"/>
      <w:bookmarkEnd w:id="78"/>
      <w:r>
        <w:rPr>
          <w:rFonts w:ascii="Times New Roman" w:hAnsi="Times New Roman"/>
          <w:color w:val="000000"/>
          <w:sz w:val="24"/>
        </w:rPr>
        <w:t>(a) A separate capital account (each, a “</w:t>
      </w:r>
      <w:r>
        <w:rPr>
          <w:rFonts w:ascii="Times New Roman" w:hAnsi="Times New Roman"/>
          <w:b/>
          <w:color w:val="000000"/>
          <w:sz w:val="24"/>
        </w:rPr>
        <w:t>Capital Account</w:t>
      </w:r>
      <w:r>
        <w:rPr>
          <w:rFonts w:ascii="Times New Roman" w:hAnsi="Times New Roman"/>
          <w:color w:val="000000"/>
          <w:sz w:val="20"/>
        </w:rPr>
        <w:t>”</w:t>
      </w:r>
      <w:r>
        <w:rPr>
          <w:rFonts w:ascii="Times New Roman" w:hAnsi="Times New Roman"/>
          <w:color w:val="000000"/>
          <w:sz w:val="24"/>
        </w:rPr>
        <w:t xml:space="preserve">) shall be established for each Member and shall be maintained in accordance with Treasury Regulations Section 1.704-1(b)(2)(iv) and this </w:t>
      </w:r>
      <w:r>
        <w:rPr>
          <w:rFonts w:ascii="Times New Roman" w:hAnsi="Times New Roman"/>
          <w:color w:val="000000"/>
          <w:sz w:val="24"/>
          <w:u w:val="single"/>
        </w:rPr>
        <w:t>Section 3.3</w:t>
      </w:r>
      <w:r>
        <w:rPr>
          <w:rFonts w:ascii="Times New Roman" w:hAnsi="Times New Roman"/>
          <w:color w:val="000000"/>
          <w:sz w:val="20"/>
        </w:rPr>
        <w:t xml:space="preserve"> </w:t>
      </w:r>
      <w:r>
        <w:rPr>
          <w:rFonts w:ascii="Times New Roman" w:hAnsi="Times New Roman"/>
          <w:color w:val="000000"/>
          <w:sz w:val="24"/>
        </w:rPr>
        <w:t xml:space="preserve">shall be interpreted and applied in a manner consistent with such regulations. In accordance with Treasury Regulations Section </w:t>
      </w:r>
      <w:bookmarkStart w:id="79" w:name="docxtextref131"/>
      <w:bookmarkEnd w:id="79"/>
      <w:r>
        <w:rPr>
          <w:rFonts w:ascii="Times New Roman" w:hAnsi="Times New Roman"/>
          <w:color w:val="000000"/>
          <w:sz w:val="24"/>
        </w:rPr>
        <w:t xml:space="preserve">1.704-1(b)(2)(iv)(f), the Company may adjust the Capital Accounts of its Members to reflect revaluations (including any unrealized income, gain or loss) of the Company’s property (including intangible assets such as goodwill), whenever it issues additional interests in the Company (including any interests issued with a zero initial Capital Account), or whenever the adjustments would otherwise be permitted under such Treasury Regulations. The Company may adjust the Capital Accounts of its Members to reflect revaluations of the property of any Subsidiary of the Company that is treated as a partnership (or entity disregarded from a partnership) for U.S. federal income tax purposes. In the event that the Capital Accounts of the Members are so adjusted, </w:t>
      </w:r>
      <w:bookmarkStart w:id="80" w:name="docxtextref135"/>
      <w:bookmarkEnd w:id="80"/>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the Capital Accounts of the Members shall be adjusted in accordance with Treasury Regulations Section </w:t>
      </w:r>
      <w:bookmarkStart w:id="81" w:name="docxtextref132"/>
      <w:bookmarkEnd w:id="81"/>
      <w:r>
        <w:rPr>
          <w:rFonts w:ascii="Times New Roman" w:hAnsi="Times New Roman"/>
          <w:color w:val="000000"/>
          <w:sz w:val="24"/>
        </w:rPr>
        <w:t xml:space="preserve">1.704-1(b)(2)(iv)(g) for allocations of depreciation, depletion, amortization and gain or loss, as computed for book purposes, with respect to such property and (ii) the Members’ distributive shares of depreciation, depletion, amortization and gain or loss, as computed for tax purposes, with respect to such property shall be determined so as to take account of the variation between the adjusted tax basis and Book Value of such property in the same manner as under Section </w:t>
      </w:r>
      <w:bookmarkStart w:id="82" w:name="docxtextref127"/>
      <w:bookmarkEnd w:id="82"/>
      <w:r>
        <w:rPr>
          <w:rFonts w:ascii="Times New Roman" w:hAnsi="Times New Roman"/>
          <w:color w:val="000000"/>
          <w:sz w:val="24"/>
        </w:rPr>
        <w:t>704(c)</w:t>
      </w:r>
      <w:r>
        <w:rPr>
          <w:rFonts w:ascii="Times New Roman" w:hAnsi="Times New Roman"/>
          <w:color w:val="000000"/>
          <w:sz w:val="20"/>
        </w:rPr>
        <w:t xml:space="preserve"> </w:t>
      </w:r>
      <w:r>
        <w:rPr>
          <w:rFonts w:ascii="Times New Roman" w:hAnsi="Times New Roman"/>
          <w:color w:val="000000"/>
          <w:sz w:val="24"/>
        </w:rPr>
        <w:t xml:space="preserve">of the Code. In the event that Code Section </w:t>
      </w:r>
      <w:bookmarkStart w:id="83" w:name="docxtextref128"/>
      <w:bookmarkEnd w:id="83"/>
      <w:r>
        <w:rPr>
          <w:rFonts w:ascii="Times New Roman" w:hAnsi="Times New Roman"/>
          <w:color w:val="000000"/>
          <w:sz w:val="24"/>
        </w:rPr>
        <w:t>704(c)</w:t>
      </w:r>
      <w:r>
        <w:rPr>
          <w:rFonts w:ascii="Times New Roman" w:hAnsi="Times New Roman"/>
          <w:color w:val="000000"/>
          <w:sz w:val="20"/>
        </w:rPr>
        <w:t xml:space="preserve"> </w:t>
      </w:r>
      <w:r>
        <w:rPr>
          <w:rFonts w:ascii="Times New Roman" w:hAnsi="Times New Roman"/>
          <w:color w:val="000000"/>
          <w:sz w:val="24"/>
        </w:rPr>
        <w:t xml:space="preserve">applies to property of the Company, the Capital Accounts of the Members shall be adjusted in accordance with Treasury Regulations Section </w:t>
      </w:r>
      <w:bookmarkStart w:id="84" w:name="docxtextref133"/>
      <w:bookmarkEnd w:id="84"/>
      <w:r>
        <w:rPr>
          <w:rFonts w:ascii="Times New Roman" w:hAnsi="Times New Roman"/>
          <w:color w:val="000000"/>
          <w:sz w:val="24"/>
        </w:rPr>
        <w:t xml:space="preserve">1.704-1(b)(2)(iv)(g) for allocations of depreciation, depletion, amortization, and gain and loss, as computed for book purposes with respect to such property. In connection with the transactions contemplated by this Agreement, the Capital Accounts of the Members shall be adjusted in accordance with Treasury Regulations Section </w:t>
      </w:r>
      <w:bookmarkStart w:id="85" w:name="docxtextref134"/>
      <w:bookmarkEnd w:id="85"/>
      <w:r>
        <w:rPr>
          <w:rFonts w:ascii="Times New Roman" w:hAnsi="Times New Roman"/>
          <w:color w:val="000000"/>
          <w:sz w:val="24"/>
        </w:rPr>
        <w:t>1.704-1(b)(2)(iv)(f) and determined as of the date hereof and the Capital Account of each Member shall be reflected in the books and records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3.4 </w:t>
      </w:r>
      <w:r>
        <w:rPr>
          <w:rFonts w:ascii="Times New Roman" w:hAnsi="Times New Roman"/>
          <w:color w:val="000000"/>
          <w:sz w:val="24"/>
          <w:u w:val="single"/>
        </w:rPr>
        <w:t>Negative Capital Accounts</w:t>
      </w:r>
      <w:r>
        <w:rPr>
          <w:rFonts w:ascii="Times New Roman" w:hAnsi="Times New Roman"/>
          <w:color w:val="000000"/>
          <w:sz w:val="24"/>
        </w:rPr>
        <w:t>. No Member shall be required to pay to any other Member or the Company any deficit or negative balance which may exist from time to time in such Member’s Capital Account (including upon and after dissolution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3.5 </w:t>
      </w:r>
      <w:r>
        <w:rPr>
          <w:rFonts w:ascii="Times New Roman" w:hAnsi="Times New Roman"/>
          <w:color w:val="000000"/>
          <w:sz w:val="24"/>
          <w:u w:val="single"/>
        </w:rPr>
        <w:t>No Withdrawal</w:t>
      </w:r>
      <w:r>
        <w:rPr>
          <w:rFonts w:ascii="Times New Roman" w:hAnsi="Times New Roman"/>
          <w:color w:val="000000"/>
          <w:sz w:val="24"/>
        </w:rPr>
        <w:t>. No Person shall be entitled to withdraw any part of such Person’s Capital Contribution or Capital Account or to receive any Distribution from the Company, except as expressly provided herein.</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3.6 </w:t>
      </w:r>
      <w:r>
        <w:rPr>
          <w:rFonts w:ascii="Times New Roman" w:hAnsi="Times New Roman"/>
          <w:color w:val="000000"/>
          <w:sz w:val="24"/>
          <w:u w:val="single"/>
        </w:rPr>
        <w:t>Loans From Members</w:t>
      </w:r>
      <w:r>
        <w:rPr>
          <w:rFonts w:ascii="Times New Roman" w:hAnsi="Times New Roman"/>
          <w:color w:val="000000"/>
          <w:sz w:val="24"/>
        </w:rPr>
        <w:t>. Loans by Members to the Company shall not be considered Capital Contributions. If any Member shall advance funds to the Company in excess of the amounts required hereunder to be contributed by such Member to the capital of the Company, the making of such advances shall not result in any increase in the amount of the Capital Account of such Member. The amount of any such advances shall be a debt of the Company to such Member and shall be payable or collectible in accordance with the terms and conditions upon which such advances are made.</w:t>
      </w:r>
    </w:p>
    <w:p>
      <w:pPr>
        <w:pStyle w:val="TextBody"/>
        <w:bidi w:val="0"/>
        <w:spacing w:before="0" w:after="240"/>
        <w:jc w:val="both"/>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IV</w:t>
      </w:r>
      <w:r>
        <w:rPr>
          <w:rFonts w:ascii="Times New Roman" w:hAnsi="Times New Roman"/>
          <w:b/>
          <w:color w:val="000000"/>
          <w:sz w:val="24"/>
        </w:rPr>
        <w:br/>
        <w:br/>
        <w:t>DISTRIBUTIONS AND ALLOCATIONS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4.1 </w:t>
      </w:r>
      <w:r>
        <w:rPr>
          <w:rFonts w:ascii="Times New Roman" w:hAnsi="Times New Roman"/>
          <w:color w:val="000000"/>
          <w:sz w:val="24"/>
          <w:u w:val="single"/>
        </w:rPr>
        <w:t>Distributions</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86" w:name="docxtextref182"/>
      <w:bookmarkEnd w:id="86"/>
      <w:r>
        <w:rPr>
          <w:rFonts w:ascii="Times New Roman" w:hAnsi="Times New Roman"/>
          <w:color w:val="000000"/>
          <w:sz w:val="24"/>
        </w:rPr>
        <w:t xml:space="preserve">(a) </w:t>
      </w:r>
      <w:r>
        <w:rPr>
          <w:rFonts w:ascii="Times New Roman" w:hAnsi="Times New Roman"/>
          <w:color w:val="000000"/>
          <w:sz w:val="24"/>
          <w:u w:val="single"/>
        </w:rPr>
        <w:t>Distributions Generally</w:t>
      </w:r>
      <w:r>
        <w:rPr>
          <w:rFonts w:ascii="Times New Roman" w:hAnsi="Times New Roman"/>
          <w:color w:val="000000"/>
          <w:sz w:val="24"/>
        </w:rPr>
        <w:t>. The Managing Member may, subject to (i)</w:t>
      </w:r>
      <w:r>
        <w:rPr>
          <w:rFonts w:ascii="Times New Roman" w:hAnsi="Times New Roman"/>
          <w:color w:val="000000"/>
          <w:sz w:val="20"/>
        </w:rPr>
        <w:t xml:space="preserve"> </w:t>
      </w:r>
      <w:r>
        <w:rPr>
          <w:rFonts w:ascii="Times New Roman" w:hAnsi="Times New Roman"/>
          <w:color w:val="000000"/>
          <w:sz w:val="24"/>
        </w:rPr>
        <w:t>any restrictions contained in the financing agreements to which the Company or any of its Subsidiaries is a party, (ii) having available cash (after setting aside appropriate reserves), and (iii) any other restrictions set forth in this Agreement, make Distributions at any time and from time to time. Notwithstanding any other provision of this Agreement to the contrary, no Distribution, Tax Distribution or other payment in respect of Units shall be required to be made to any Member if, and to the extent that, such Distribution, Tax Distribution or other payment in respect of Units would not be permitted under the California Act or other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Operating and Liquidating Distributions</w:t>
      </w:r>
      <w:r>
        <w:rPr>
          <w:rFonts w:ascii="Times New Roman" w:hAnsi="Times New Roman"/>
          <w:color w:val="000000"/>
          <w:sz w:val="24"/>
        </w:rPr>
        <w:t xml:space="preserve">. Subject to </w:t>
      </w:r>
      <w:r>
        <w:rPr>
          <w:rFonts w:ascii="Times New Roman" w:hAnsi="Times New Roman"/>
          <w:color w:val="000000"/>
          <w:sz w:val="24"/>
          <w:u w:val="single"/>
        </w:rPr>
        <w:t>Section 4.1(c)</w:t>
      </w:r>
      <w:r>
        <w:rPr>
          <w:rFonts w:ascii="Times New Roman" w:hAnsi="Times New Roman"/>
          <w:color w:val="000000"/>
          <w:sz w:val="20"/>
        </w:rPr>
        <w:t xml:space="preserve"> </w:t>
      </w:r>
      <w:r>
        <w:rPr>
          <w:rFonts w:ascii="Times New Roman" w:hAnsi="Times New Roman"/>
          <w:color w:val="000000"/>
          <w:sz w:val="24"/>
        </w:rPr>
        <w:t>with respect to Tax Distributions, all Distributions by the Company shall be made or allocated to holders of Participating Units pro rata based on the number of Participating Units held by each such holder.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Tax Distributions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With respect to each Member, the Company shall calculate the excess of (x)(A) the Income Amount allocated or allocable to such Member for the Tax Estimation Period in question and for all preceding Tax Estimation Periods, if any, within the Taxable Year containing such Tax Estimation Period multiplied by (B) the Assumed Tax Rate over (y) the aggregate amount of all prior Tax Distributions in respect of such Taxable Year and any Distributions made to such Member pursuant to </w:t>
      </w:r>
      <w:r>
        <w:rPr>
          <w:rFonts w:ascii="Times New Roman" w:hAnsi="Times New Roman"/>
          <w:color w:val="000000"/>
          <w:sz w:val="24"/>
          <w:u w:val="single"/>
        </w:rPr>
        <w:t>Section 4.1(b)</w:t>
      </w:r>
      <w:r>
        <w:rPr>
          <w:rFonts w:ascii="Times New Roman" w:hAnsi="Times New Roman"/>
          <w:color w:val="000000"/>
          <w:sz w:val="20"/>
        </w:rPr>
        <w:t xml:space="preserve"> </w:t>
      </w:r>
      <w:r>
        <w:rPr>
          <w:rFonts w:ascii="Times New Roman" w:hAnsi="Times New Roman"/>
          <w:color w:val="000000"/>
          <w:sz w:val="24"/>
        </w:rPr>
        <w:t>with respect to the Tax Estimation Period in question and any previous Tax Estimation Period falling in the Taxable Year containing the applicable Tax Estimation Period referred to in (x)(A) (the amount so calculated pursuant to this sentence is herein referred to as a “</w:t>
      </w:r>
      <w:r>
        <w:rPr>
          <w:rFonts w:ascii="Times New Roman" w:hAnsi="Times New Roman"/>
          <w:b/>
          <w:color w:val="000000"/>
          <w:sz w:val="24"/>
        </w:rPr>
        <w:t>Tax Distribution</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however, that the Managing Member may make adjustments in its reasonable discretion to reflect transactions occurring during the Taxable Year. For purposes of this Agreement, the “</w:t>
      </w:r>
      <w:r>
        <w:rPr>
          <w:rFonts w:ascii="Times New Roman" w:hAnsi="Times New Roman"/>
          <w:b/>
          <w:color w:val="000000"/>
          <w:sz w:val="24"/>
        </w:rPr>
        <w:t>Income Amount</w:t>
      </w:r>
      <w:r>
        <w:rPr>
          <w:rFonts w:ascii="Times New Roman" w:hAnsi="Times New Roman"/>
          <w:color w:val="000000"/>
          <w:sz w:val="20"/>
        </w:rPr>
        <w:t xml:space="preserve">” </w:t>
      </w:r>
      <w:r>
        <w:rPr>
          <w:rFonts w:ascii="Times New Roman" w:hAnsi="Times New Roman"/>
          <w:color w:val="000000"/>
          <w:sz w:val="24"/>
        </w:rPr>
        <w:t>for a Tax Estimation Period shall equal, with respect to any Member, the net taxable income of the Company allocated or allocable to such Member for such Tax Estimation Period (excluding any compensation paid to a Member outside of this Agreement). For purposes of computing the Income Amount, taxable income shall be determined (i) without regard to any adjustments under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Sections 732(d), 734(b) and 743(b) of the Code, (ii) by including adjustments to taxable income in respect of Section 704(c) of the Code, and (iii) by reducing such taxable income by taxable losses of the Company allocated to such Member for taxable periods (or portions thereof) beginning after the date hereof to the extent that such losses are of a character (ordinary or capital) that would permit the losses to be deducted by such Member against the current taxable income of the Company allocable to the Member for such Tax Estimation Period, are otherwise available to be utilized, and have not previously been taken into account in determining such Member’s Income Amount.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At least ten (10) Business Days before the individual or corporate quarterly estimate payment deadline for U.S. federal income taxes for calendar year filers (whichever is earlier), the Company shall distribute (to the extent available) to the Members pro rata based upon the number of Class A Common Units (including Unvested Class A Common Units) held by each such Member, an aggregate amount of cash sufficient to provide each such Member with a distribution at least equal to such Tax Distribution.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Notwithstanding anything to the contrary herein, no Tax Distributions will be required to be made with respect to items arising with respect to any Covered Transaction, although any unpaid Tax Distributions with respect to any Tax Estimation Period, or portion thereof, ending before a Covered Transaction shall continue to be required to be paid prior to any Distributions being made under </w:t>
      </w:r>
      <w:r>
        <w:rPr>
          <w:rFonts w:ascii="Times New Roman" w:hAnsi="Times New Roman"/>
          <w:color w:val="000000"/>
          <w:sz w:val="24"/>
          <w:u w:val="single"/>
        </w:rPr>
        <w:t>Section 4.1(b)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Each Distribution pursuant to Section 4.1(b) and each Distribution pursuant to Section 4.1(c) shall be made to the Persons shown on the Company’s books and records as Members as of the date of such Distribution;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any transferor and transferee of Units may mutually agree as to which of them should receive payment of any Distribution under Section 4.1(c);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that the Managing Member may in its reasonable discretion make a Tax Distribution under Section 4.1(c) to a former Member in respect of a Taxable Year (or the portion thereof) in which such former Member was a Member.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Notwithstanding anything to the contrary in this </w:t>
      </w:r>
      <w:r>
        <w:rPr>
          <w:rFonts w:ascii="Times New Roman" w:hAnsi="Times New Roman"/>
          <w:color w:val="000000"/>
          <w:sz w:val="24"/>
          <w:u w:val="single"/>
        </w:rPr>
        <w:t>Section 4.1</w:t>
      </w:r>
      <w:r>
        <w:rPr>
          <w:rFonts w:ascii="Times New Roman" w:hAnsi="Times New Roman"/>
          <w:color w:val="000000"/>
          <w:sz w:val="24"/>
        </w:rPr>
        <w:t xml:space="preserve">, no distributions shall be made pursuant to </w:t>
      </w:r>
      <w:r>
        <w:rPr>
          <w:rFonts w:ascii="Times New Roman" w:hAnsi="Times New Roman"/>
          <w:color w:val="000000"/>
          <w:sz w:val="24"/>
          <w:u w:val="single"/>
        </w:rPr>
        <w:t>Section 4.1</w:t>
      </w:r>
      <w:r>
        <w:rPr>
          <w:rFonts w:ascii="Times New Roman" w:hAnsi="Times New Roman"/>
          <w:color w:val="000000"/>
          <w:sz w:val="20"/>
        </w:rPr>
        <w:t xml:space="preserve"> </w:t>
      </w:r>
      <w:r>
        <w:rPr>
          <w:rFonts w:ascii="Times New Roman" w:hAnsi="Times New Roman"/>
          <w:color w:val="000000"/>
          <w:sz w:val="24"/>
        </w:rPr>
        <w:t>on account of a Participating Unit that has not vested in accordance with the vesting schedule applicable to such Unvested Class A Common Units (or any other Units subject to vesting) (other than to the extent such distributions are in respect of a Tax Distribution); provided that any distributions in respect of Unvested Class A Common Units (or any other Units subject to vesting) shall be payable at the same time as such Unvested Class A Common Units (or any other Units subject to vesting) become vested Class A Common Units, and if such Unvested Class A Common Units (or any other Units subject to vesting) are forfeited, the former holder of such Class A Common Units shall have no right to receive such distributions.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For purposes of this </w:t>
      </w:r>
      <w:r>
        <w:rPr>
          <w:rFonts w:ascii="Times New Roman" w:hAnsi="Times New Roman"/>
          <w:color w:val="000000"/>
          <w:sz w:val="24"/>
          <w:u w:val="single"/>
        </w:rPr>
        <w:t>Section 4.1</w:t>
      </w:r>
      <w:r>
        <w:rPr>
          <w:rFonts w:ascii="Times New Roman" w:hAnsi="Times New Roman"/>
          <w:color w:val="000000"/>
          <w:sz w:val="24"/>
        </w:rPr>
        <w:t xml:space="preserve">, any non-cash Company assets distributed in kind to any Members shall be valued at their Fair Market Value in accordance with </w:t>
      </w:r>
      <w:r>
        <w:rPr>
          <w:rFonts w:ascii="Times New Roman" w:hAnsi="Times New Roman"/>
          <w:color w:val="000000"/>
          <w:sz w:val="24"/>
          <w:u w:val="single"/>
        </w:rPr>
        <w:t>Article XIV</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4.2 </w:t>
      </w:r>
      <w:r>
        <w:rPr>
          <w:rFonts w:ascii="Times New Roman" w:hAnsi="Times New Roman"/>
          <w:color w:val="000000"/>
          <w:sz w:val="24"/>
          <w:u w:val="single"/>
        </w:rPr>
        <w:t>Allocations of Net Profit and Net Loss</w:t>
      </w:r>
      <w:r>
        <w:rPr>
          <w:rFonts w:ascii="Times New Roman" w:hAnsi="Times New Roman"/>
          <w:color w:val="000000"/>
          <w:sz w:val="24"/>
        </w:rPr>
        <w:t xml:space="preserve">. Except as otherwise provided in this Agreement, including </w:t>
      </w:r>
      <w:r>
        <w:rPr>
          <w:rFonts w:ascii="Times New Roman" w:hAnsi="Times New Roman"/>
          <w:color w:val="000000"/>
          <w:sz w:val="24"/>
          <w:u w:val="single"/>
        </w:rPr>
        <w:t>Section 4.3</w:t>
      </w:r>
      <w:r>
        <w:rPr>
          <w:rFonts w:ascii="Times New Roman" w:hAnsi="Times New Roman"/>
          <w:color w:val="000000"/>
          <w:sz w:val="24"/>
        </w:rPr>
        <w:t>, Net Profits and Net Losses (and, to the extent necessary, individual items of income, gain, loss, deduction or credit of the Company) shall be allocated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among the Capital Accounts of the Members in a manner such that, after such allocations have been made, the balance of each Member’s Capital Account is, as nearly as possible, equal to (a) the amount that would be distributed to such Member if the Company were to sell all of its assets for the Book Value thereof, satisfy all of its liabilities in cash in accordance with their terms (limited with respect to each nonrecourse liability to the Book Value of the assets securing such liability), and distribute all remaining or resulting cash pursuant to </w:t>
      </w:r>
      <w:r>
        <w:rPr>
          <w:rFonts w:ascii="Times New Roman" w:hAnsi="Times New Roman"/>
          <w:color w:val="000000"/>
          <w:sz w:val="24"/>
          <w:u w:val="single"/>
        </w:rPr>
        <w:t>Section 13.2</w:t>
      </w:r>
      <w:r>
        <w:rPr>
          <w:rFonts w:ascii="Times New Roman" w:hAnsi="Times New Roman"/>
          <w:color w:val="000000"/>
          <w:sz w:val="20"/>
        </w:rPr>
        <w:t xml:space="preserve"> </w:t>
      </w:r>
      <w:r>
        <w:rPr>
          <w:rFonts w:ascii="Times New Roman" w:hAnsi="Times New Roman"/>
          <w:color w:val="000000"/>
          <w:sz w:val="24"/>
        </w:rPr>
        <w:t>(assuming all Units are fully vested for this purpose), minus (b) the Member’s share of Company Minimum Gain and Member Nonrecourse Debt Minimum Gain, computed immediately prior to the hypothetical sale of assets, and (without duplication) the amount any such Member is treated as obligated to contribute to the Company, computed immediately after the hypothetical sale of assets. Notwithstanding the foregoing, the Managing Member in its sole discretion shall make allocations for tax purposes as may be needed to ensure that allocations are in accordance with the interests of the Members within the meaning of the Code and Treasury Regulations.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4.3 </w:t>
      </w:r>
      <w:r>
        <w:rPr>
          <w:rFonts w:ascii="Times New Roman" w:hAnsi="Times New Roman"/>
          <w:color w:val="000000"/>
          <w:sz w:val="24"/>
          <w:u w:val="single"/>
        </w:rPr>
        <w:t>Special Allocations</w:t>
      </w:r>
      <w:r>
        <w:rPr>
          <w:rFonts w:ascii="Times New Roman" w:hAnsi="Times New Roman"/>
          <w:color w:val="000000"/>
          <w:sz w:val="24"/>
        </w:rPr>
        <w:t>. Notwithstanding any other provision in this Article IV:</w:t>
      </w:r>
    </w:p>
    <w:p>
      <w:pPr>
        <w:pStyle w:val="TextBody"/>
        <w:bidi w:val="0"/>
        <w:spacing w:before="0" w:after="240"/>
        <w:jc w:val="both"/>
        <w:rPr>
          <w:rFonts w:ascii="Times New Roman" w:hAnsi="Times New Roman"/>
          <w:sz w:val="20"/>
        </w:rPr>
      </w:pPr>
      <w:bookmarkStart w:id="87" w:name="docxtextref239"/>
      <w:bookmarkEnd w:id="87"/>
      <w:r>
        <w:rPr>
          <w:rFonts w:ascii="Times New Roman" w:hAnsi="Times New Roman"/>
          <w:color w:val="000000"/>
          <w:sz w:val="24"/>
        </w:rPr>
        <w:t xml:space="preserve">(a) </w:t>
      </w:r>
      <w:r>
        <w:rPr>
          <w:rFonts w:ascii="Times New Roman" w:hAnsi="Times New Roman"/>
          <w:color w:val="000000"/>
          <w:sz w:val="24"/>
          <w:u w:val="single"/>
        </w:rPr>
        <w:t>Minimum Gain Chargeback</w:t>
      </w:r>
      <w:r>
        <w:rPr>
          <w:rFonts w:ascii="Times New Roman" w:hAnsi="Times New Roman"/>
          <w:color w:val="000000"/>
          <w:sz w:val="24"/>
        </w:rPr>
        <w:t xml:space="preserve">. If there is a net decrease in Company Minimum Gain or Member Nonrecourse Debt Minimum Gain (determined in accordance with the principles of Treasury Regulations Sections 1.704-2(d) and </w:t>
      </w:r>
      <w:bookmarkStart w:id="88" w:name="docxtextref244"/>
      <w:bookmarkEnd w:id="88"/>
      <w:r>
        <w:rPr>
          <w:rFonts w:ascii="Times New Roman" w:hAnsi="Times New Roman"/>
          <w:color w:val="000000"/>
          <w:sz w:val="24"/>
        </w:rPr>
        <w:t xml:space="preserve">1.704-2(i)) during any Company taxable year, the Members shall be specially allocated items of Company income and gain for such year (and, if necessary, subsequent years) in an amount equal to their respective shares of such net decrease during such year, determined pursuant to Treasury Regulations Sections </w:t>
      </w:r>
      <w:bookmarkStart w:id="89" w:name="docxtextref240"/>
      <w:bookmarkEnd w:id="89"/>
      <w:r>
        <w:rPr>
          <w:rFonts w:ascii="Times New Roman" w:hAnsi="Times New Roman"/>
          <w:color w:val="000000"/>
          <w:sz w:val="24"/>
        </w:rPr>
        <w:t xml:space="preserve">1.704-2(g) and </w:t>
      </w:r>
      <w:bookmarkStart w:id="90" w:name="docxtextref245"/>
      <w:bookmarkEnd w:id="90"/>
      <w:r>
        <w:rPr>
          <w:rFonts w:ascii="Times New Roman" w:hAnsi="Times New Roman"/>
          <w:color w:val="000000"/>
          <w:sz w:val="24"/>
        </w:rPr>
        <w:t xml:space="preserve">1.704-2(i)(5). The items to be so allocated shall be determined in accordance with Treasury Regulations Section </w:t>
      </w:r>
      <w:bookmarkStart w:id="91" w:name="docxtextref241"/>
      <w:bookmarkEnd w:id="91"/>
      <w:r>
        <w:rPr>
          <w:rFonts w:ascii="Times New Roman" w:hAnsi="Times New Roman"/>
          <w:color w:val="000000"/>
          <w:sz w:val="24"/>
        </w:rPr>
        <w:t xml:space="preserve">1.704-2(f). This </w:t>
      </w:r>
      <w:r>
        <w:rPr>
          <w:rFonts w:ascii="Times New Roman" w:hAnsi="Times New Roman"/>
          <w:color w:val="000000"/>
          <w:sz w:val="24"/>
          <w:u w:val="single"/>
        </w:rPr>
        <w:t>Section 4.3(a)</w:t>
      </w:r>
      <w:r>
        <w:rPr>
          <w:rFonts w:ascii="Times New Roman" w:hAnsi="Times New Roman"/>
          <w:color w:val="000000"/>
          <w:sz w:val="20"/>
        </w:rPr>
        <w:t xml:space="preserve"> </w:t>
      </w:r>
      <w:r>
        <w:rPr>
          <w:rFonts w:ascii="Times New Roman" w:hAnsi="Times New Roman"/>
          <w:color w:val="000000"/>
          <w:sz w:val="24"/>
        </w:rPr>
        <w:t xml:space="preserve">is intended to comply with the minimum gain chargeback requirements in such Treasury Regulations Sections and shall be interpreted consistently therewith; including that no chargeback shall be required to the extent of the exceptions provided in Treasury Regulations Sections </w:t>
      </w:r>
      <w:bookmarkStart w:id="92" w:name="docxtextref242"/>
      <w:bookmarkEnd w:id="92"/>
      <w:r>
        <w:rPr>
          <w:rFonts w:ascii="Times New Roman" w:hAnsi="Times New Roman"/>
          <w:color w:val="000000"/>
          <w:sz w:val="24"/>
        </w:rPr>
        <w:t xml:space="preserve">1.704-2(f) and </w:t>
      </w:r>
      <w:bookmarkStart w:id="93" w:name="docxtextref246"/>
      <w:bookmarkEnd w:id="93"/>
      <w:r>
        <w:rPr>
          <w:rFonts w:ascii="Times New Roman" w:hAnsi="Times New Roman"/>
          <w:color w:val="000000"/>
          <w:sz w:val="24"/>
        </w:rPr>
        <w:t>1.704-2(i)(4).</w:t>
      </w:r>
    </w:p>
    <w:p>
      <w:pPr>
        <w:pStyle w:val="TextBody"/>
        <w:bidi w:val="0"/>
        <w:spacing w:before="0" w:after="240"/>
        <w:jc w:val="both"/>
        <w:rPr>
          <w:rFonts w:ascii="Times New Roman" w:hAnsi="Times New Roman"/>
          <w:sz w:val="20"/>
        </w:rPr>
      </w:pPr>
      <w:bookmarkStart w:id="94" w:name="docxtextref247"/>
      <w:bookmarkEnd w:id="94"/>
      <w:r>
        <w:rPr>
          <w:rFonts w:ascii="Times New Roman" w:hAnsi="Times New Roman"/>
          <w:color w:val="000000"/>
          <w:sz w:val="24"/>
        </w:rPr>
        <w:t xml:space="preserve">(b) </w:t>
      </w:r>
      <w:r>
        <w:rPr>
          <w:rFonts w:ascii="Times New Roman" w:hAnsi="Times New Roman"/>
          <w:color w:val="000000"/>
          <w:sz w:val="24"/>
          <w:u w:val="single"/>
        </w:rPr>
        <w:t>Qualified Income Offset</w:t>
      </w:r>
      <w:r>
        <w:rPr>
          <w:rFonts w:ascii="Times New Roman" w:hAnsi="Times New Roman"/>
          <w:color w:val="000000"/>
          <w:sz w:val="24"/>
        </w:rPr>
        <w:t xml:space="preserve">. If any Member unexpectedly receives any adjustments, allocations, or Distributions described in Treasury Regulations Section 1.704-1(b)(2)(ii)(d)(4), </w:t>
      </w:r>
      <w:bookmarkStart w:id="95" w:name="docxtextref252"/>
      <w:bookmarkEnd w:id="95"/>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 xml:space="preserve">or </w:t>
      </w:r>
      <w:bookmarkStart w:id="96" w:name="docxtextref253"/>
      <w:bookmarkEnd w:id="96"/>
      <w:r>
        <w:rPr>
          <w:rFonts w:ascii="Times New Roman" w:hAnsi="Times New Roman"/>
          <w:color w:val="000000"/>
          <w:sz w:val="24"/>
        </w:rPr>
        <w:t xml:space="preserve">(6), items of Company income and gain shall be specially allocated to such Member in an amount and manner sufficient to eliminate the deficit balance in such Member’s Adjusted Capital Account Balance created by such adjustments, allocations or Distributions as promptly as possible;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an allocation pursuant to this </w:t>
      </w:r>
      <w:r>
        <w:rPr>
          <w:rFonts w:ascii="Times New Roman" w:hAnsi="Times New Roman"/>
          <w:color w:val="000000"/>
          <w:sz w:val="24"/>
          <w:u w:val="single"/>
        </w:rPr>
        <w:t>Section 4.3(b)</w:t>
      </w:r>
      <w:r>
        <w:rPr>
          <w:rFonts w:ascii="Times New Roman" w:hAnsi="Times New Roman"/>
          <w:color w:val="000000"/>
          <w:sz w:val="20"/>
        </w:rPr>
        <w:t xml:space="preserve"> </w:t>
      </w:r>
      <w:r>
        <w:rPr>
          <w:rFonts w:ascii="Times New Roman" w:hAnsi="Times New Roman"/>
          <w:color w:val="000000"/>
          <w:sz w:val="24"/>
        </w:rPr>
        <w:t xml:space="preserve">shall be made only to the extent that a Member would have a deficit Adjusted Capital Account Balance in excess of such sum after all other allocations provided for in this Article IV have been tentatively made as if this </w:t>
      </w:r>
      <w:r>
        <w:rPr>
          <w:rFonts w:ascii="Times New Roman" w:hAnsi="Times New Roman"/>
          <w:color w:val="000000"/>
          <w:sz w:val="24"/>
          <w:u w:val="single"/>
        </w:rPr>
        <w:t>Section 4.3(b)</w:t>
      </w:r>
      <w:r>
        <w:rPr>
          <w:rFonts w:ascii="Times New Roman" w:hAnsi="Times New Roman"/>
          <w:color w:val="000000"/>
          <w:sz w:val="20"/>
        </w:rPr>
        <w:t xml:space="preserve"> </w:t>
      </w:r>
      <w:r>
        <w:rPr>
          <w:rFonts w:ascii="Times New Roman" w:hAnsi="Times New Roman"/>
          <w:color w:val="000000"/>
          <w:sz w:val="24"/>
        </w:rPr>
        <w:t xml:space="preserve">were not in this Agreement. This </w:t>
      </w:r>
      <w:r>
        <w:rPr>
          <w:rFonts w:ascii="Times New Roman" w:hAnsi="Times New Roman"/>
          <w:color w:val="000000"/>
          <w:sz w:val="24"/>
          <w:u w:val="single"/>
        </w:rPr>
        <w:t>Section 4.3(b)</w:t>
      </w:r>
      <w:r>
        <w:rPr>
          <w:rFonts w:ascii="Times New Roman" w:hAnsi="Times New Roman"/>
          <w:color w:val="000000"/>
          <w:sz w:val="20"/>
        </w:rPr>
        <w:t xml:space="preserve"> </w:t>
      </w:r>
      <w:r>
        <w:rPr>
          <w:rFonts w:ascii="Times New Roman" w:hAnsi="Times New Roman"/>
          <w:color w:val="000000"/>
          <w:sz w:val="24"/>
        </w:rPr>
        <w:t>is intended to comply with the “qualified income offset” requirement of the Code and shall be interpreted consistently therewith.</w:t>
      </w:r>
    </w:p>
    <w:p>
      <w:pPr>
        <w:pStyle w:val="TextBody"/>
        <w:bidi w:val="0"/>
        <w:spacing w:before="0" w:after="240"/>
        <w:jc w:val="both"/>
        <w:rPr>
          <w:rFonts w:ascii="Times New Roman" w:hAnsi="Times New Roman"/>
          <w:sz w:val="20"/>
        </w:rPr>
      </w:pPr>
      <w:bookmarkStart w:id="97" w:name="docxtextref269"/>
      <w:bookmarkEnd w:id="97"/>
      <w:r>
        <w:rPr>
          <w:rFonts w:ascii="Times New Roman" w:hAnsi="Times New Roman"/>
          <w:color w:val="000000"/>
          <w:sz w:val="24"/>
        </w:rPr>
        <w:t xml:space="preserve">(c) </w:t>
      </w:r>
      <w:r>
        <w:rPr>
          <w:rFonts w:ascii="Times New Roman" w:hAnsi="Times New Roman"/>
          <w:color w:val="000000"/>
          <w:sz w:val="24"/>
          <w:u w:val="single"/>
        </w:rPr>
        <w:t>Gross Income Allocation</w:t>
      </w:r>
      <w:r>
        <w:rPr>
          <w:rFonts w:ascii="Times New Roman" w:hAnsi="Times New Roman"/>
          <w:color w:val="000000"/>
          <w:sz w:val="24"/>
        </w:rPr>
        <w:t>. If any Member has a deficit Capital Account at the end of any taxable year which is in excess of the sum of (i)</w:t>
      </w:r>
      <w:r>
        <w:rPr>
          <w:rFonts w:ascii="Times New Roman" w:hAnsi="Times New Roman"/>
          <w:color w:val="000000"/>
          <w:sz w:val="20"/>
        </w:rPr>
        <w:t xml:space="preserve"> </w:t>
      </w:r>
      <w:r>
        <w:rPr>
          <w:rFonts w:ascii="Times New Roman" w:hAnsi="Times New Roman"/>
          <w:color w:val="000000"/>
          <w:sz w:val="24"/>
        </w:rPr>
        <w:t xml:space="preserve">the amount such Member is obligated to restore, if any, pursuant to any provision of this Agreement, and (ii) the amount such Member is deemed to be obligated to restore pursuant to the penultimate sentences of Treasury Regulations Section </w:t>
      </w:r>
      <w:bookmarkStart w:id="98" w:name="docxtextref264"/>
      <w:bookmarkEnd w:id="98"/>
      <w:r>
        <w:rPr>
          <w:rFonts w:ascii="Times New Roman" w:hAnsi="Times New Roman"/>
          <w:color w:val="000000"/>
          <w:sz w:val="24"/>
        </w:rPr>
        <w:t xml:space="preserve">1.704-2(g)(1) and </w:t>
      </w:r>
      <w:bookmarkStart w:id="99" w:name="docxtextref270"/>
      <w:bookmarkEnd w:id="99"/>
      <w:r>
        <w:rPr>
          <w:rFonts w:ascii="Times New Roman" w:hAnsi="Times New Roman"/>
          <w:color w:val="000000"/>
          <w:sz w:val="24"/>
        </w:rPr>
        <w:t xml:space="preserve">1.704-2(i)(5), each such Member shall be specially allocated items of Company income and gain in the amount of such excess as quickly as possible;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an allocation pursuant to this </w:t>
      </w:r>
      <w:r>
        <w:rPr>
          <w:rFonts w:ascii="Times New Roman" w:hAnsi="Times New Roman"/>
          <w:color w:val="000000"/>
          <w:sz w:val="24"/>
          <w:u w:val="single"/>
        </w:rPr>
        <w:t>Section 4.3(c)</w:t>
      </w:r>
      <w:r>
        <w:rPr>
          <w:rFonts w:ascii="Times New Roman" w:hAnsi="Times New Roman"/>
          <w:color w:val="000000"/>
          <w:sz w:val="20"/>
        </w:rPr>
        <w:t xml:space="preserve"> </w:t>
      </w:r>
      <w:r>
        <w:rPr>
          <w:rFonts w:ascii="Times New Roman" w:hAnsi="Times New Roman"/>
          <w:color w:val="000000"/>
          <w:sz w:val="24"/>
        </w:rPr>
        <w:t>shall be made only if and to the extent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that a Member would have a deficit Capital Account in excess of such sum after all other allocations provided for in this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 xml:space="preserve">have been tentatively made as if </w:t>
      </w:r>
      <w:r>
        <w:rPr>
          <w:rFonts w:ascii="Times New Roman" w:hAnsi="Times New Roman"/>
          <w:color w:val="000000"/>
          <w:sz w:val="24"/>
          <w:u w:val="single"/>
        </w:rPr>
        <w:t>Section 4.3(b)</w:t>
      </w:r>
      <w:r>
        <w:rPr>
          <w:rFonts w:ascii="Times New Roman" w:hAnsi="Times New Roman"/>
          <w:color w:val="000000"/>
          <w:sz w:val="20"/>
        </w:rPr>
        <w:t xml:space="preserve"> </w:t>
      </w:r>
      <w:r>
        <w:rPr>
          <w:rFonts w:ascii="Times New Roman" w:hAnsi="Times New Roman"/>
          <w:color w:val="000000"/>
          <w:sz w:val="24"/>
        </w:rPr>
        <w:t xml:space="preserve">and this </w:t>
      </w:r>
      <w:r>
        <w:rPr>
          <w:rFonts w:ascii="Times New Roman" w:hAnsi="Times New Roman"/>
          <w:color w:val="000000"/>
          <w:sz w:val="24"/>
          <w:u w:val="single"/>
        </w:rPr>
        <w:t>Section 4.3(c)</w:t>
      </w:r>
      <w:r>
        <w:rPr>
          <w:rFonts w:ascii="Times New Roman" w:hAnsi="Times New Roman"/>
          <w:color w:val="000000"/>
          <w:sz w:val="20"/>
        </w:rPr>
        <w:t xml:space="preserve"> </w:t>
      </w:r>
      <w:r>
        <w:rPr>
          <w:rFonts w:ascii="Times New Roman" w:hAnsi="Times New Roman"/>
          <w:color w:val="000000"/>
          <w:sz w:val="24"/>
        </w:rPr>
        <w:t>were not in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Nonrecourse Deductions</w:t>
      </w:r>
      <w:r>
        <w:rPr>
          <w:rFonts w:ascii="Times New Roman" w:hAnsi="Times New Roman"/>
          <w:color w:val="000000"/>
          <w:sz w:val="24"/>
        </w:rPr>
        <w:t>. Nonrecourse Deductions shall be allocated to the Members holding Class A Common Units pro rata based on the number of Participating Units held by each Member.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100" w:name="docxtextref271"/>
      <w:bookmarkEnd w:id="100"/>
      <w:r>
        <w:rPr>
          <w:rFonts w:ascii="Times New Roman" w:hAnsi="Times New Roman"/>
          <w:color w:val="000000"/>
          <w:sz w:val="24"/>
        </w:rPr>
        <w:t xml:space="preserve">(e) </w:t>
      </w:r>
      <w:r>
        <w:rPr>
          <w:rFonts w:ascii="Times New Roman" w:hAnsi="Times New Roman"/>
          <w:color w:val="000000"/>
          <w:sz w:val="24"/>
          <w:u w:val="single"/>
        </w:rPr>
        <w:t>Member Nonrecourse Deductions</w:t>
      </w:r>
      <w:r>
        <w:rPr>
          <w:rFonts w:ascii="Times New Roman" w:hAnsi="Times New Roman"/>
          <w:color w:val="000000"/>
          <w:sz w:val="24"/>
        </w:rPr>
        <w:t>. Member Nonrecourse Deductions for any taxable period shall be allocated to the Member who bears the economic risk of loss with respect to the liability to which such Member Nonrecourse Deductions are attributable in accordance with Treasury Regulations Section 1.704-2(j).</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Ameliorative Allocations</w:t>
      </w:r>
      <w:r>
        <w:rPr>
          <w:rFonts w:ascii="Times New Roman" w:hAnsi="Times New Roman"/>
          <w:color w:val="000000"/>
          <w:sz w:val="24"/>
        </w:rPr>
        <w:t xml:space="preserve">. Any special allocations of income or gain pursuant to </w:t>
      </w:r>
      <w:r>
        <w:rPr>
          <w:rFonts w:ascii="Times New Roman" w:hAnsi="Times New Roman"/>
          <w:color w:val="000000"/>
          <w:sz w:val="24"/>
          <w:u w:val="single"/>
        </w:rPr>
        <w:t>Sections 4.3(a)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4.3(c)</w:t>
      </w:r>
      <w:r>
        <w:rPr>
          <w:rFonts w:ascii="Times New Roman" w:hAnsi="Times New Roman"/>
          <w:color w:val="000000"/>
          <w:sz w:val="20"/>
        </w:rPr>
        <w:t xml:space="preserve"> </w:t>
      </w:r>
      <w:r>
        <w:rPr>
          <w:rFonts w:ascii="Times New Roman" w:hAnsi="Times New Roman"/>
          <w:color w:val="000000"/>
          <w:sz w:val="24"/>
        </w:rPr>
        <w:t xml:space="preserve">hereof shall be taken into account in computing subsequent allocations pursuant to </w:t>
      </w:r>
      <w:r>
        <w:rPr>
          <w:rFonts w:ascii="Times New Roman" w:hAnsi="Times New Roman"/>
          <w:color w:val="000000"/>
          <w:sz w:val="24"/>
          <w:u w:val="single"/>
        </w:rPr>
        <w:t>Section 4.2</w:t>
      </w:r>
      <w:r>
        <w:rPr>
          <w:rFonts w:ascii="Times New Roman" w:hAnsi="Times New Roman"/>
          <w:color w:val="000000"/>
          <w:sz w:val="20"/>
        </w:rPr>
        <w:t xml:space="preserve"> </w:t>
      </w:r>
      <w:r>
        <w:rPr>
          <w:rFonts w:ascii="Times New Roman" w:hAnsi="Times New Roman"/>
          <w:color w:val="000000"/>
          <w:sz w:val="24"/>
        </w:rPr>
        <w:t xml:space="preserve">and this </w:t>
      </w:r>
      <w:r>
        <w:rPr>
          <w:rFonts w:ascii="Times New Roman" w:hAnsi="Times New Roman"/>
          <w:color w:val="000000"/>
          <w:sz w:val="24"/>
          <w:u w:val="single"/>
        </w:rPr>
        <w:t>Section 4.3(f)</w:t>
      </w:r>
      <w:r>
        <w:rPr>
          <w:rFonts w:ascii="Times New Roman" w:hAnsi="Times New Roman"/>
          <w:color w:val="000000"/>
          <w:sz w:val="24"/>
        </w:rPr>
        <w:t xml:space="preserve">, so that the net amount of any items so allocated and all other items allocated to each Member shall, to the extent possible, be equal to the net amount that would have been allocated to each Member if such allocations pursuant to </w:t>
      </w:r>
      <w:r>
        <w:rPr>
          <w:rFonts w:ascii="Times New Roman" w:hAnsi="Times New Roman"/>
          <w:color w:val="000000"/>
          <w:sz w:val="24"/>
          <w:u w:val="single"/>
        </w:rPr>
        <w:t>Sections 4.3(a)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4.3(c)</w:t>
      </w:r>
      <w:r>
        <w:rPr>
          <w:rFonts w:ascii="Times New Roman" w:hAnsi="Times New Roman"/>
          <w:color w:val="000000"/>
          <w:sz w:val="20"/>
        </w:rPr>
        <w:t xml:space="preserve"> </w:t>
      </w:r>
      <w:r>
        <w:rPr>
          <w:rFonts w:ascii="Times New Roman" w:hAnsi="Times New Roman"/>
          <w:color w:val="000000"/>
          <w:sz w:val="24"/>
        </w:rPr>
        <w:t>had not occurred.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Section 754 Adjustments</w:t>
      </w:r>
      <w:r>
        <w:rPr>
          <w:rFonts w:ascii="Times New Roman" w:hAnsi="Times New Roman"/>
          <w:color w:val="000000"/>
          <w:sz w:val="24"/>
        </w:rPr>
        <w:t>. To the extent an adjustment to the adjusted tax basis of any Company asset pursuant to Code Sections 734(b) or 743(b) is required, pursuant to Treasury Regulations Section 1.704-1(b)(2)(iv)(m)(2) or 1.704-1(b)(2)(iv)(m)(4), to be taken into account in determining Capital Accounts as a result of a distribution to any Member in complete or partial liquidation of such Member’s Units in the Company, the amount of such adjustment to the Capital Accounts shall be treated as an item of gain (if the adjustment increases the basis of the asset) or loss (if the adjustment decreases such basis) and such item of gain or loss shall be allocated to the Members in accordance with Treasury Regulations Section 1.704-1(b)(2)(iv)(m)(2) if such Section applies or to the Member to whom such distribution was made if Treasury Regulations Section 1.704-1(b)(2)(iv)(m)(4) applies.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Forfeiture Allocation</w:t>
      </w:r>
      <w:r>
        <w:rPr>
          <w:rFonts w:ascii="Times New Roman" w:hAnsi="Times New Roman"/>
          <w:color w:val="000000"/>
          <w:sz w:val="24"/>
        </w:rPr>
        <w:t>. In the event that Unvested Class A Common Units (or any other Units subject to vesting) of any Member are forfeited, then for the fiscal year of such forfeiture or other period (as determined by the Managing Member):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items of income, gain, loss, and deduction shall be excluded from the calculation of Profits and Losses and shall be specially allocated to the Member whose Units have been forfeited so as to cause such Member’s Capital Account to equal such Member’s distribution entitlements under </w:t>
      </w:r>
      <w:r>
        <w:rPr>
          <w:rFonts w:ascii="Times New Roman" w:hAnsi="Times New Roman"/>
          <w:color w:val="000000"/>
          <w:sz w:val="24"/>
          <w:u w:val="single"/>
        </w:rPr>
        <w:t>Section 4.1</w:t>
      </w:r>
      <w:r>
        <w:rPr>
          <w:rFonts w:ascii="Times New Roman" w:hAnsi="Times New Roman"/>
          <w:color w:val="000000"/>
          <w:sz w:val="20"/>
        </w:rPr>
        <w:t xml:space="preserve"> </w:t>
      </w:r>
      <w:r>
        <w:rPr>
          <w:rFonts w:ascii="Times New Roman" w:hAnsi="Times New Roman"/>
          <w:color w:val="000000"/>
          <w:sz w:val="24"/>
        </w:rPr>
        <w:t>after giving effect to the adjustment in the Member’s ownership of Units resulting from the applicable forfeiture;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the Managing Member may elect to apply another allocation or Capital Account adjustment method to Units forfeiture as they deem appropriate in lieu of the method set forth in this </w:t>
      </w:r>
      <w:r>
        <w:rPr>
          <w:rFonts w:ascii="Times New Roman" w:hAnsi="Times New Roman"/>
          <w:color w:val="000000"/>
          <w:sz w:val="24"/>
          <w:u w:val="single"/>
        </w:rPr>
        <w:t>Section 4.3(h)</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4.4 </w:t>
      </w:r>
      <w:r>
        <w:rPr>
          <w:rFonts w:ascii="Times New Roman" w:hAnsi="Times New Roman"/>
          <w:color w:val="000000"/>
          <w:sz w:val="24"/>
          <w:u w:val="single"/>
        </w:rPr>
        <w:t>Tax Allocations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Except as provided in </w:t>
      </w:r>
      <w:r>
        <w:rPr>
          <w:rFonts w:ascii="Times New Roman" w:hAnsi="Times New Roman"/>
          <w:color w:val="000000"/>
          <w:sz w:val="24"/>
          <w:u w:val="single"/>
        </w:rPr>
        <w:t>Sections 4.4(b)</w:t>
      </w:r>
      <w:r>
        <w:rPr>
          <w:rFonts w:ascii="Times New Roman" w:hAnsi="Times New Roman"/>
          <w:color w:val="000000"/>
          <w:sz w:val="24"/>
        </w:rPr>
        <w:t xml:space="preserve">,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Net Profits and Net Losses (and, to the extent necessary, individual items of income, gains, losses, deductions and credits) of the Company will be allocated, for federal, state and local income tax purposes, among the holders of Units in accordance with the allocation of such income, gains, losses, deductions and credits among the holders of Units for book purposes.</w:t>
      </w:r>
    </w:p>
    <w:p>
      <w:pPr>
        <w:pStyle w:val="TextBody"/>
        <w:bidi w:val="0"/>
        <w:spacing w:before="0" w:after="240"/>
        <w:jc w:val="both"/>
        <w:rPr>
          <w:rFonts w:ascii="Times New Roman" w:hAnsi="Times New Roman"/>
          <w:sz w:val="20"/>
        </w:rPr>
      </w:pPr>
      <w:bookmarkStart w:id="101" w:name="docxtextref283"/>
      <w:bookmarkEnd w:id="101"/>
      <w:r>
        <w:rPr>
          <w:rFonts w:ascii="Times New Roman" w:hAnsi="Times New Roman"/>
          <w:color w:val="000000"/>
          <w:sz w:val="24"/>
        </w:rPr>
        <w:t>(b) Items of Company taxable income, gain, loss and deduction with respect to any property contributed to the capital of the Company shall be allocated among the holders of Units in accordance with Code Section 704(c)</w:t>
      </w:r>
      <w:r>
        <w:rPr>
          <w:rFonts w:ascii="Times New Roman" w:hAnsi="Times New Roman"/>
          <w:color w:val="000000"/>
          <w:sz w:val="20"/>
        </w:rPr>
        <w:t xml:space="preserve"> </w:t>
      </w:r>
      <w:r>
        <w:rPr>
          <w:rFonts w:ascii="Times New Roman" w:hAnsi="Times New Roman"/>
          <w:color w:val="000000"/>
          <w:sz w:val="24"/>
        </w:rPr>
        <w:t xml:space="preserve">so as to take account of any variation between the adjusted basis of such property to the Company and its Book Value using such method or methods determined by the Managing Member to be appropriate and in accordance with the applicable Treasury Regulations;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notwithstanding anything to the contrary, the Company shall elect to use the “traditional method with curative allocations” within the meaning of Treasury Regulations Section 1.704-3(c) in respect of section 197 intangibles (as defined in Section 197(d) of the Code) that are subject to reverse Section 704(c) allocations as a result of a contribution of cash by PubCo at the time of the IPO, and in respect of revaluations of such property following the Initial Public Offering, with such curative allocations limited to gain from the sale of such section 197 intangibles as described in Treasury Regulations Section 1.704-3(c)(3)(iii)(B).</w:t>
      </w:r>
    </w:p>
    <w:p>
      <w:pPr>
        <w:pStyle w:val="TextBody"/>
        <w:bidi w:val="0"/>
        <w:spacing w:before="0" w:after="240"/>
        <w:jc w:val="both"/>
        <w:rPr>
          <w:rFonts w:ascii="Times New Roman" w:hAnsi="Times New Roman"/>
          <w:sz w:val="20"/>
        </w:rPr>
      </w:pPr>
      <w:bookmarkStart w:id="102" w:name="docxtextref291"/>
      <w:bookmarkEnd w:id="102"/>
      <w:r>
        <w:rPr>
          <w:rFonts w:ascii="Times New Roman" w:hAnsi="Times New Roman"/>
          <w:color w:val="000000"/>
          <w:sz w:val="24"/>
        </w:rPr>
        <w:t xml:space="preserve">(c) If the Book Value of any Company asset is adjusted pursuant to </w:t>
      </w:r>
      <w:r>
        <w:rPr>
          <w:rFonts w:ascii="Times New Roman" w:hAnsi="Times New Roman"/>
          <w:color w:val="000000"/>
          <w:sz w:val="24"/>
          <w:u w:val="single"/>
        </w:rPr>
        <w:t>Section 3.3</w:t>
      </w:r>
      <w:r>
        <w:rPr>
          <w:rFonts w:ascii="Times New Roman" w:hAnsi="Times New Roman"/>
          <w:color w:val="000000"/>
          <w:sz w:val="24"/>
        </w:rPr>
        <w:t>, subsequent allocations of items of taxable income, gain, loss and deduction with respect to such asset shall take account of any variation between the adjusted basis of such asset for federal income tax purposes and its Book Value in the same manner as under Code Section 704(c).</w:t>
      </w:r>
    </w:p>
    <w:p>
      <w:pPr>
        <w:pStyle w:val="TextBody"/>
        <w:bidi w:val="0"/>
        <w:spacing w:before="0" w:after="240"/>
        <w:jc w:val="both"/>
        <w:rPr>
          <w:rFonts w:ascii="Times New Roman" w:hAnsi="Times New Roman"/>
          <w:color w:val="000000"/>
          <w:sz w:val="24"/>
        </w:rPr>
      </w:pPr>
      <w:bookmarkStart w:id="103" w:name="docxtextref293"/>
      <w:bookmarkEnd w:id="103"/>
      <w:r>
        <w:rPr>
          <w:rFonts w:ascii="Times New Roman" w:hAnsi="Times New Roman"/>
          <w:color w:val="000000"/>
          <w:sz w:val="24"/>
        </w:rPr>
        <w:t>(d) Allocations of tax credits, tax credit recapture, and any items related thereto shall be allocated to the holders of Units according to their interests in such items as determined by the Managing Member taking into account the principles of Treasury Regulation Section 1.704-1(b)(4)(ii).</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Allocations pursuant to this </w:t>
      </w:r>
      <w:r>
        <w:rPr>
          <w:rFonts w:ascii="Times New Roman" w:hAnsi="Times New Roman"/>
          <w:color w:val="000000"/>
          <w:sz w:val="24"/>
          <w:u w:val="single"/>
        </w:rPr>
        <w:t>Section 4.4</w:t>
      </w:r>
      <w:r>
        <w:rPr>
          <w:rFonts w:ascii="Times New Roman" w:hAnsi="Times New Roman"/>
          <w:color w:val="000000"/>
          <w:sz w:val="20"/>
        </w:rPr>
        <w:t xml:space="preserve"> </w:t>
      </w:r>
      <w:r>
        <w:rPr>
          <w:rFonts w:ascii="Times New Roman" w:hAnsi="Times New Roman"/>
          <w:color w:val="000000"/>
          <w:sz w:val="24"/>
        </w:rPr>
        <w:t>are solely for purposes of federal, state and local taxes and shall not affect, or in any way be taken into account in computing, any holder’s Capital Account or share of book income, gain, loss or deduction, Distributions or other Company items pursuant to any provision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4.5 </w:t>
      </w:r>
      <w:r>
        <w:rPr>
          <w:rFonts w:ascii="Times New Roman" w:hAnsi="Times New Roman"/>
          <w:color w:val="000000"/>
          <w:sz w:val="24"/>
          <w:u w:val="single"/>
        </w:rPr>
        <w:t>Other Allocation Rules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provisions regarding the establishment and maintenance for each Member of a Capital Account as provided by </w:t>
      </w:r>
      <w:r>
        <w:rPr>
          <w:rFonts w:ascii="Times New Roman" w:hAnsi="Times New Roman"/>
          <w:color w:val="000000"/>
          <w:sz w:val="24"/>
          <w:u w:val="single"/>
        </w:rPr>
        <w:t>Section 3.3</w:t>
      </w:r>
      <w:r>
        <w:rPr>
          <w:rFonts w:ascii="Times New Roman" w:hAnsi="Times New Roman"/>
          <w:color w:val="000000"/>
          <w:sz w:val="20"/>
        </w:rPr>
        <w:t xml:space="preserve"> </w:t>
      </w:r>
      <w:r>
        <w:rPr>
          <w:rFonts w:ascii="Times New Roman" w:hAnsi="Times New Roman"/>
          <w:color w:val="000000"/>
          <w:sz w:val="24"/>
        </w:rPr>
        <w:t xml:space="preserve">and the allocations set forth in </w:t>
      </w:r>
      <w:r>
        <w:rPr>
          <w:rFonts w:ascii="Times New Roman" w:hAnsi="Times New Roman"/>
          <w:color w:val="000000"/>
          <w:sz w:val="24"/>
          <w:u w:val="single"/>
        </w:rPr>
        <w:t>Sections</w:t>
      </w:r>
      <w:r>
        <w:rPr>
          <w:rFonts w:ascii="Times New Roman" w:hAnsi="Times New Roman"/>
          <w:color w:val="000000"/>
          <w:sz w:val="20"/>
        </w:rPr>
        <w:t xml:space="preserve"> </w:t>
      </w:r>
      <w:r>
        <w:rPr>
          <w:rFonts w:ascii="Times New Roman" w:hAnsi="Times New Roman"/>
          <w:color w:val="000000"/>
          <w:sz w:val="24"/>
          <w:u w:val="single"/>
        </w:rPr>
        <w:t>4.2</w:t>
      </w:r>
      <w:r>
        <w:rPr>
          <w:rFonts w:ascii="Times New Roman" w:hAnsi="Times New Roman"/>
          <w:color w:val="000000"/>
          <w:sz w:val="24"/>
        </w:rPr>
        <w:t xml:space="preserve">, </w:t>
      </w:r>
      <w:r>
        <w:rPr>
          <w:rFonts w:ascii="Times New Roman" w:hAnsi="Times New Roman"/>
          <w:color w:val="000000"/>
          <w:sz w:val="24"/>
          <w:u w:val="single"/>
        </w:rPr>
        <w:t>4.3</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4.4</w:t>
      </w:r>
      <w:r>
        <w:rPr>
          <w:rFonts w:ascii="Times New Roman" w:hAnsi="Times New Roman"/>
          <w:color w:val="000000"/>
          <w:sz w:val="20"/>
        </w:rPr>
        <w:t xml:space="preserve"> </w:t>
      </w:r>
      <w:r>
        <w:rPr>
          <w:rFonts w:ascii="Times New Roman" w:hAnsi="Times New Roman"/>
          <w:color w:val="000000"/>
          <w:sz w:val="24"/>
        </w:rPr>
        <w:t xml:space="preserve">are intended to comply with the Treasury Regulations and to reflect the intended economic entitlement of the Members. If the Managing Member reasonably determines that the application of the provisions in </w:t>
      </w:r>
      <w:r>
        <w:rPr>
          <w:rFonts w:ascii="Times New Roman" w:hAnsi="Times New Roman"/>
          <w:color w:val="000000"/>
          <w:sz w:val="24"/>
          <w:u w:val="single"/>
        </w:rPr>
        <w:t>Section 3.3,</w:t>
      </w:r>
      <w:r>
        <w:rPr>
          <w:rFonts w:ascii="Times New Roman" w:hAnsi="Times New Roman"/>
          <w:color w:val="000000"/>
          <w:sz w:val="20"/>
        </w:rPr>
        <w:t xml:space="preserve"> </w:t>
      </w:r>
      <w:r>
        <w:rPr>
          <w:rFonts w:ascii="Times New Roman" w:hAnsi="Times New Roman"/>
          <w:color w:val="000000"/>
          <w:sz w:val="24"/>
          <w:u w:val="single"/>
        </w:rPr>
        <w:t>4.2</w:t>
      </w:r>
      <w:r>
        <w:rPr>
          <w:rFonts w:ascii="Times New Roman" w:hAnsi="Times New Roman"/>
          <w:color w:val="000000"/>
          <w:sz w:val="24"/>
        </w:rPr>
        <w:t xml:space="preserve">, </w:t>
      </w:r>
      <w:r>
        <w:rPr>
          <w:rFonts w:ascii="Times New Roman" w:hAnsi="Times New Roman"/>
          <w:color w:val="000000"/>
          <w:sz w:val="24"/>
          <w:u w:val="single"/>
        </w:rPr>
        <w:t>4.3</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4.4</w:t>
      </w:r>
      <w:r>
        <w:rPr>
          <w:rFonts w:ascii="Times New Roman" w:hAnsi="Times New Roman"/>
          <w:color w:val="000000"/>
          <w:sz w:val="20"/>
        </w:rPr>
        <w:t xml:space="preserve"> </w:t>
      </w:r>
      <w:r>
        <w:rPr>
          <w:rFonts w:ascii="Times New Roman" w:hAnsi="Times New Roman"/>
          <w:color w:val="000000"/>
          <w:sz w:val="24"/>
        </w:rPr>
        <w:t>would result in non-compliance with the Treasury Regulations or would be inconsistent with the intended economic entitlement of the Members, the Managing Member is authorized to make any appropriate adjustments to such provisions to the extent permitted by applicable Law, including to allocate properly items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income, gain, loss, deduction and credit to those Members who bear the economic burden or benefit associated therewith, or to otherwise cause the Members to achieve the economic objectives underlying this Agreement. The Managing Member also shall (i) make any adjustments that it reasonably determines are necessary or appropriate to maintain equality between the Capital Accounts of the Members and the amount of Company capital reflected on the Company’s balance sheet, as computed for book purposes, in accordance with Treasury Regulations Section 1.704-1(b)(iv)(g) and (ii) make any reasonable and appropriate modifications in the event unanticipated events would reasonably be expected to otherwise cause this Agreement not to comply with Treasury Regulations Section 1.704-1(b). No adjustment to the allocations shall be made under this </w:t>
      </w:r>
      <w:r>
        <w:rPr>
          <w:rFonts w:ascii="Times New Roman" w:hAnsi="Times New Roman"/>
          <w:color w:val="000000"/>
          <w:sz w:val="24"/>
          <w:u w:val="single"/>
        </w:rPr>
        <w:t>Section 4.5(a)</w:t>
      </w:r>
      <w:r>
        <w:rPr>
          <w:rFonts w:ascii="Times New Roman" w:hAnsi="Times New Roman"/>
          <w:color w:val="000000"/>
          <w:sz w:val="20"/>
        </w:rPr>
        <w:t xml:space="preserve"> </w:t>
      </w:r>
      <w:r>
        <w:rPr>
          <w:rFonts w:ascii="Times New Roman" w:hAnsi="Times New Roman"/>
          <w:color w:val="000000"/>
          <w:sz w:val="24"/>
        </w:rPr>
        <w:t>that would have a material adverse effect on the Continuing Members without the prior written consent of the Continuing Member Representative, which consent shall not be unreasonably withheld, conditioned or delayed.</w:t>
      </w:r>
    </w:p>
    <w:p>
      <w:pPr>
        <w:pStyle w:val="TextBody"/>
        <w:bidi w:val="0"/>
        <w:spacing w:before="0" w:after="240"/>
        <w:jc w:val="both"/>
        <w:rPr>
          <w:rFonts w:ascii="Times New Roman" w:hAnsi="Times New Roman"/>
          <w:sz w:val="20"/>
        </w:rPr>
      </w:pPr>
      <w:r>
        <w:rPr>
          <w:rFonts w:ascii="Times New Roman" w:hAnsi="Times New Roman"/>
          <w:color w:val="000000"/>
          <w:sz w:val="24"/>
        </w:rPr>
        <w:t>(b) With regard to PubCo’s acquisition of the Class A Common Units in conjunction with the IPO, Profits or Losses shall have been allocated to the Members of the Company so as to take into account the varying interests of the Members in the Company using an “interim closing of the books” method in a manner that complies with the provisions of Section 706 of the Code and the Treasury Regulations thereunder. If during any Taxable Year there is any other change in any Member’s Units in the Company, the Managing Member shall allocate the Profits or Losses to the Members of the Company so as to take into account the varying interests of the Members in the Company using any method that complies with the provisions of Section 706 of the Code and the Treasury Regulations thereunder.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Solely for purposes of determining a Member’s proportionate share of the “excess nonrecourse liabilities” of the Company, within the meaning of Treasury Regulations Section 1.752-3(a)(3), the Managing Member shall allocate such liabilities in such manner that complies with the Code and the Treasury Regulations thereunder and that the Managing Member reasonably determines is reasonable expected to minimize any gain of the Members to the greatest extent possible under Section 731 of the Code.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4.6 </w:t>
      </w:r>
      <w:r>
        <w:rPr>
          <w:rFonts w:ascii="Times New Roman" w:hAnsi="Times New Roman"/>
          <w:color w:val="000000"/>
          <w:sz w:val="24"/>
          <w:u w:val="single"/>
        </w:rPr>
        <w:t>Withholding Taxes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Company shall withhold taxes from Distributions to, and allocations among, the Members to the extent required by law. Except as otherwise provided in this </w:t>
      </w:r>
      <w:r>
        <w:rPr>
          <w:rFonts w:ascii="Times New Roman" w:hAnsi="Times New Roman"/>
          <w:color w:val="000000"/>
          <w:sz w:val="24"/>
          <w:u w:val="single"/>
        </w:rPr>
        <w:t>Section 4.6</w:t>
      </w:r>
      <w:r>
        <w:rPr>
          <w:rFonts w:ascii="Times New Roman" w:hAnsi="Times New Roman"/>
          <w:color w:val="000000"/>
          <w:sz w:val="24"/>
        </w:rPr>
        <w:t xml:space="preserve">, any amount so withheld by the Company with regard to a Member shall be treated for purposes of this Agreement as an amount actually distributed to such Member pursuant to </w:t>
      </w:r>
      <w:r>
        <w:rPr>
          <w:rFonts w:ascii="Times New Roman" w:hAnsi="Times New Roman"/>
          <w:color w:val="000000"/>
          <w:sz w:val="24"/>
          <w:u w:val="single"/>
        </w:rPr>
        <w:t>Section 4.1(b)</w:t>
      </w:r>
      <w:r>
        <w:rPr>
          <w:rFonts w:ascii="Times New Roman" w:hAnsi="Times New Roman"/>
          <w:color w:val="000000"/>
          <w:sz w:val="20"/>
        </w:rPr>
        <w:t xml:space="preserve"> </w:t>
      </w:r>
      <w:r>
        <w:rPr>
          <w:rFonts w:ascii="Times New Roman" w:hAnsi="Times New Roman"/>
          <w:color w:val="000000"/>
          <w:sz w:val="24"/>
        </w:rPr>
        <w:t>(a “</w:t>
      </w:r>
      <w:r>
        <w:rPr>
          <w:rFonts w:ascii="Times New Roman" w:hAnsi="Times New Roman"/>
          <w:b/>
          <w:color w:val="000000"/>
          <w:sz w:val="24"/>
        </w:rPr>
        <w:t>Withholding Payment</w:t>
      </w:r>
      <w:r>
        <w:rPr>
          <w:rFonts w:ascii="Times New Roman" w:hAnsi="Times New Roman"/>
          <w:color w:val="000000"/>
          <w:sz w:val="20"/>
        </w:rPr>
        <w:t>”</w:t>
      </w:r>
      <w:r>
        <w:rPr>
          <w:rFonts w:ascii="Times New Roman" w:hAnsi="Times New Roman"/>
          <w:color w:val="000000"/>
          <w:sz w:val="24"/>
        </w:rPr>
        <w:t xml:space="preserve">). An amount shall be considered withheld by the Company if, and at the time, remitted to a Governmental Entity without regard to whether such remittance occurs at the same time as the Distribution or allocation to which it relates;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an amount actually withheld from a specific Distribution or designated by the Managing Member as withheld from a specific allocation shall be treated as if distributed at the time such Distribution or allocation occurs.</w:t>
      </w:r>
    </w:p>
    <w:p>
      <w:pPr>
        <w:pStyle w:val="TextBody"/>
        <w:bidi w:val="0"/>
        <w:spacing w:before="0" w:after="240"/>
        <w:jc w:val="both"/>
        <w:rPr>
          <w:rFonts w:ascii="Times New Roman" w:hAnsi="Times New Roman"/>
          <w:sz w:val="20"/>
        </w:rPr>
      </w:pPr>
      <w:r>
        <w:rPr>
          <w:rFonts w:ascii="Times New Roman" w:hAnsi="Times New Roman"/>
          <w:color w:val="000000"/>
          <w:sz w:val="24"/>
        </w:rPr>
        <w:t>(b) Each Member hereby agrees to indemnify the Company and the other Members for any liability they may incur for failure to properly withhold taxes in respect of such Member. Moreover, each Member hereby agrees that neither the Company nor any other Member shall be liable to such Member for any excess taxes withheld in respect of such Member’s interest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Company and that, in the event of overwithholding, a Member’s sole recourse shall be to apply for a refund from the appropriate governmental authority.</w:t>
      </w:r>
    </w:p>
    <w:p>
      <w:pPr>
        <w:pStyle w:val="TextBody"/>
        <w:bidi w:val="0"/>
        <w:spacing w:before="0" w:after="240"/>
        <w:jc w:val="both"/>
        <w:rPr>
          <w:rFonts w:ascii="Times New Roman" w:hAnsi="Times New Roman"/>
          <w:sz w:val="20"/>
        </w:rPr>
      </w:pPr>
      <w:bookmarkStart w:id="104" w:name="docxtextref304"/>
      <w:bookmarkEnd w:id="104"/>
      <w:r>
        <w:rPr>
          <w:rFonts w:ascii="Times New Roman" w:hAnsi="Times New Roman"/>
          <w:color w:val="000000"/>
          <w:sz w:val="24"/>
        </w:rPr>
        <w:t xml:space="preserve">(c) If it is anticipated that at the due date of the Company’s withholding obligation the Member’s share of cash Distributions or other amounts due is less than the amount of the Withholding Payment, the Member with respect to which the withholding obligation applies shall pay to the Company the amount of such shortfall within thirty (30) days after notice by the Company. If a Member fails to make the required payment when due hereunder, and the Company nevertheless pays the withholding, in addition to the Company’s remedies for breach of this Agreement, the amount paid shall be deemed a recourse loan from the Company to such Member bearing interest at an interest rate per annum equal to the Base Rate plus 3.0%, and the Company shall apply all Distributions or payments that would otherwise be made to such Member toward payment of the loan and interest, which payments or Distributions shall be applied first to interest and then to principal until the loan is repaid in full. In the event that the Distributions or proceeds to the Company or any Subsidiary of the Company are reduced on account of taxes withheld at the source or any taxes are otherwise required to be paid by the Company and such taxes are imposed on or with respect to one or more, but not all of the Members in the Company, or all of the Members in the Company at different tax rates, the amount of the reduction shall be borne by the relevant Members and treated as if it were paid by the Company as a Withholding Payment with respect to such Members pursuant to </w:t>
      </w:r>
      <w:r>
        <w:rPr>
          <w:rFonts w:ascii="Times New Roman" w:hAnsi="Times New Roman"/>
          <w:color w:val="000000"/>
          <w:sz w:val="24"/>
          <w:u w:val="single"/>
        </w:rPr>
        <w:t>Section 4.6(a)</w:t>
      </w:r>
      <w:r>
        <w:rPr>
          <w:rFonts w:ascii="Times New Roman" w:hAnsi="Times New Roman"/>
          <w:color w:val="000000"/>
          <w:sz w:val="24"/>
        </w:rPr>
        <w:t xml:space="preserve">. Taxes imposed on the Company where the rate of tax varies depending on characteristics of the Members shall be treated as taxes imposed on or with respect to the Members for purposes of </w:t>
      </w:r>
      <w:r>
        <w:rPr>
          <w:rFonts w:ascii="Times New Roman" w:hAnsi="Times New Roman"/>
          <w:color w:val="000000"/>
          <w:sz w:val="24"/>
          <w:u w:val="single"/>
        </w:rPr>
        <w:t>Section 4.6(a)</w:t>
      </w:r>
      <w:r>
        <w:rPr>
          <w:rFonts w:ascii="Times New Roman" w:hAnsi="Times New Roman"/>
          <w:color w:val="000000"/>
          <w:sz w:val="24"/>
        </w:rPr>
        <w:t xml:space="preserve">. In addition, if the Company is obligated to pay any taxes (including penalties, interest and any addition to tax) to any Governmental Entity that is specifically attributable to a Member or a former Member, including, without limitation, on account of Sections </w:t>
      </w:r>
      <w:bookmarkStart w:id="105" w:name="docxtextref298"/>
      <w:bookmarkEnd w:id="105"/>
      <w:r>
        <w:rPr>
          <w:rFonts w:ascii="Times New Roman" w:hAnsi="Times New Roman"/>
          <w:color w:val="000000"/>
          <w:sz w:val="24"/>
        </w:rPr>
        <w:t>864</w:t>
      </w:r>
      <w:r>
        <w:rPr>
          <w:rFonts w:ascii="Times New Roman" w:hAnsi="Times New Roman"/>
          <w:color w:val="000000"/>
          <w:sz w:val="20"/>
        </w:rPr>
        <w:t xml:space="preserve"> </w:t>
      </w:r>
      <w:r>
        <w:rPr>
          <w:rFonts w:ascii="Times New Roman" w:hAnsi="Times New Roman"/>
          <w:color w:val="000000"/>
          <w:sz w:val="24"/>
        </w:rPr>
        <w:t xml:space="preserve">or 1446 of the Code, then </w:t>
      </w:r>
      <w:bookmarkStart w:id="106" w:name="docxtextref305"/>
      <w:bookmarkEnd w:id="106"/>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 xml:space="preserve">such Member or former Member shall indemnify the Company in full for the entire amount paid or payable, </w:t>
      </w:r>
      <w:bookmarkStart w:id="107" w:name="docxtextref306"/>
      <w:bookmarkEnd w:id="107"/>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color w:val="000000"/>
          <w:sz w:val="24"/>
        </w:rPr>
        <w:t xml:space="preserve">the Managing Member may offset future Distributions from such Member or former Member pursuant to </w:t>
      </w:r>
      <w:r>
        <w:rPr>
          <w:rFonts w:ascii="Times New Roman" w:hAnsi="Times New Roman"/>
          <w:color w:val="000000"/>
          <w:sz w:val="24"/>
          <w:u w:val="single"/>
        </w:rPr>
        <w:t>Section 4.1</w:t>
      </w:r>
      <w:r>
        <w:rPr>
          <w:rFonts w:ascii="Times New Roman" w:hAnsi="Times New Roman"/>
          <w:color w:val="000000"/>
          <w:sz w:val="20"/>
        </w:rPr>
        <w:t xml:space="preserve"> </w:t>
      </w:r>
      <w:r>
        <w:rPr>
          <w:rFonts w:ascii="Times New Roman" w:hAnsi="Times New Roman"/>
          <w:color w:val="000000"/>
          <w:sz w:val="24"/>
        </w:rPr>
        <w:t xml:space="preserve">to which such Person is otherwise entitled under this Agreement against such Member or former Member’s obligation to indemnify the Company under this </w:t>
      </w:r>
      <w:r>
        <w:rPr>
          <w:rFonts w:ascii="Times New Roman" w:hAnsi="Times New Roman"/>
          <w:color w:val="000000"/>
          <w:sz w:val="24"/>
          <w:u w:val="single"/>
        </w:rPr>
        <w:t>Section 4.6(c)</w:t>
      </w:r>
      <w:r>
        <w:rPr>
          <w:rFonts w:ascii="Times New Roman" w:hAnsi="Times New Roman"/>
          <w:color w:val="000000"/>
          <w:sz w:val="20"/>
        </w:rPr>
        <w:t xml:space="preserve"> </w:t>
      </w:r>
      <w:r>
        <w:rPr>
          <w:rFonts w:ascii="Times New Roman" w:hAnsi="Times New Roman"/>
          <w:color w:val="000000"/>
          <w:sz w:val="24"/>
        </w:rPr>
        <w:t xml:space="preserve">and </w:t>
      </w:r>
      <w:bookmarkStart w:id="108" w:name="docxtextref307"/>
      <w:bookmarkEnd w:id="108"/>
      <w:r>
        <w:rPr>
          <w:rFonts w:ascii="Times New Roman" w:hAnsi="Times New Roman"/>
          <w:color w:val="000000"/>
          <w:sz w:val="24"/>
        </w:rPr>
        <w:t>(z)</w:t>
      </w:r>
      <w:r>
        <w:rPr>
          <w:rFonts w:ascii="Times New Roman" w:hAnsi="Times New Roman"/>
          <w:color w:val="000000"/>
          <w:sz w:val="20"/>
        </w:rPr>
        <w:t xml:space="preserve"> </w:t>
      </w:r>
      <w:r>
        <w:rPr>
          <w:rFonts w:ascii="Times New Roman" w:hAnsi="Times New Roman"/>
          <w:color w:val="000000"/>
          <w:sz w:val="24"/>
        </w:rPr>
        <w:t xml:space="preserve">such amounts shall be treated as a Withholding Payment pursuant to </w:t>
      </w:r>
      <w:r>
        <w:rPr>
          <w:rFonts w:ascii="Times New Roman" w:hAnsi="Times New Roman"/>
          <w:color w:val="000000"/>
          <w:sz w:val="24"/>
          <w:u w:val="single"/>
        </w:rPr>
        <w:t>Section 4.6(a)</w:t>
      </w:r>
      <w:r>
        <w:rPr>
          <w:rFonts w:ascii="Times New Roman" w:hAnsi="Times New Roman"/>
          <w:color w:val="000000"/>
          <w:sz w:val="20"/>
        </w:rPr>
        <w:t xml:space="preserve"> </w:t>
      </w:r>
      <w:r>
        <w:rPr>
          <w:rFonts w:ascii="Times New Roman" w:hAnsi="Times New Roman"/>
          <w:color w:val="000000"/>
          <w:sz w:val="24"/>
        </w:rPr>
        <w:t>with respect to such Member or former Member.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If the Company incurs an Imputed Underpayment Amount, the Partnership Representative shall determine in its discretion the portion of such Imputed Underpayment Amount attributable to each Member or former Member and such attributable amount shall be treated as a Withholding Payment pursuant to </w:t>
      </w:r>
      <w:r>
        <w:rPr>
          <w:rFonts w:ascii="Times New Roman" w:hAnsi="Times New Roman"/>
          <w:color w:val="000000"/>
          <w:sz w:val="24"/>
          <w:u w:val="single"/>
        </w:rPr>
        <w:t>Section 4.6(a)</w:t>
      </w:r>
      <w:r>
        <w:rPr>
          <w:rFonts w:ascii="Times New Roman" w:hAnsi="Times New Roman"/>
          <w:color w:val="000000"/>
          <w:sz w:val="24"/>
        </w:rPr>
        <w:t xml:space="preserve">. The portion of any Imputed Underpayment Amount attributed to a former Member shall be treated as a Withholding Payment pursuant to </w:t>
      </w:r>
      <w:r>
        <w:rPr>
          <w:rFonts w:ascii="Times New Roman" w:hAnsi="Times New Roman"/>
          <w:color w:val="000000"/>
          <w:sz w:val="24"/>
          <w:u w:val="single"/>
        </w:rPr>
        <w:t>Section 4.6(a)</w:t>
      </w:r>
      <w:r>
        <w:rPr>
          <w:rFonts w:ascii="Times New Roman" w:hAnsi="Times New Roman"/>
          <w:color w:val="000000"/>
          <w:sz w:val="20"/>
        </w:rPr>
        <w:t xml:space="preserve"> </w:t>
      </w:r>
      <w:r>
        <w:rPr>
          <w:rFonts w:ascii="Times New Roman" w:hAnsi="Times New Roman"/>
          <w:color w:val="000000"/>
          <w:sz w:val="24"/>
        </w:rPr>
        <w:t>with respect to such former Member. The Partnership Representative shall use commercially reasonable efforts to secure any reduction in any Imputed Underpayment Amount that is available by reason of the status of any Member (or its beneficial owners), including by means of any procedures provided pursuant to Code Section 6225(c)(3), and to allocate the benefit of any such reduction to such Member. Each Member agrees to indemnify and hold harmless the Company, Managing Member and the Partnership Representative from and against any and all liability with respect to any Imputed Underpayment Amounts required on behalf of, or with respect to, such Member or any former Member whose former interest in the Company is held by such Member. For purposes hereof, “</w:t>
      </w:r>
      <w:r>
        <w:rPr>
          <w:rFonts w:ascii="Times New Roman" w:hAnsi="Times New Roman"/>
          <w:b/>
          <w:color w:val="000000"/>
          <w:sz w:val="24"/>
        </w:rPr>
        <w:t>Imputed Underpayment Amount</w:t>
      </w:r>
      <w:r>
        <w:rPr>
          <w:rFonts w:ascii="Times New Roman" w:hAnsi="Times New Roman"/>
          <w:color w:val="000000"/>
          <w:sz w:val="20"/>
        </w:rPr>
        <w:t xml:space="preserve">” </w:t>
      </w:r>
      <w:r>
        <w:rPr>
          <w:rFonts w:ascii="Times New Roman" w:hAnsi="Times New Roman"/>
          <w:color w:val="000000"/>
          <w:sz w:val="24"/>
        </w:rPr>
        <w:t>shall mean any “imputed underpayment” within the meaning of Section 6225 of the Code (or any corresponding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similar provision of state, local or foreign law) paid (or payable) by the Company as a result of an adjustment with respect to any Company item, including any interest or penalties with respect to any such adjustment. Imputed Underpayment Amounts shall also include any imputed underpayment amounts within the meaning of Code Section 6225 (or any corresponding or similar provision of state, local or foreign law) which are paid (or payable) by any entity treated as a partnership for U.S. federal income tax purposes in which the Company holds (or has held) a direct or indirect interest (other than through entities treated as corporations for U.S. federal income tax purposes) to the extent that the Company bears the economic burden of such amounts, whether by law or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A Member’s obligations under this </w:t>
      </w:r>
      <w:r>
        <w:rPr>
          <w:rFonts w:ascii="Times New Roman" w:hAnsi="Times New Roman"/>
          <w:color w:val="000000"/>
          <w:sz w:val="24"/>
          <w:u w:val="single"/>
        </w:rPr>
        <w:t>Section 4.6</w:t>
      </w:r>
      <w:r>
        <w:rPr>
          <w:rFonts w:ascii="Times New Roman" w:hAnsi="Times New Roman"/>
          <w:color w:val="000000"/>
          <w:sz w:val="20"/>
        </w:rPr>
        <w:t xml:space="preserve"> </w:t>
      </w:r>
      <w:r>
        <w:rPr>
          <w:rFonts w:ascii="Times New Roman" w:hAnsi="Times New Roman"/>
          <w:color w:val="000000"/>
          <w:sz w:val="24"/>
        </w:rPr>
        <w:t>shall survive the dissolution and winding up of the Company and any transfer, assignment or liquidation of such Member’s interest in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4.7 </w:t>
      </w:r>
      <w:r>
        <w:rPr>
          <w:rFonts w:ascii="Times New Roman" w:hAnsi="Times New Roman"/>
          <w:color w:val="000000"/>
          <w:sz w:val="24"/>
          <w:u w:val="single"/>
        </w:rPr>
        <w:t>Allocations Upon Final Liquidation</w:t>
      </w:r>
      <w:r>
        <w:rPr>
          <w:rFonts w:ascii="Times New Roman" w:hAnsi="Times New Roman"/>
          <w:color w:val="000000"/>
          <w:sz w:val="24"/>
        </w:rPr>
        <w:t xml:space="preserve">. With respect to the fiscal year in which the final liquidation of the Company occurs in accordance with </w:t>
      </w:r>
      <w:r>
        <w:rPr>
          <w:rFonts w:ascii="Times New Roman" w:hAnsi="Times New Roman"/>
          <w:color w:val="000000"/>
          <w:sz w:val="24"/>
          <w:u w:val="single"/>
        </w:rPr>
        <w:t>Section 13.2</w:t>
      </w:r>
      <w:r>
        <w:rPr>
          <w:rFonts w:ascii="Times New Roman" w:hAnsi="Times New Roman"/>
          <w:color w:val="000000"/>
          <w:sz w:val="20"/>
        </w:rPr>
        <w:t xml:space="preserve"> </w:t>
      </w:r>
      <w:r>
        <w:rPr>
          <w:rFonts w:ascii="Times New Roman" w:hAnsi="Times New Roman"/>
          <w:color w:val="000000"/>
          <w:sz w:val="24"/>
        </w:rPr>
        <w:t xml:space="preserve">of the Agreement, and notwithstanding any other provision of </w:t>
      </w:r>
      <w:r>
        <w:rPr>
          <w:rFonts w:ascii="Times New Roman" w:hAnsi="Times New Roman"/>
          <w:color w:val="000000"/>
          <w:sz w:val="24"/>
          <w:u w:val="single"/>
        </w:rPr>
        <w:t>Sections 4.2</w:t>
      </w:r>
      <w:r>
        <w:rPr>
          <w:rFonts w:ascii="Times New Roman" w:hAnsi="Times New Roman"/>
          <w:color w:val="000000"/>
          <w:sz w:val="24"/>
        </w:rPr>
        <w:t xml:space="preserve">, </w:t>
      </w:r>
      <w:r>
        <w:rPr>
          <w:rFonts w:ascii="Times New Roman" w:hAnsi="Times New Roman"/>
          <w:color w:val="000000"/>
          <w:sz w:val="24"/>
          <w:u w:val="single"/>
        </w:rPr>
        <w:t>4.3</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4.4</w:t>
      </w:r>
      <w:r>
        <w:rPr>
          <w:rFonts w:ascii="Times New Roman" w:hAnsi="Times New Roman"/>
          <w:color w:val="000000"/>
          <w:sz w:val="20"/>
        </w:rPr>
        <w:t xml:space="preserve"> </w:t>
      </w:r>
      <w:r>
        <w:rPr>
          <w:rFonts w:ascii="Times New Roman" w:hAnsi="Times New Roman"/>
          <w:color w:val="000000"/>
          <w:sz w:val="24"/>
        </w:rPr>
        <w:t xml:space="preserve">hereof, items of Company income, gain, loss and deduction shall be specially allocated to the Members in such amounts and priorities as are necessary so that the positive Capital Accounts of the Members shall, as closely as possible, equal the amounts that will be distributed to the Members pursuant to </w:t>
      </w:r>
      <w:r>
        <w:rPr>
          <w:rFonts w:ascii="Times New Roman" w:hAnsi="Times New Roman"/>
          <w:color w:val="000000"/>
          <w:sz w:val="24"/>
          <w:u w:val="single"/>
        </w:rPr>
        <w:t>Section 13.2</w:t>
      </w:r>
      <w:r>
        <w:rPr>
          <w:rFonts w:ascii="Times New Roman" w:hAnsi="Times New Roman"/>
          <w:color w:val="000000"/>
          <w:sz w:val="24"/>
        </w:rPr>
        <w:t>.</w:t>
      </w:r>
    </w:p>
    <w:p>
      <w:pPr>
        <w:pStyle w:val="TextBody"/>
        <w:bidi w:val="0"/>
        <w:spacing w:before="0" w:after="24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V</w:t>
      </w:r>
      <w:r>
        <w:rPr>
          <w:rFonts w:ascii="Times New Roman" w:hAnsi="Times New Roman"/>
          <w:b/>
          <w:color w:val="000000"/>
          <w:sz w:val="24"/>
        </w:rPr>
        <w:br/>
        <w:br/>
        <w:t>MANAGEMENT</w:t>
      </w:r>
    </w:p>
    <w:p>
      <w:pPr>
        <w:pStyle w:val="TextBody"/>
        <w:bidi w:val="0"/>
        <w:spacing w:before="0" w:after="240"/>
        <w:jc w:val="both"/>
        <w:rPr>
          <w:rFonts w:ascii="Times New Roman" w:hAnsi="Times New Roman"/>
          <w:sz w:val="20"/>
        </w:rPr>
      </w:pPr>
      <w:bookmarkStart w:id="109" w:name="docxtextref317"/>
      <w:bookmarkEnd w:id="109"/>
      <w:r>
        <w:rPr>
          <w:rFonts w:ascii="Times New Roman" w:hAnsi="Times New Roman"/>
          <w:color w:val="000000"/>
          <w:sz w:val="24"/>
        </w:rPr>
        <w:t xml:space="preserve">5.1 </w:t>
      </w:r>
      <w:r>
        <w:rPr>
          <w:rFonts w:ascii="Times New Roman" w:hAnsi="Times New Roman"/>
          <w:color w:val="000000"/>
          <w:sz w:val="24"/>
          <w:u w:val="single"/>
        </w:rPr>
        <w:t>Designation and Authority of Managing Member</w:t>
      </w:r>
      <w:r>
        <w:rPr>
          <w:rFonts w:ascii="Times New Roman" w:hAnsi="Times New Roman"/>
          <w:color w:val="000000"/>
          <w:sz w:val="24"/>
        </w:rPr>
        <w:t xml:space="preserve">. The Managing Member shall be designated by the holders of Class B Voting Units. Except for situations in which the approval of one or more of the Members is specifically required by the express terms of this Agreement, and subject to the provisions of this </w:t>
      </w:r>
      <w:r>
        <w:rPr>
          <w:rFonts w:ascii="Times New Roman" w:hAnsi="Times New Roman"/>
          <w:color w:val="000000"/>
          <w:sz w:val="24"/>
          <w:u w:val="single"/>
        </w:rPr>
        <w:t>Article V</w:t>
      </w:r>
      <w:r>
        <w:rPr>
          <w:rFonts w:ascii="Times New Roman" w:hAnsi="Times New Roman"/>
          <w:color w:val="000000"/>
          <w:sz w:val="24"/>
        </w:rPr>
        <w:t>, (i)</w:t>
      </w:r>
      <w:r>
        <w:rPr>
          <w:rFonts w:ascii="Times New Roman" w:hAnsi="Times New Roman"/>
          <w:color w:val="000000"/>
          <w:sz w:val="20"/>
        </w:rPr>
        <w:t xml:space="preserve"> </w:t>
      </w:r>
      <w:r>
        <w:rPr>
          <w:rFonts w:ascii="Times New Roman" w:hAnsi="Times New Roman"/>
          <w:color w:val="000000"/>
          <w:sz w:val="24"/>
        </w:rPr>
        <w:t xml:space="preserve">all management powers over the business and affairs of the Company shall be exclusively vested in the Managing Member, (ii) the Managing Member shall conduct, direct and exercise full control over all activities of the Company, and (iii) the Managing Member shall have the sole power to bind or take any action on behalf of the Company, or to exercise any rights and powers (including, without limitation, the rights and powers to take certain actions, give or withhold certain consents or approvals, or make certain determinations, opinions, judgments or other decisions) granted to the Company under this Agreement or any other agreement, instrument or other document to which the Company is a party. Without limiting the generality of the foregoing, but subject to any situations in which the approval of the Members is specifically required by this Agreement, </w:t>
      </w:r>
      <w:bookmarkStart w:id="110" w:name="docxtextref318"/>
      <w:bookmarkEnd w:id="110"/>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 xml:space="preserve">the Managing Member shall have discretion in determining whether to issue Equity Securities, the number of Equity Securities to be issued at any particular time, the purchase price for any Equity Securities issued, and all other terms and conditions governing the issuance of Equity Securities and </w:t>
      </w:r>
      <w:bookmarkStart w:id="111" w:name="docxtextref319"/>
      <w:bookmarkEnd w:id="111"/>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color w:val="000000"/>
          <w:sz w:val="24"/>
        </w:rPr>
        <w:t>the Managing Member may enter into, approve, and consummate any Liquidity Event or other extraordinary or business combination or divestiture transaction, and execute and deliver on behalf of the Company or the Members any agreement, document and instrument in connection therewith (including amendments, if any, to this Agreement or adoptions of new constituent documents) without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approval or consent of any Member. The Managing Member shall operate the Company and its Subsidiaries in accordance in all material respects with an annual budget, business plan and financial forecasts for the Company and its Subsidiaries for each fiscal year. The Managing Member shall be the “manager” of the Company for the purposes of the California Act. The Managing Member is hereby authorized to execute, deliver and file the articles of organization of the Company and all other certificates (and any amendments and/or restatements hereof) required or permitted by the California Act to be filed in the Office of the Secretary of State of the State of California. The Managing Member and Members hereby approve and ratify the filing of the following document with the Secretary of State of the State of California: Amendment to the Articles of Organization of the Company by an authorized person, as may be designated by the Managing Member from time to time. The Managing Member is hereby authorized to execute, deliver and file any other certificates (and any amendments and/or restatements thereof) necessary for the Company to qualify to do business in a jurisdiction in which the Company may wish to conduct business.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5.2 </w:t>
      </w:r>
      <w:r>
        <w:rPr>
          <w:rFonts w:ascii="Times New Roman" w:hAnsi="Times New Roman"/>
          <w:color w:val="000000"/>
          <w:sz w:val="24"/>
          <w:u w:val="single"/>
        </w:rPr>
        <w:t>Actions of the Managing Member</w:t>
      </w:r>
      <w:r>
        <w:rPr>
          <w:rFonts w:ascii="Times New Roman" w:hAnsi="Times New Roman"/>
          <w:color w:val="000000"/>
          <w:sz w:val="24"/>
        </w:rPr>
        <w:t xml:space="preserve">. Unless otherwise provided in this Agreement, any decision, action, approval or consent required or permitted to be taken by the Managing Member may be taken by the Managing Member through any Person or Persons to whom authority and duties have been delegated pursuant to </w:t>
      </w:r>
      <w:r>
        <w:rPr>
          <w:rFonts w:ascii="Times New Roman" w:hAnsi="Times New Roman"/>
          <w:color w:val="000000"/>
          <w:sz w:val="24"/>
          <w:u w:val="single"/>
        </w:rPr>
        <w:t>Section 5.4(a)</w:t>
      </w:r>
      <w:r>
        <w:rPr>
          <w:rFonts w:ascii="Times New Roman" w:hAnsi="Times New Roman"/>
          <w:color w:val="000000"/>
          <w:sz w:val="24"/>
        </w:rPr>
        <w:t>. The Managing Member shall not cease to be a Managing Member of the Company as a result of the delegation of any duties hereunder. No officer or agent of the Company, in its capacity as such, shall be considered a Managing Member of the Company by agreement, as a result of the performance of its duties hereunder or otherwise.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5.3 </w:t>
      </w:r>
      <w:r>
        <w:rPr>
          <w:rFonts w:ascii="Times New Roman" w:hAnsi="Times New Roman"/>
          <w:color w:val="000000"/>
          <w:sz w:val="24"/>
          <w:u w:val="single"/>
        </w:rPr>
        <w:t>Compensation; Expenses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Managing Member shall not be entitled to any compensation for services rendered to the Company in its capacity as Managing Member.</w:t>
      </w:r>
    </w:p>
    <w:p>
      <w:pPr>
        <w:pStyle w:val="TextBody"/>
        <w:bidi w:val="0"/>
        <w:spacing w:before="0" w:after="240"/>
        <w:jc w:val="both"/>
        <w:rPr>
          <w:rFonts w:ascii="Times New Roman" w:hAnsi="Times New Roman"/>
          <w:sz w:val="20"/>
        </w:rPr>
      </w:pPr>
      <w:bookmarkStart w:id="112" w:name="docxtextref332"/>
      <w:bookmarkEnd w:id="112"/>
      <w:r>
        <w:rPr>
          <w:rFonts w:ascii="Times New Roman" w:hAnsi="Times New Roman"/>
          <w:color w:val="000000"/>
          <w:sz w:val="24"/>
        </w:rPr>
        <w:t>(b) The Company shall pay, or cause to be paid, all costs, fees, operating expenses and other expenses of the Company (including the costs, fees and expenses of attorneys, accountants or other professionals) incurred in pursuing and conducting, or otherwise related to, the activities of the Company. The Company shall also, in the sole discretion of the Managing Member, bear and/or reimburse PubCo or the Managing Member for (i)</w:t>
      </w:r>
      <w:r>
        <w:rPr>
          <w:rFonts w:ascii="Times New Roman" w:hAnsi="Times New Roman"/>
          <w:color w:val="000000"/>
          <w:sz w:val="20"/>
        </w:rPr>
        <w:t xml:space="preserve"> </w:t>
      </w:r>
      <w:r>
        <w:rPr>
          <w:rFonts w:ascii="Times New Roman" w:hAnsi="Times New Roman"/>
          <w:color w:val="000000"/>
          <w:sz w:val="24"/>
        </w:rPr>
        <w:t xml:space="preserve">any costs, fees or expenses incurred by the Managing Member in connection with serving as the Managing Member, (ii) operating, administrative and other similar costs incurred by the Managing Member, to the extent the proceeds are used or will be used by the Managing Member to pay expenses described in this clause (ii), and payments pursuant to any legal, tax, accounting and other professional fees and expenses (but, for the avoidance of doubt, excluding any tax liabilities of the Managing Member), (iii) any judgments, settlements, penalties, fines or other costs and expenses in respect of any claims against, or any litigation or proceedings involving, the Managing Member, (iv) fees and expenses (other than any underwriters’ discounts and commissions that are economically recovered by the Managing Member as a result of acquiring Company Units at a discount) related to any securities offering, investment or acquisition transaction (whether or not successful) authorized by PubCo, as the managing member of the Managing Member, </w:t>
      </w:r>
      <w:bookmarkStart w:id="113" w:name="docxtextref333"/>
      <w:bookmarkEnd w:id="113"/>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other fees and expenses in connection with the maintenance of the existence of the Managing Member, and (vi) all other expenses allocable to the Company or otherwise incurred by PubCo or the Managing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114" w:name="docxtextref327"/>
      <w:bookmarkEnd w:id="114"/>
      <w:r>
        <w:rPr>
          <w:rFonts w:ascii="Times New Roman" w:hAnsi="Times New Roman"/>
          <w:color w:val="000000"/>
          <w:sz w:val="24"/>
        </w:rPr>
        <w:t xml:space="preserve">Member in connection with operating the Company’s business (including expenses allocated to PubCo or the Managing Member by their Affiliates and expenses incurred by PubCo in its capacity as the Managing Member). To the extent that the Managing Member determines in its sole discretion that such expenses are related to the business and affairs of PubCo or the Managing Member that are conducted through the Company and/or its Subsidiaries (including expenses that relate to the business and affairs of the Company and/or its Subsidiaries and that also relate to other activities of PubCo or the Managing Member), the Managing Member may cause the Company to pay or bear all expenses of PubCo or the Managing Member, including, without limitation, compensation and meeting costs of any board of directors or similar body of PubCo or the Managing Member, any salary, bonus, incentive compensation and other amounts paid to any Person including Affiliates of PubCo or the Managing Member to perform services for the Company, litigation costs and damages arising from litigation, accounting and legal costs and franchise taxes, except to the extent such franchise taxes are based on or measured with respect to net income or profits;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Company shall not pay or bear any income tax obligations of PubCo or the Managing Member. To the extent practicable, expenses incurred by PubCo or the Managing Member on behalf of or for the benefit of the Company shall be billed directly to and paid by the Company and, if and to the extent any reimbursements to PubCo or the Managing Member or any of their Affiliates by the Company pursuant to this </w:t>
      </w:r>
      <w:r>
        <w:rPr>
          <w:rFonts w:ascii="Times New Roman" w:hAnsi="Times New Roman"/>
          <w:color w:val="000000"/>
          <w:sz w:val="24"/>
          <w:u w:val="single"/>
        </w:rPr>
        <w:t>Section 5.3(b)</w:t>
      </w:r>
      <w:r>
        <w:rPr>
          <w:rFonts w:ascii="Times New Roman" w:hAnsi="Times New Roman"/>
          <w:color w:val="000000"/>
          <w:sz w:val="20"/>
        </w:rPr>
        <w:t xml:space="preserve"> </w:t>
      </w:r>
      <w:r>
        <w:rPr>
          <w:rFonts w:ascii="Times New Roman" w:hAnsi="Times New Roman"/>
          <w:color w:val="000000"/>
          <w:sz w:val="24"/>
        </w:rPr>
        <w:t>constitute gross income to such Person (as opposed to the repayment of advances made by such Person on behalf of the Company), such amounts shall be treated as “guaranteed payments” within the meaning of Section 707(c)</w:t>
      </w:r>
      <w:r>
        <w:rPr>
          <w:rFonts w:ascii="Times New Roman" w:hAnsi="Times New Roman"/>
          <w:color w:val="000000"/>
          <w:sz w:val="20"/>
        </w:rPr>
        <w:t xml:space="preserve"> </w:t>
      </w:r>
      <w:r>
        <w:rPr>
          <w:rFonts w:ascii="Times New Roman" w:hAnsi="Times New Roman"/>
          <w:color w:val="000000"/>
          <w:sz w:val="24"/>
        </w:rPr>
        <w:t xml:space="preserve">of the Code and shall not be treated as distributions for purposes of computing the Members’ Capital Account. Reimbursements pursuant to this </w:t>
      </w:r>
      <w:r>
        <w:rPr>
          <w:rFonts w:ascii="Times New Roman" w:hAnsi="Times New Roman"/>
          <w:color w:val="000000"/>
          <w:sz w:val="24"/>
          <w:u w:val="single"/>
        </w:rPr>
        <w:t>Section 5.3(b)</w:t>
      </w:r>
      <w:r>
        <w:rPr>
          <w:rFonts w:ascii="Times New Roman" w:hAnsi="Times New Roman"/>
          <w:color w:val="000000"/>
          <w:sz w:val="20"/>
        </w:rPr>
        <w:t xml:space="preserve"> </w:t>
      </w:r>
      <w:r>
        <w:rPr>
          <w:rFonts w:ascii="Times New Roman" w:hAnsi="Times New Roman"/>
          <w:color w:val="000000"/>
          <w:sz w:val="24"/>
        </w:rPr>
        <w:t xml:space="preserve">shall be in addition to any reimbursement to PubCo or the Managing Member as a result of indemnification pursuant to </w:t>
      </w:r>
      <w:r>
        <w:rPr>
          <w:rFonts w:ascii="Times New Roman" w:hAnsi="Times New Roman"/>
          <w:color w:val="000000"/>
          <w:sz w:val="24"/>
          <w:u w:val="single"/>
        </w:rPr>
        <w:t>Section 6.4</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5.4 </w:t>
      </w:r>
      <w:r>
        <w:rPr>
          <w:rFonts w:ascii="Times New Roman" w:hAnsi="Times New Roman"/>
          <w:color w:val="000000"/>
          <w:sz w:val="24"/>
          <w:u w:val="single"/>
        </w:rPr>
        <w:t>Delegation of Authority</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Managing Member may, from time to time, delegate to one or more Persons, including any officer or director of the Company or PubCo (or to PubCo’s Compensation Committee or its designees), or to any other Person, such authority and duties as the Managing Member may deem advisable;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any such Person shall exercise such authority subject to the same duties and obligations to which the Managing Member would have otherwise been subject pursuant to the terms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Managing Member may assign titles (including, without limitation, executive chairman, non-executive chairman, chief executive officer, president, vice president, secretary, assistant secretary, treasurer or assistant treasurer) and delegate certain authority and duties to such Persons. Any number of titles may be held by the same officer of the Company or other individual. The salaries or other compensation, if any, of the officers and agents of the Company shall be fixed from time to time by the Managing Member. Any delegation pursuant to this </w:t>
      </w:r>
      <w:r>
        <w:rPr>
          <w:rFonts w:ascii="Times New Roman" w:hAnsi="Times New Roman"/>
          <w:color w:val="000000"/>
          <w:sz w:val="24"/>
          <w:u w:val="single"/>
        </w:rPr>
        <w:t>Section 5.4</w:t>
      </w:r>
      <w:r>
        <w:rPr>
          <w:rFonts w:ascii="Times New Roman" w:hAnsi="Times New Roman"/>
          <w:color w:val="000000"/>
          <w:sz w:val="20"/>
        </w:rPr>
        <w:t xml:space="preserve"> </w:t>
      </w:r>
      <w:r>
        <w:rPr>
          <w:rFonts w:ascii="Times New Roman" w:hAnsi="Times New Roman"/>
          <w:color w:val="000000"/>
          <w:sz w:val="24"/>
        </w:rPr>
        <w:t>may be revoked at any time by the Managing Member.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5.5 </w:t>
      </w:r>
      <w:r>
        <w:rPr>
          <w:rFonts w:ascii="Times New Roman" w:hAnsi="Times New Roman"/>
          <w:color w:val="000000"/>
          <w:sz w:val="24"/>
          <w:u w:val="single"/>
        </w:rPr>
        <w:t>Limitation of Liability</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Except as otherwise provided herein, in an agreement entered into by such Person and the Company or by applicable law, none of (i) the Managing Member, (ii) any manager, officer, director, principal, member, employee, agent or Affiliate of the Managing Member or (iii)</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affiliated entities of the Managing Member’s principal executives or directors shall be liable to the Company or to any Member for any act or omission performed or omitted by the Managing Member in its capacity as the Managing Member pursuant to authority granted to such Person by this Agreement;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except as otherwise provided herein, such limitation of liability shall not apply to the extent the act or omission was attributable to such Person’s gross negligence, willful misconduct or knowing violation of law, for any present or future breaches of any representations, warranties or covenants by such Person or its Affiliates contained herein with respect to any rights of the Company under any other agreements between the Managing Member and the Company. The Managing Member may exercise any of the powers granted to it by this Agreement and perform any of the duties imposed upon it hereunder either directly or by or through its agents, and none of the Managing Member or any manager, officer, director, principal, member, employee, agent or Affiliate of the Managing Member shall be responsible for any misconduct or negligence on the part of any such agent appointed by the Managing Member (so long as such agent was selected in good faith and with reasonable care). The Managing Member shall be entitled to rely upon the advice of legal counsel, independent public accountants and other experts, including financial advisors, and any act of or failure to act by the Managing Member in good faith reliance on such advice shall in no event subject the Managing Member to liability to the Company or any Member.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Except as provided in this Agreement or in the California Act, the debts, obligations and liabilities of the Company, whether arising in contract, tort or otherwise, shall be solely the debts, obligations and liabilities of the Company and no Managing Member shall be obligated personally for any such debts, obligations or liabilities solely by reason of acting as the Managing Member of the Company. The Managing Member shall not be personally liable for the Company’s obligations, liabilities and Losses. Notwithstanding anything contained herein to the contrary, the failure of the Company to observe any formalities or requirements relating to the exercise of its powers or management of its business and affairs under this Agreement or the California Act shall not be grounds for imposing personal liability on the Managing Member for liabilities of the Company.</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VI</w:t>
      </w:r>
      <w:r>
        <w:rPr>
          <w:rFonts w:ascii="Times New Roman" w:hAnsi="Times New Roman"/>
          <w:b/>
          <w:color w:val="000000"/>
          <w:sz w:val="24"/>
        </w:rPr>
        <w:br/>
        <w:br/>
        <w:t>RIGHTS AND OBLIGATIONS OF MEMBERS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6.1 </w:t>
      </w:r>
      <w:r>
        <w:rPr>
          <w:rFonts w:ascii="Times New Roman" w:hAnsi="Times New Roman"/>
          <w:color w:val="000000"/>
          <w:sz w:val="24"/>
          <w:u w:val="single"/>
        </w:rPr>
        <w:t>Limitation of Liability</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Except as provided in this Agreement or in the California Act, the debts, obligations and liabilities of the Company, whether arising in contract, tort or otherwise, shall be solely the debts, obligations and liabilities of the Company and no Member shall be obligated personally for any such debts, obligations or liabilities solely by reason of being a member of the Company. Except as otherwise provided in this Agreement or the California Act, a Member’s liability (in its capacity as such) for Company obligations, liabilities and Losses shall be limited to the Company’s assets;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a Member shall be required to return to the Company any Distribution made to it after the execution of this Agreement in clear and manifest accounting or similar error. The immediately preceding sentence shall constitute a compromise to which all Members have consented within the meaning of the California Act.</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This Agreement is not intended to, and does not, create or impose any duty (including any fiduciary duty) on any of the Members (including without limitation, the Managing Member) hereto or on their respective Affiliates. Further, notwithstanding any other provision of this Agreement or any duty otherwise existing at law or in equity, the parties hereto agree that no Member or Managing Member shall, to the fullest extent permitted by law, have duties (including fiduciary duties) to any other Member or to the Company, and in doing so, recognize, acknowledge and agree that their duties and obligations to one another and to the Company are only as expressly set forth in this Agreement;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each Member and the Managing Member shall have the duty to act in accordance with the implied contractual covenant of good faith and fair dealing.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To the extent that, at law or in equity, any Member (including without limitation, the Managing Member) has duties (including fiduciary duties) and liabilities relating thereto to the Company, to another Member or to another Person who is a party to or is otherwise bound by this Agreement, the Members (including without limitation, the Managing Member) acting under this Agreement will not be liable to the Company, to any such other Member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Member (including without limitation, the Managing Member) otherwise existing at law or in equity, are agreed by the Members to replace to that extent such other duties and liabilities of the Members relating thereto (including without limitation, the Managing Member).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6.2 </w:t>
      </w:r>
      <w:r>
        <w:rPr>
          <w:rFonts w:ascii="Times New Roman" w:hAnsi="Times New Roman"/>
          <w:color w:val="000000"/>
          <w:sz w:val="24"/>
          <w:u w:val="single"/>
        </w:rPr>
        <w:t>Lack of Authority</w:t>
      </w:r>
      <w:r>
        <w:rPr>
          <w:rFonts w:ascii="Times New Roman" w:hAnsi="Times New Roman"/>
          <w:color w:val="000000"/>
          <w:sz w:val="24"/>
        </w:rPr>
        <w:t xml:space="preserve">. No Member (other than the Managing Member) in its capacity as such (other than in its capacity as a Person delegated authority pursuant to </w:t>
      </w:r>
      <w:r>
        <w:rPr>
          <w:rFonts w:ascii="Times New Roman" w:hAnsi="Times New Roman"/>
          <w:color w:val="000000"/>
          <w:sz w:val="24"/>
          <w:u w:val="single"/>
        </w:rPr>
        <w:t>Section 5.4</w:t>
      </w:r>
      <w:r>
        <w:rPr>
          <w:rFonts w:ascii="Times New Roman" w:hAnsi="Times New Roman"/>
          <w:color w:val="000000"/>
          <w:sz w:val="24"/>
        </w:rPr>
        <w:t>) has the authority or power to act for or on behalf of the Company, to do any act that would be binding on the Company or to make any expenditures on behalf of the Company. The Members hereby consent to the exercise by the Managing Member of the powers conferred on it by law and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6.3 </w:t>
      </w:r>
      <w:r>
        <w:rPr>
          <w:rFonts w:ascii="Times New Roman" w:hAnsi="Times New Roman"/>
          <w:color w:val="000000"/>
          <w:sz w:val="24"/>
          <w:u w:val="single"/>
        </w:rPr>
        <w:t>No Right of Partition</w:t>
      </w:r>
      <w:r>
        <w:rPr>
          <w:rFonts w:ascii="Times New Roman" w:hAnsi="Times New Roman"/>
          <w:color w:val="000000"/>
          <w:sz w:val="24"/>
        </w:rPr>
        <w:t>. No Member shall have the right to seek or obtain partition by court decree or operation of law of any Company property, or the right to own or use particular or individual assets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6.4 </w:t>
      </w:r>
      <w:r>
        <w:rPr>
          <w:rFonts w:ascii="Times New Roman" w:hAnsi="Times New Roman"/>
          <w:color w:val="000000"/>
          <w:sz w:val="24"/>
          <w:u w:val="single"/>
        </w:rPr>
        <w:t>Indemnification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Subject to </w:t>
      </w:r>
      <w:r>
        <w:rPr>
          <w:rFonts w:ascii="Times New Roman" w:hAnsi="Times New Roman"/>
          <w:color w:val="000000"/>
          <w:sz w:val="24"/>
          <w:u w:val="single"/>
        </w:rPr>
        <w:t>Section 4.6</w:t>
      </w:r>
      <w:r>
        <w:rPr>
          <w:rFonts w:ascii="Times New Roman" w:hAnsi="Times New Roman"/>
          <w:color w:val="000000"/>
          <w:sz w:val="24"/>
        </w:rPr>
        <w:t>, the Company hereby agrees to indemnify and hold harmless any Person (each an “</w:t>
      </w:r>
      <w:r>
        <w:rPr>
          <w:rFonts w:ascii="Times New Roman" w:hAnsi="Times New Roman"/>
          <w:b/>
          <w:color w:val="000000"/>
          <w:sz w:val="24"/>
        </w:rPr>
        <w:t>Indemnified Person</w:t>
      </w:r>
      <w:r>
        <w:rPr>
          <w:rFonts w:ascii="Times New Roman" w:hAnsi="Times New Roman"/>
          <w:color w:val="000000"/>
          <w:sz w:val="20"/>
        </w:rPr>
        <w:t>”</w:t>
      </w:r>
      <w:r>
        <w:rPr>
          <w:rFonts w:ascii="Times New Roman" w:hAnsi="Times New Roman"/>
          <w:color w:val="000000"/>
          <w:sz w:val="24"/>
        </w:rPr>
        <w:t>) to the fullest extent permitted under the California Act (after waiving all California Act restrictions on indemnification other than those which cannot be eliminated), as the same now exists or may hereafter be amended, substituted or replaced (but, in the case of any such amendment, substitution or replacement only to the extent that such amendment, substitution or replacement permits the Company to provide broader indemnification rights than the Company is providing immediately prior to such amendment, substitution or replacement), against all expenses, liabilities and losses (including attorneys’ fees, judgments, fines, excise taxes or penalties, as reasonably required) reasonably incurred or suffered by such Person (or one or more of such Person’s Affiliates) by reason of the fact that such Person is or was a Member (or Affiliate of a Member) or is or was serving as the Managing Member,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additional or substitute Managing Member, a Manager or a committee member pursuant to the Prior Agreement, officer, employee or other agent of the Company or is or was serving at the request of the Company as a manager, officer, director, principal, member, employee or agent of another corporation, partnership, joint venture, limited liability company, trust or other enterprise (including any manager, officer, director, principal, member, employee or agent of the Managing Member or any additional or substitute Managing Member);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(unless the Managing Member otherwise consents) no Indemnified Person shall be indemnified for any expenses, liabilities and losses suffered that are attributable to such Indemnified Person’s or its Affiliates’ gross negligence, willful misconduct or knowing violation of law. Expenses, including reasonable attorneys’ fees, incurred by any such Indemnified Person in defending a proceeding related to any such indemnifiable matter shall be paid by the Company in advance of the final disposition of such proceeding, including any appeal therefrom, upon receipt of an undertaking by or on behalf of such Indemnified Person to repay such amounts if it shall ultimately be determined that such Indemnified Person is not entitled to be indemnified by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right to indemnification and the advancement of expenses conferred in this </w:t>
      </w:r>
      <w:r>
        <w:rPr>
          <w:rFonts w:ascii="Times New Roman" w:hAnsi="Times New Roman"/>
          <w:color w:val="000000"/>
          <w:sz w:val="24"/>
          <w:u w:val="single"/>
        </w:rPr>
        <w:t>Section 6.4</w:t>
      </w:r>
      <w:r>
        <w:rPr>
          <w:rFonts w:ascii="Times New Roman" w:hAnsi="Times New Roman"/>
          <w:color w:val="000000"/>
          <w:sz w:val="20"/>
        </w:rPr>
        <w:t xml:space="preserve"> </w:t>
      </w:r>
      <w:r>
        <w:rPr>
          <w:rFonts w:ascii="Times New Roman" w:hAnsi="Times New Roman"/>
          <w:color w:val="000000"/>
          <w:sz w:val="24"/>
        </w:rPr>
        <w:t>shall not be exclusive of any other right which any Person may have or hereafter acquire under any statute, agreement, by-law, determination of the Managing Member or otherwise.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The Company will maintain directors’ and officers’ liability insurance, at its expense, for the benefit of the Managing Member, the officers of the Company and any other Persons to whom the Managing Member has delegated its authority pursuant to </w:t>
      </w:r>
      <w:r>
        <w:rPr>
          <w:rFonts w:ascii="Times New Roman" w:hAnsi="Times New Roman"/>
          <w:color w:val="000000"/>
          <w:sz w:val="24"/>
          <w:u w:val="single"/>
        </w:rPr>
        <w:t>Section 5.4</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Notwithstanding anything contained herein to the contrary (including in this </w:t>
      </w:r>
      <w:r>
        <w:rPr>
          <w:rFonts w:ascii="Times New Roman" w:hAnsi="Times New Roman"/>
          <w:color w:val="000000"/>
          <w:sz w:val="24"/>
          <w:u w:val="single"/>
        </w:rPr>
        <w:t>Section 6.4</w:t>
      </w:r>
      <w:r>
        <w:rPr>
          <w:rFonts w:ascii="Times New Roman" w:hAnsi="Times New Roman"/>
          <w:color w:val="000000"/>
          <w:sz w:val="24"/>
        </w:rPr>
        <w:t xml:space="preserve">), any indemnity by the Company relating to the matters covered in this </w:t>
      </w:r>
      <w:r>
        <w:rPr>
          <w:rFonts w:ascii="Times New Roman" w:hAnsi="Times New Roman"/>
          <w:color w:val="000000"/>
          <w:sz w:val="24"/>
          <w:u w:val="single"/>
        </w:rPr>
        <w:t>Section 6.4</w:t>
      </w:r>
      <w:r>
        <w:rPr>
          <w:rFonts w:ascii="Times New Roman" w:hAnsi="Times New Roman"/>
          <w:color w:val="000000"/>
          <w:sz w:val="20"/>
        </w:rPr>
        <w:t xml:space="preserve"> </w:t>
      </w:r>
      <w:r>
        <w:rPr>
          <w:rFonts w:ascii="Times New Roman" w:hAnsi="Times New Roman"/>
          <w:color w:val="000000"/>
          <w:sz w:val="24"/>
        </w:rPr>
        <w:t>shall be provided out of and to the extent of Company assets only and no Member (unless such Member otherwise agrees in writing or is found in a final decision by a court of competent jurisdiction to have personal liability on account thereof) shall have personal liability on account thereof or shall be required to make additional capital contributions or otherwise provide funding to help satisfy such indemnity of the Company.</w:t>
      </w:r>
    </w:p>
    <w:p>
      <w:pPr>
        <w:pStyle w:val="TextBody"/>
        <w:bidi w:val="0"/>
        <w:spacing w:before="0" w:after="240"/>
        <w:jc w:val="both"/>
        <w:rPr>
          <w:rFonts w:ascii="Times New Roman" w:hAnsi="Times New Roman"/>
          <w:sz w:val="20"/>
        </w:rPr>
      </w:pPr>
      <w:bookmarkStart w:id="115" w:name="docxtextref341"/>
      <w:bookmarkEnd w:id="115"/>
      <w:r>
        <w:rPr>
          <w:rFonts w:ascii="Times New Roman" w:hAnsi="Times New Roman"/>
          <w:color w:val="000000"/>
          <w:sz w:val="24"/>
        </w:rPr>
        <w:t>(e) The Company hereby acknowledges that certain of its Members (the “</w:t>
      </w:r>
      <w:r>
        <w:rPr>
          <w:rFonts w:ascii="Times New Roman" w:hAnsi="Times New Roman"/>
          <w:b/>
          <w:color w:val="000000"/>
          <w:sz w:val="24"/>
        </w:rPr>
        <w:t>Fund Indemnitees</w:t>
      </w:r>
      <w:r>
        <w:rPr>
          <w:rFonts w:ascii="Times New Roman" w:hAnsi="Times New Roman"/>
          <w:color w:val="000000"/>
          <w:sz w:val="20"/>
        </w:rPr>
        <w:t>”</w:t>
      </w:r>
      <w:r>
        <w:rPr>
          <w:rFonts w:ascii="Times New Roman" w:hAnsi="Times New Roman"/>
          <w:color w:val="000000"/>
          <w:sz w:val="24"/>
        </w:rPr>
        <w:t>) may have rights to indemnification, advancement of expenses and/or insurance in connection with their involvement with the Company provided by other Persons (collectively, the “</w:t>
      </w:r>
      <w:r>
        <w:rPr>
          <w:rFonts w:ascii="Times New Roman" w:hAnsi="Times New Roman"/>
          <w:b/>
          <w:color w:val="000000"/>
          <w:sz w:val="24"/>
        </w:rPr>
        <w:t>Fund Indemnitors</w:t>
      </w:r>
      <w:r>
        <w:rPr>
          <w:rFonts w:ascii="Times New Roman" w:hAnsi="Times New Roman"/>
          <w:color w:val="000000"/>
          <w:sz w:val="20"/>
        </w:rPr>
        <w:t>”</w:t>
      </w:r>
      <w:r>
        <w:rPr>
          <w:rFonts w:ascii="Times New Roman" w:hAnsi="Times New Roman"/>
          <w:color w:val="000000"/>
          <w:sz w:val="24"/>
        </w:rPr>
        <w:t>). The Company hereby agrees (i)</w:t>
      </w:r>
      <w:r>
        <w:rPr>
          <w:rFonts w:ascii="Times New Roman" w:hAnsi="Times New Roman"/>
          <w:color w:val="000000"/>
          <w:sz w:val="20"/>
        </w:rPr>
        <w:t xml:space="preserve"> </w:t>
      </w:r>
      <w:r>
        <w:rPr>
          <w:rFonts w:ascii="Times New Roman" w:hAnsi="Times New Roman"/>
          <w:color w:val="000000"/>
          <w:sz w:val="24"/>
        </w:rPr>
        <w:t>that it is the indemnitor of first resort (</w:t>
      </w:r>
      <w:r>
        <w:rPr>
          <w:rFonts w:ascii="Times New Roman" w:hAnsi="Times New Roman"/>
          <w:i/>
          <w:color w:val="000000"/>
          <w:sz w:val="24"/>
        </w:rPr>
        <w:t>i.e.</w:t>
      </w:r>
      <w:r>
        <w:rPr>
          <w:rFonts w:ascii="Times New Roman" w:hAnsi="Times New Roman"/>
          <w:color w:val="000000"/>
          <w:sz w:val="24"/>
        </w:rPr>
        <w:t>, its obligations to the Fund Indemnitee are primary and any obligation of the Fund Indemnitors to advance expenses or to provide indemnification for the same expenses or liabilities incurred by the Fund Indemnitees are secondary), and (ii) that it irrevocably waives, relinquishes and releases the Fund Indemnitors from any and all claims against the Fund Indemnitors for contribution, subrogation or any other recovery of any kind in respect thereof to the fullest extent permitted by law. The Company further agrees that no advancement or payment by the Fund Indemnitors on behalf of the Fund Indemnitees with respect to any claim for which the Fund Indemnitees have sought indemnification from the Company shall affect the foregoing and the Fund Indemnitors shall have a right of contribution and/or be subrogated to the extent of such advancement or payment to all of the rights of recovery of the Fund Indemnitees against the Company.</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If this </w:t>
      </w:r>
      <w:r>
        <w:rPr>
          <w:rFonts w:ascii="Times New Roman" w:hAnsi="Times New Roman"/>
          <w:color w:val="000000"/>
          <w:sz w:val="24"/>
          <w:u w:val="single"/>
        </w:rPr>
        <w:t>Section 6.4</w:t>
      </w:r>
      <w:r>
        <w:rPr>
          <w:rFonts w:ascii="Times New Roman" w:hAnsi="Times New Roman"/>
          <w:color w:val="000000"/>
          <w:sz w:val="20"/>
        </w:rPr>
        <w:t xml:space="preserve"> </w:t>
      </w:r>
      <w:r>
        <w:rPr>
          <w:rFonts w:ascii="Times New Roman" w:hAnsi="Times New Roman"/>
          <w:color w:val="000000"/>
          <w:sz w:val="24"/>
        </w:rPr>
        <w:t xml:space="preserve">or any portion hereof shall be invalidated on any ground by any court of competent jurisdiction, then the Company shall nevertheless indemnify and hold harmless each Indemnified Person pursuant to this </w:t>
      </w:r>
      <w:r>
        <w:rPr>
          <w:rFonts w:ascii="Times New Roman" w:hAnsi="Times New Roman"/>
          <w:color w:val="000000"/>
          <w:sz w:val="24"/>
          <w:u w:val="single"/>
        </w:rPr>
        <w:t>Section 6.4</w:t>
      </w:r>
      <w:r>
        <w:rPr>
          <w:rFonts w:ascii="Times New Roman" w:hAnsi="Times New Roman"/>
          <w:color w:val="000000"/>
          <w:sz w:val="20"/>
        </w:rPr>
        <w:t xml:space="preserve"> </w:t>
      </w:r>
      <w:r>
        <w:rPr>
          <w:rFonts w:ascii="Times New Roman" w:hAnsi="Times New Roman"/>
          <w:color w:val="000000"/>
          <w:sz w:val="24"/>
        </w:rPr>
        <w:t xml:space="preserve">to the fullest extent permitted by any applicable portion of this </w:t>
      </w:r>
      <w:r>
        <w:rPr>
          <w:rFonts w:ascii="Times New Roman" w:hAnsi="Times New Roman"/>
          <w:color w:val="000000"/>
          <w:sz w:val="24"/>
          <w:u w:val="single"/>
        </w:rPr>
        <w:t>Section 6.4</w:t>
      </w:r>
      <w:r>
        <w:rPr>
          <w:rFonts w:ascii="Times New Roman" w:hAnsi="Times New Roman"/>
          <w:color w:val="000000"/>
          <w:sz w:val="20"/>
        </w:rPr>
        <w:t xml:space="preserve"> </w:t>
      </w:r>
      <w:r>
        <w:rPr>
          <w:rFonts w:ascii="Times New Roman" w:hAnsi="Times New Roman"/>
          <w:color w:val="000000"/>
          <w:sz w:val="24"/>
        </w:rPr>
        <w:t>that shall not have been invalidated and to the fullest extent permitted by applicable law.</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VII</w:t>
      </w:r>
      <w:r>
        <w:rPr>
          <w:rFonts w:ascii="Times New Roman" w:hAnsi="Times New Roman"/>
          <w:b/>
          <w:color w:val="000000"/>
          <w:sz w:val="24"/>
        </w:rPr>
        <w:br/>
        <w:br/>
        <w:t>BOOKS, RECORDS, ACCOUNTING AND REPORTS</w:t>
      </w:r>
    </w:p>
    <w:p>
      <w:pPr>
        <w:pStyle w:val="TextBody"/>
        <w:bidi w:val="0"/>
        <w:spacing w:before="0" w:after="240"/>
        <w:jc w:val="both"/>
        <w:rPr>
          <w:rFonts w:ascii="Times New Roman" w:hAnsi="Times New Roman"/>
          <w:sz w:val="20"/>
        </w:rPr>
      </w:pPr>
      <w:bookmarkStart w:id="116" w:name="docxtextref351"/>
      <w:bookmarkEnd w:id="116"/>
      <w:r>
        <w:rPr>
          <w:rFonts w:ascii="Times New Roman" w:hAnsi="Times New Roman"/>
          <w:color w:val="000000"/>
          <w:sz w:val="24"/>
        </w:rPr>
        <w:t xml:space="preserve">7.1 </w:t>
      </w:r>
      <w:r>
        <w:rPr>
          <w:rFonts w:ascii="Times New Roman" w:hAnsi="Times New Roman"/>
          <w:color w:val="000000"/>
          <w:sz w:val="24"/>
          <w:u w:val="single"/>
        </w:rPr>
        <w:t>Records and Accounting.</w:t>
      </w:r>
      <w:r>
        <w:rPr>
          <w:rFonts w:ascii="Times New Roman" w:hAnsi="Times New Roman"/>
          <w:color w:val="000000"/>
          <w:sz w:val="20"/>
        </w:rPr>
        <w:t xml:space="preserve"> </w:t>
      </w:r>
      <w:r>
        <w:rPr>
          <w:rFonts w:ascii="Times New Roman" w:hAnsi="Times New Roman"/>
          <w:color w:val="000000"/>
          <w:sz w:val="24"/>
        </w:rPr>
        <w:t xml:space="preserve">The Company shall keep, or cause to be kept, appropriate books and records with respect to the Company’s business, including all books and records necessary to provide any information, lists and copies of documents required to be provided pursuant to </w:t>
      </w:r>
      <w:r>
        <w:rPr>
          <w:rFonts w:ascii="Times New Roman" w:hAnsi="Times New Roman"/>
          <w:color w:val="000000"/>
          <w:sz w:val="24"/>
          <w:u w:val="single"/>
        </w:rPr>
        <w:t>Section 7.3</w:t>
      </w:r>
      <w:r>
        <w:rPr>
          <w:rFonts w:ascii="Times New Roman" w:hAnsi="Times New Roman"/>
          <w:color w:val="000000"/>
          <w:sz w:val="20"/>
        </w:rPr>
        <w:t xml:space="preserve"> </w:t>
      </w:r>
      <w:r>
        <w:rPr>
          <w:rFonts w:ascii="Times New Roman" w:hAnsi="Times New Roman"/>
          <w:color w:val="000000"/>
          <w:sz w:val="24"/>
        </w:rPr>
        <w:t>or pursuant to applicable laws. All matters concerning (i)</w:t>
      </w:r>
      <w:r>
        <w:rPr>
          <w:rFonts w:ascii="Times New Roman" w:hAnsi="Times New Roman"/>
          <w:color w:val="000000"/>
          <w:sz w:val="20"/>
        </w:rPr>
        <w:t xml:space="preserve"> </w:t>
      </w:r>
      <w:r>
        <w:rPr>
          <w:rFonts w:ascii="Times New Roman" w:hAnsi="Times New Roman"/>
          <w:color w:val="000000"/>
          <w:sz w:val="24"/>
        </w:rPr>
        <w:t xml:space="preserve">the determination of the relative amount of allocations and distributions among the Members pursuant to Article III and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and (ii) accounting procedures and determinations, and other determinations not specifically and expressly provided for by the terms of this Agreement, shall be determined by the Managing Member, whose determination shall be final and conclusive as to all of the Members absent manifest clerical error.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7.2 </w:t>
      </w:r>
      <w:r>
        <w:rPr>
          <w:rFonts w:ascii="Times New Roman" w:hAnsi="Times New Roman"/>
          <w:color w:val="000000"/>
          <w:sz w:val="24"/>
          <w:u w:val="single"/>
        </w:rPr>
        <w:t>Fiscal Year</w:t>
      </w:r>
      <w:r>
        <w:rPr>
          <w:rFonts w:ascii="Times New Roman" w:hAnsi="Times New Roman"/>
          <w:color w:val="000000"/>
          <w:sz w:val="24"/>
        </w:rPr>
        <w:t>. The Fiscal Year of the Company shall be such annual accounting period as is established by the Managing Member from time to time.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7.3 </w:t>
      </w:r>
      <w:r>
        <w:rPr>
          <w:rFonts w:ascii="Times New Roman" w:hAnsi="Times New Roman"/>
          <w:color w:val="000000"/>
          <w:sz w:val="24"/>
          <w:u w:val="single"/>
        </w:rPr>
        <w:t>Reports</w:t>
      </w:r>
      <w:r>
        <w:rPr>
          <w:rFonts w:ascii="Times New Roman" w:hAnsi="Times New Roman"/>
          <w:color w:val="000000"/>
          <w:sz w:val="24"/>
        </w:rPr>
        <w:t>. The Company shall use commercially reasonable efforts to deliver or cause to be delivered, as soon as practicable following the completion of each Taxable Year, but in all events no later than ninety (90) days (except that in the case of Schedule K-1, no later than ninety (90) days for an estimate of the information to be included in Schedule K-1 and no later than one hundred and twenty (120) days for Schedule K-1) after the end of each Taxable Year, to each Person who was a holder of Units at any time during such Taxable Year all information from the Company necessary for the preparation of such Person’s United States federal and state income tax returns. Except as set forth in the immediately preceding sentence or any separate written agreement between the Company and any Member, pursuant to Section 17704.10 of the California Act, no Member shall have the right to any other information from the Company, except as may be required by any non-waivable provision of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7.4 </w:t>
      </w:r>
      <w:r>
        <w:rPr>
          <w:rFonts w:ascii="Times New Roman" w:hAnsi="Times New Roman"/>
          <w:color w:val="000000"/>
          <w:sz w:val="24"/>
          <w:u w:val="single"/>
        </w:rPr>
        <w:t>Transmission of Communications</w:t>
      </w:r>
      <w:r>
        <w:rPr>
          <w:rFonts w:ascii="Times New Roman" w:hAnsi="Times New Roman"/>
          <w:color w:val="000000"/>
          <w:sz w:val="24"/>
        </w:rPr>
        <w:t>. Each Person that owns or controls Units on behalf of, or for the benefit of, another Person or Persons shall be responsible for conveying any report, notice or other communication received from the Company to such other Person or Persons.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7.5 </w:t>
      </w:r>
      <w:r>
        <w:rPr>
          <w:rFonts w:ascii="Times New Roman" w:hAnsi="Times New Roman"/>
          <w:color w:val="000000"/>
          <w:sz w:val="24"/>
          <w:u w:val="single"/>
        </w:rPr>
        <w:t>Confidentiality</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117" w:name="docxtextref356"/>
      <w:bookmarkEnd w:id="117"/>
      <w:r>
        <w:rPr>
          <w:rFonts w:ascii="Times New Roman" w:hAnsi="Times New Roman"/>
          <w:color w:val="000000"/>
          <w:sz w:val="24"/>
        </w:rPr>
        <w:t>(a) The Managing Member may keep confidential from the Members, for such period of time as the Managing Member determines in its sole discretion, (i)</w:t>
      </w:r>
      <w:r>
        <w:rPr>
          <w:rFonts w:ascii="Times New Roman" w:hAnsi="Times New Roman"/>
          <w:color w:val="000000"/>
          <w:sz w:val="20"/>
        </w:rPr>
        <w:t xml:space="preserve"> </w:t>
      </w:r>
      <w:r>
        <w:rPr>
          <w:rFonts w:ascii="Times New Roman" w:hAnsi="Times New Roman"/>
          <w:color w:val="000000"/>
          <w:sz w:val="24"/>
        </w:rPr>
        <w:t>any information that the Managing Member reasonably believes to be in the nature of trade secrets or (ii) other information the disclosure of which the Managing Member believes is not in the best interests of the Company, could damage the Company or its business or that the Company is required by law or by agreement with any third party to keep confidential, including without limitation, information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118" w:name="docxtextref353"/>
      <w:bookmarkEnd w:id="118"/>
      <w:r>
        <w:rPr>
          <w:rFonts w:ascii="Times New Roman" w:hAnsi="Times New Roman"/>
          <w:color w:val="000000"/>
          <w:sz w:val="24"/>
        </w:rPr>
        <w:t xml:space="preserve">as to the Units held by any other Member. With respect to any schedules, annexes or exhibits to this Agreement, to the fullest extent permitted by law, each Member (other than the Managing Member) shall only be entitled to receive and review any such </w:t>
      </w:r>
      <w:bookmarkStart w:id="119" w:name="docxtextref354"/>
      <w:bookmarkEnd w:id="119"/>
      <w:r>
        <w:rPr>
          <w:rFonts w:ascii="Times New Roman" w:hAnsi="Times New Roman"/>
          <w:color w:val="000000"/>
          <w:sz w:val="24"/>
        </w:rPr>
        <w:t xml:space="preserve">schedules, annexes and exhibits relating to such Member and shall not be entitled to receive or review any </w:t>
      </w:r>
      <w:bookmarkStart w:id="120" w:name="docxtextref355"/>
      <w:bookmarkEnd w:id="120"/>
      <w:r>
        <w:rPr>
          <w:rFonts w:ascii="Times New Roman" w:hAnsi="Times New Roman"/>
          <w:color w:val="000000"/>
          <w:sz w:val="24"/>
        </w:rPr>
        <w:t>schedules, annexes or exhibits relating to any other Member (other than the Managing Member).</w:t>
      </w:r>
    </w:p>
    <w:p>
      <w:pPr>
        <w:pStyle w:val="TextBody"/>
        <w:bidi w:val="0"/>
        <w:spacing w:before="0" w:after="240"/>
        <w:jc w:val="both"/>
        <w:rPr>
          <w:rFonts w:ascii="Times New Roman" w:hAnsi="Times New Roman"/>
          <w:sz w:val="20"/>
        </w:rPr>
      </w:pPr>
      <w:bookmarkStart w:id="121" w:name="docxtextref357"/>
      <w:bookmarkEnd w:id="121"/>
      <w:r>
        <w:rPr>
          <w:rFonts w:ascii="Times New Roman" w:hAnsi="Times New Roman"/>
          <w:color w:val="000000"/>
          <w:sz w:val="24"/>
        </w:rPr>
        <w:t xml:space="preserve">(b) Each Member agrees, for so long as such Member owns any Units and for a period of two (2) years following the date upon which such Member ceases to own any Units, to keep confidential, any non-public information provided to such Member by the Company;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nothing herein will limit the disclosure of any information (i)</w:t>
      </w:r>
      <w:r>
        <w:rPr>
          <w:rFonts w:ascii="Times New Roman" w:hAnsi="Times New Roman"/>
          <w:color w:val="000000"/>
          <w:sz w:val="20"/>
        </w:rPr>
        <w:t xml:space="preserve"> </w:t>
      </w:r>
      <w:r>
        <w:rPr>
          <w:rFonts w:ascii="Times New Roman" w:hAnsi="Times New Roman"/>
          <w:color w:val="000000"/>
          <w:sz w:val="24"/>
        </w:rPr>
        <w:t xml:space="preserve">to the extent required by law, statute, rule, regulation, judicial process, subpoena or court order or required by any governmental agency or other regulatory authority; (ii) that is in the public domain or becomes generally available to the public, in each case, other than as a result of the disclosure by the parties in violation of this Agreement; or (iii) to a Member’s Permitted Transferees, advisors, representatives and Affiliates;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advisors, representatives and Affiliates shall have been advised of this agreement and shall have expressly agreed to be bound by the confidentiality provisions hereof, or shall otherwise be bound by comparable obligations of confidentiality, and the applicable Member shall be responsible for any breach of or failure to comply with this agreement by any of its Affiliates and such Member agrees, at its sole expense, to take reasonable measures (including but not limited to court proceedings) to restrain its advisors, representatives and Affiliates from prohibited or unauthorized disclosure or use of any confidential information.</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VIII</w:t>
      </w:r>
      <w:r>
        <w:rPr>
          <w:rFonts w:ascii="Times New Roman" w:hAnsi="Times New Roman"/>
          <w:b/>
          <w:color w:val="000000"/>
          <w:sz w:val="24"/>
        </w:rPr>
        <w:br/>
        <w:br/>
        <w:t>TAX MATTERS</w:t>
      </w:r>
    </w:p>
    <w:p>
      <w:pPr>
        <w:pStyle w:val="TextBody"/>
        <w:bidi w:val="0"/>
        <w:spacing w:before="0" w:after="240"/>
        <w:jc w:val="both"/>
        <w:rPr>
          <w:rFonts w:ascii="Times New Roman" w:hAnsi="Times New Roman"/>
          <w:sz w:val="20"/>
        </w:rPr>
      </w:pPr>
      <w:bookmarkStart w:id="122" w:name="docxtextref359"/>
      <w:bookmarkEnd w:id="122"/>
      <w:r>
        <w:rPr>
          <w:rFonts w:ascii="Times New Roman" w:hAnsi="Times New Roman"/>
          <w:color w:val="000000"/>
          <w:sz w:val="24"/>
        </w:rPr>
        <w:t xml:space="preserve">8.1 </w:t>
      </w:r>
      <w:r>
        <w:rPr>
          <w:rFonts w:ascii="Times New Roman" w:hAnsi="Times New Roman"/>
          <w:color w:val="000000"/>
          <w:sz w:val="24"/>
          <w:u w:val="single"/>
        </w:rPr>
        <w:t>Preparation of Tax Returns</w:t>
      </w:r>
      <w:r>
        <w:rPr>
          <w:rFonts w:ascii="Times New Roman" w:hAnsi="Times New Roman"/>
          <w:color w:val="000000"/>
          <w:sz w:val="24"/>
        </w:rPr>
        <w:t>. The Company shall arrange for the preparation and timely filing of all tax returns required to be filed by the Company. The Managing Member shall determine the accounting methods and conventions under the tax laws of the United States, the several states and other relevant jurisdictions as to the treatment of items of income, gain, deduction, loss and credit or any other method or procedure related to the preparation of such tax returns. Each Member will, upon request, supply to the Company all reasonably accessible, pertinent information in its possession relating to the operations of the Company necessary to enable the Company’s tax returns to be prepared and filed. Each Member agrees in respect of any year in which such Member had an investment in the Company that, unless otherwise agreed by the Managing Member or as required by law, such Member shall not: (i)</w:t>
      </w:r>
      <w:r>
        <w:rPr>
          <w:rFonts w:ascii="Times New Roman" w:hAnsi="Times New Roman"/>
          <w:color w:val="000000"/>
          <w:sz w:val="20"/>
        </w:rPr>
        <w:t xml:space="preserve"> </w:t>
      </w:r>
      <w:r>
        <w:rPr>
          <w:rFonts w:ascii="Times New Roman" w:hAnsi="Times New Roman"/>
          <w:color w:val="000000"/>
          <w:sz w:val="24"/>
        </w:rPr>
        <w:t xml:space="preserve">treat, on its individual tax returns, any item of income, gain, loss, deduction or credit relating to such investment in a manner inconsistent with the treatment of such item by the Company, as reflected on the </w:t>
      </w:r>
      <w:bookmarkStart w:id="123" w:name="docxtextref358"/>
      <w:bookmarkEnd w:id="123"/>
      <w:r>
        <w:rPr>
          <w:rFonts w:ascii="Times New Roman" w:hAnsi="Times New Roman"/>
          <w:color w:val="000000"/>
          <w:sz w:val="24"/>
        </w:rPr>
        <w:t>Schedule K-1 or other information statement furnished by the Company to such Member; or (ii) file any claim for refund relating to any such item based on, or which would result in, any such inconsistent treatment.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8.2 </w:t>
      </w:r>
      <w:r>
        <w:rPr>
          <w:rFonts w:ascii="Times New Roman" w:hAnsi="Times New Roman"/>
          <w:color w:val="000000"/>
          <w:sz w:val="24"/>
          <w:u w:val="single"/>
        </w:rPr>
        <w:t>Tax Elections</w:t>
      </w:r>
      <w:r>
        <w:rPr>
          <w:rFonts w:ascii="Times New Roman" w:hAnsi="Times New Roman"/>
          <w:color w:val="000000"/>
          <w:sz w:val="24"/>
        </w:rPr>
        <w:t>. The Taxable Year of the Company shall be the calendar year unless otherwise required by the Code or applicable tax laws. The Managing Member shall cause the Company to have in effect (and to cause each direct or indirect subsidiary that is treated as a partnership for U.S. federal income tax purposes to have in effect) an election pursuant to Section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124" w:name="docxtextref362"/>
      <w:bookmarkEnd w:id="124"/>
      <w:r>
        <w:rPr>
          <w:rFonts w:ascii="Times New Roman" w:hAnsi="Times New Roman"/>
          <w:color w:val="000000"/>
          <w:sz w:val="24"/>
        </w:rPr>
        <w:t>754</w:t>
      </w:r>
      <w:r>
        <w:rPr>
          <w:rFonts w:ascii="Times New Roman" w:hAnsi="Times New Roman"/>
          <w:color w:val="000000"/>
          <w:sz w:val="20"/>
        </w:rPr>
        <w:t xml:space="preserve"> </w:t>
      </w:r>
      <w:r>
        <w:rPr>
          <w:rFonts w:ascii="Times New Roman" w:hAnsi="Times New Roman"/>
          <w:color w:val="000000"/>
          <w:sz w:val="24"/>
        </w:rPr>
        <w:t xml:space="preserve">of the Code, to adjust the tax basis of Company properties, for the taxable year that includes the date of the initial public offering of shares of Class A Common Stock and for each taxable year in which an Exchange occurs. The Managing Member shall determine whether to make or revoke any other available election or decision relating to tax matters, including controversy in </w:t>
      </w:r>
      <w:r>
        <w:rPr>
          <w:rFonts w:ascii="Times New Roman" w:hAnsi="Times New Roman"/>
          <w:color w:val="000000"/>
          <w:sz w:val="24"/>
          <w:u w:val="single"/>
        </w:rPr>
        <w:t>Section 8.3</w:t>
      </w:r>
      <w:r>
        <w:rPr>
          <w:rFonts w:ascii="Times New Roman" w:hAnsi="Times New Roman"/>
          <w:color w:val="000000"/>
          <w:sz w:val="20"/>
        </w:rPr>
        <w:t xml:space="preserve"> </w:t>
      </w:r>
      <w:r>
        <w:rPr>
          <w:rFonts w:ascii="Times New Roman" w:hAnsi="Times New Roman"/>
          <w:color w:val="000000"/>
          <w:sz w:val="24"/>
        </w:rPr>
        <w:t>pursuant to the Code. Each Member will upon request supply any information necessary to give proper effect to any such election.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8.3 </w:t>
      </w:r>
      <w:r>
        <w:rPr>
          <w:rFonts w:ascii="Times New Roman" w:hAnsi="Times New Roman"/>
          <w:color w:val="000000"/>
          <w:sz w:val="24"/>
          <w:u w:val="single"/>
        </w:rPr>
        <w:t>Tax Controversies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With respect to tax periods ending after December 31, 2017, the Managing Member (or its permitted designee) is hereby designated the “partnership representative” of the Company for purposes of, and in accordance with, Section 6223 of the Code (and any analogous provision of state or local tax law) (the “</w:t>
      </w:r>
      <w:r>
        <w:rPr>
          <w:rFonts w:ascii="Times New Roman" w:hAnsi="Times New Roman"/>
          <w:b/>
          <w:color w:val="000000"/>
          <w:sz w:val="24"/>
        </w:rPr>
        <w:t>Partnership Representative</w:t>
      </w:r>
      <w:r>
        <w:rPr>
          <w:rFonts w:ascii="Times New Roman" w:hAnsi="Times New Roman"/>
          <w:color w:val="000000"/>
          <w:sz w:val="20"/>
        </w:rPr>
        <w:t>”</w:t>
      </w:r>
      <w:r>
        <w:rPr>
          <w:rFonts w:ascii="Times New Roman" w:hAnsi="Times New Roman"/>
          <w:color w:val="000000"/>
          <w:sz w:val="24"/>
        </w:rPr>
        <w:t>). With respect to tax periods ending on or prior to December 31, 2017, the Managing Member (or its permitted designee) shall act as the “tax matters partner” within the meaning of Section 6231(a)(7) of the Code (and any analogous provision of state or local tax law) as in effect during such tax period (the “</w:t>
      </w:r>
      <w:r>
        <w:rPr>
          <w:rFonts w:ascii="Times New Roman" w:hAnsi="Times New Roman"/>
          <w:b/>
          <w:color w:val="000000"/>
          <w:sz w:val="24"/>
        </w:rPr>
        <w:t>Tax Matters Member</w:t>
      </w:r>
      <w:r>
        <w:rPr>
          <w:rFonts w:ascii="Times New Roman" w:hAnsi="Times New Roman"/>
          <w:color w:val="000000"/>
          <w:sz w:val="20"/>
        </w:rPr>
        <w:t>”</w:t>
      </w:r>
      <w:r>
        <w:rPr>
          <w:rFonts w:ascii="Times New Roman" w:hAnsi="Times New Roman"/>
          <w:color w:val="000000"/>
          <w:sz w:val="24"/>
        </w:rPr>
        <w:t>). For each tax period in which the Partnership Representative is an entity, the Company shall appoint an individual identified by the Partnership Representative for such tax period to act on its behalf (the “</w:t>
      </w:r>
      <w:r>
        <w:rPr>
          <w:rFonts w:ascii="Times New Roman" w:hAnsi="Times New Roman"/>
          <w:b/>
          <w:color w:val="000000"/>
          <w:sz w:val="24"/>
        </w:rPr>
        <w:t>Designated Individual</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Partnership Representative, the Tax Matters Member, or the Designated Individual, as applicable, is authorized and required to represent the Company (at the Company’s expense) in connection with all tax audits, litigations, contests, examinations, controversies and other similar proceedings of the Company’s affairs by tax authorities, including resulting administrative and judicial proceedings, and to expend Company funds for professional services reasonably incurred in connection therewith. Each holder of Units agrees to cooperate with the Company and to do or refrain from doing any or all things reasonably requested by the Company with respect to the conduct of such proceedings. Nothing herein shall be construed to restrict the Partnership Representative, the Tax Matters Member, or the Designated Individual from engaging lawyers, accountants, tax advisers, or other professional advisers or experts to assist the Partnership Representative, the Tax Matters Member or the Designated Individual in discharging its duties hereunder. None of the Partnership Representative, the Tax Matters Member or Designated Individual shall be liable to the Company, any Member or any Affiliate thereof for any costs or losses to any Persons, any diminution in value or any liability whatsoever arising as a result of the performance of its duties pursuant to this Section 8.3 absent (i) willful breach of any provision of this Section 8.3 or (ii) bad faith, fraud, gross negligence or willful misconduct on the part of the Partnership Representative, the Tax Matters Member or Designated Individual, as applicable.</w:t>
      </w:r>
    </w:p>
    <w:p>
      <w:pPr>
        <w:pStyle w:val="TextBody"/>
        <w:bidi w:val="0"/>
        <w:spacing w:before="0" w:after="240"/>
        <w:jc w:val="both"/>
        <w:rPr>
          <w:rFonts w:ascii="Times New Roman" w:hAnsi="Times New Roman"/>
          <w:sz w:val="20"/>
        </w:rPr>
      </w:pPr>
      <w:bookmarkStart w:id="125" w:name="docxtextref365"/>
      <w:bookmarkEnd w:id="125"/>
      <w:r>
        <w:rPr>
          <w:rFonts w:ascii="Times New Roman" w:hAnsi="Times New Roman"/>
          <w:color w:val="000000"/>
          <w:sz w:val="24"/>
        </w:rPr>
        <w:t>(c) The Partnership Representative, Tax Matters Member, or Designated Individual, as applicable, shall keep the Managing Member fully informed of the progress of any examinations, audits or other proceedings, it being agreed that no holder of Units (other than the Managing Member (or its permitted designee), in its capacity as Partnership Representative, Tax Matters Member or Designated Individual) shall have any right to participate in any such examinations, audits or other proceedings. Each Member hereby agrees to (i)</w:t>
      </w:r>
      <w:r>
        <w:rPr>
          <w:rFonts w:ascii="Times New Roman" w:hAnsi="Times New Roman"/>
          <w:color w:val="000000"/>
          <w:sz w:val="20"/>
        </w:rPr>
        <w:t xml:space="preserve"> </w:t>
      </w:r>
      <w:r>
        <w:rPr>
          <w:rFonts w:ascii="Times New Roman" w:hAnsi="Times New Roman"/>
          <w:color w:val="000000"/>
          <w:sz w:val="24"/>
        </w:rPr>
        <w:t>take such actions as may be required to effect the designation of the Managing Member (or its designee) as the Partnership Representative, Tax Matters Member, or Designated Individual, (ii) to cooperate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provide any information or take such other actions as may be reasonably requested by the Partnership Representative in order to determine whether any Imputed Underpayment Amount may be modified pursuant to Section 6225(c) of the Code, and (iii) in the event the Company makes an election under Section 6226 of the Code (and any analogous provision of state or local tax law), to take such actions as may be necessary or desirable to allow the Company to comply with the requirements of such election so that any “partnership adjustments” (as defined in Section 6241(2) of the Code) are taken into account by the Members and former Members rather than the Company. Notwithstanding the foregoing, the Partnership Representative, the Tax Matters Member, and the Designated Individual shall be subject to the control of the Managing Member pursuant to </w:t>
      </w:r>
      <w:r>
        <w:rPr>
          <w:rFonts w:ascii="Times New Roman" w:hAnsi="Times New Roman"/>
          <w:color w:val="000000"/>
          <w:sz w:val="24"/>
          <w:u w:val="single"/>
        </w:rPr>
        <w:t>Section 8.2</w:t>
      </w:r>
      <w:r>
        <w:rPr>
          <w:rFonts w:ascii="Times New Roman" w:hAnsi="Times New Roman"/>
          <w:color w:val="000000"/>
          <w:sz w:val="20"/>
        </w:rPr>
        <w:t xml:space="preserve"> </w:t>
      </w:r>
      <w:r>
        <w:rPr>
          <w:rFonts w:ascii="Times New Roman" w:hAnsi="Times New Roman"/>
          <w:color w:val="000000"/>
          <w:sz w:val="24"/>
        </w:rPr>
        <w:t>and shall not settle or otherwise compromise any issue in any such examination, audit or other proceeding without first obtaining approval of the Managing Member.</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IX</w:t>
      </w:r>
      <w:r>
        <w:rPr>
          <w:rFonts w:ascii="Times New Roman" w:hAnsi="Times New Roman"/>
          <w:b/>
          <w:color w:val="000000"/>
          <w:sz w:val="24"/>
        </w:rPr>
        <w:br/>
        <w:br/>
        <w:t>RESTRICTIONS ON TRANSFER OF UNITS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9.1 </w:t>
      </w:r>
      <w:r>
        <w:rPr>
          <w:rFonts w:ascii="Times New Roman" w:hAnsi="Times New Roman"/>
          <w:color w:val="000000"/>
          <w:sz w:val="24"/>
          <w:u w:val="single"/>
        </w:rPr>
        <w:t>Transfers of Units.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Except as otherwise agreed to in writing between the Managing Member and the applicable Member and reflected in the books and records of the Company or as otherwise provided in this </w:t>
      </w:r>
      <w:r>
        <w:rPr>
          <w:rFonts w:ascii="Times New Roman" w:hAnsi="Times New Roman"/>
          <w:color w:val="000000"/>
          <w:sz w:val="24"/>
          <w:u w:val="single"/>
        </w:rPr>
        <w:t>Article IX</w:t>
      </w:r>
      <w:r>
        <w:rPr>
          <w:rFonts w:ascii="Times New Roman" w:hAnsi="Times New Roman"/>
          <w:color w:val="000000"/>
          <w:sz w:val="24"/>
        </w:rPr>
        <w:t>, no holder of Units may sell, transfer, assign, pledge, encumber, distribute, contribute or otherwise dispose of (whether directly or indirectly (including, for the avoidance of doubt, by Transfer or issuance of any Capital Stock of any Member that is not a natural person), whether with or without consideration and whether voluntarily or involuntarily or by operation of law) any interest (legal or beneficial) in any Units (a “</w:t>
      </w:r>
      <w:r>
        <w:rPr>
          <w:rFonts w:ascii="Times New Roman" w:hAnsi="Times New Roman"/>
          <w:b/>
          <w:color w:val="000000"/>
          <w:sz w:val="24"/>
        </w:rPr>
        <w:t>Transfer</w:t>
      </w:r>
      <w:r>
        <w:rPr>
          <w:rFonts w:ascii="Times New Roman" w:hAnsi="Times New Roman"/>
          <w:color w:val="000000"/>
          <w:sz w:val="20"/>
        </w:rPr>
        <w:t>”</w:t>
      </w:r>
      <w:r>
        <w:rPr>
          <w:rFonts w:ascii="Times New Roman" w:hAnsi="Times New Roman"/>
          <w:color w:val="000000"/>
          <w:sz w:val="24"/>
        </w:rPr>
        <w:t xml:space="preserve">), except Exchanges pursuant to and in accordance with </w:t>
      </w:r>
      <w:r>
        <w:rPr>
          <w:rFonts w:ascii="Times New Roman" w:hAnsi="Times New Roman"/>
          <w:color w:val="000000"/>
          <w:sz w:val="24"/>
          <w:u w:val="single"/>
        </w:rPr>
        <w:t>Article XII</w:t>
      </w:r>
      <w:r>
        <w:rPr>
          <w:rFonts w:ascii="Times New Roman" w:hAnsi="Times New Roman"/>
          <w:color w:val="000000"/>
          <w:sz w:val="20"/>
        </w:rPr>
        <w:t xml:space="preserve"> </w:t>
      </w:r>
      <w:r>
        <w:rPr>
          <w:rFonts w:ascii="Times New Roman" w:hAnsi="Times New Roman"/>
          <w:color w:val="000000"/>
          <w:sz w:val="24"/>
        </w:rPr>
        <w:t xml:space="preserve">or Transfers pursuant to and in accordance with </w:t>
      </w:r>
      <w:r>
        <w:rPr>
          <w:rFonts w:ascii="Times New Roman" w:hAnsi="Times New Roman"/>
          <w:color w:val="000000"/>
          <w:sz w:val="24"/>
          <w:u w:val="single"/>
        </w:rPr>
        <w:t>Sections 9.1(b)</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126" w:name="docxtextref374"/>
      <w:bookmarkEnd w:id="126"/>
      <w:r>
        <w:rPr>
          <w:rFonts w:ascii="Times New Roman" w:hAnsi="Times New Roman"/>
          <w:color w:val="000000"/>
          <w:sz w:val="24"/>
        </w:rPr>
        <w:t xml:space="preserve">(b) The restrictions contained in </w:t>
      </w:r>
      <w:r>
        <w:rPr>
          <w:rFonts w:ascii="Times New Roman" w:hAnsi="Times New Roman"/>
          <w:color w:val="000000"/>
          <w:sz w:val="24"/>
          <w:u w:val="single"/>
        </w:rPr>
        <w:t>Section 9.1(a)</w:t>
      </w:r>
      <w:r>
        <w:rPr>
          <w:rFonts w:ascii="Times New Roman" w:hAnsi="Times New Roman"/>
          <w:color w:val="000000"/>
          <w:sz w:val="20"/>
        </w:rPr>
        <w:t xml:space="preserve"> </w:t>
      </w:r>
      <w:r>
        <w:rPr>
          <w:rFonts w:ascii="Times New Roman" w:hAnsi="Times New Roman"/>
          <w:color w:val="000000"/>
          <w:sz w:val="24"/>
        </w:rPr>
        <w:t xml:space="preserve">shall not apply, subject to </w:t>
      </w:r>
      <w:r>
        <w:rPr>
          <w:rFonts w:ascii="Times New Roman" w:hAnsi="Times New Roman"/>
          <w:color w:val="000000"/>
          <w:sz w:val="24"/>
          <w:u w:val="single"/>
        </w:rPr>
        <w:t>Section 9.5</w:t>
      </w:r>
      <w:r>
        <w:rPr>
          <w:rFonts w:ascii="Times New Roman" w:hAnsi="Times New Roman"/>
          <w:color w:val="000000"/>
          <w:sz w:val="24"/>
        </w:rPr>
        <w:t>, to any Transfer of Units (i)</w:t>
      </w:r>
      <w:r>
        <w:rPr>
          <w:rFonts w:ascii="Times New Roman" w:hAnsi="Times New Roman"/>
          <w:color w:val="000000"/>
          <w:sz w:val="20"/>
        </w:rPr>
        <w:t xml:space="preserve"> </w:t>
      </w:r>
      <w:r>
        <w:rPr>
          <w:rFonts w:ascii="Times New Roman" w:hAnsi="Times New Roman"/>
          <w:color w:val="000000"/>
          <w:sz w:val="24"/>
        </w:rPr>
        <w:t>by any Member to its Affiliates, (ii) by any Member to a trust (whether revocable or irrevocable) solely for the benefit of such Person and such Person’s Family Group (or a re-Transfer of such Units by such trust back to such Member upon the revocation of any such trust) or pursuant to the applicable laws of descent or distribution among such Person’s Family Group, (iii) by any Member to such Person’s Family Group or (iv) from a Continuing Member to another Continuing Member (each of clauses (i), (ii), (iii) and (iv), an “</w:t>
      </w:r>
      <w:r>
        <w:rPr>
          <w:rFonts w:ascii="Times New Roman" w:hAnsi="Times New Roman"/>
          <w:b/>
          <w:color w:val="000000"/>
          <w:sz w:val="24"/>
        </w:rPr>
        <w:t>Exempt Transfer</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restrictions contained in this Agreement will continue to apply to the Units after any Transfer pursuant to clause (i) or (ii) above and each transferee of Units shall agree in writing, prior to and as a condition precedent to the effectiveness of such Transfer, to be bound by the provisions of this Agreement, without modification or condition, subject only to the consummation of such Transfer. Upon the Transfer of Units pursuant to clause (i) or (ii) of the first sentence of this </w:t>
      </w:r>
      <w:r>
        <w:rPr>
          <w:rFonts w:ascii="Times New Roman" w:hAnsi="Times New Roman"/>
          <w:color w:val="000000"/>
          <w:sz w:val="24"/>
          <w:u w:val="single"/>
        </w:rPr>
        <w:t>Section 9.1(b)</w:t>
      </w:r>
      <w:r>
        <w:rPr>
          <w:rFonts w:ascii="Times New Roman" w:hAnsi="Times New Roman"/>
          <w:color w:val="000000"/>
          <w:sz w:val="24"/>
        </w:rPr>
        <w:t xml:space="preserve">, the transferor will deliver written notice to the Company, which notice will disclose in reasonable detail the identity of such transferee(s) and shall include original counterparts of this Agreement in a form acceptable to the Company. Notwithstanding the foregoing, no party hereto shall avoid the provisions of this Agreement by making one or more Transfers to one or more transferees permitted under clause (i) of the first sentence of this </w:t>
      </w:r>
      <w:r>
        <w:rPr>
          <w:rFonts w:ascii="Times New Roman" w:hAnsi="Times New Roman"/>
          <w:color w:val="000000"/>
          <w:sz w:val="24"/>
          <w:u w:val="single"/>
        </w:rPr>
        <w:t>Section 9.1(b)</w:t>
      </w:r>
      <w:r>
        <w:rPr>
          <w:rFonts w:ascii="Times New Roman" w:hAnsi="Times New Roman"/>
          <w:color w:val="000000"/>
          <w:sz w:val="20"/>
        </w:rPr>
        <w:t xml:space="preserve"> </w:t>
      </w:r>
      <w:r>
        <w:rPr>
          <w:rFonts w:ascii="Times New Roman" w:hAnsi="Times New Roman"/>
          <w:color w:val="000000"/>
          <w:sz w:val="24"/>
        </w:rPr>
        <w:t>and then disposing of all or any portion of such party’s interest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such transferee if such disposition would result in such transferee ceasing to be a Permitted Transferee.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Notwithstanding anything in this Agreement to the contrary, as a condition to any Transfer:</w:t>
      </w:r>
    </w:p>
    <w:p>
      <w:pPr>
        <w:pStyle w:val="TextBody"/>
        <w:bidi w:val="0"/>
        <w:spacing w:before="0" w:after="240"/>
        <w:jc w:val="both"/>
        <w:rPr>
          <w:rFonts w:ascii="Times New Roman" w:hAnsi="Times New Roman"/>
          <w:sz w:val="20"/>
        </w:rPr>
      </w:pPr>
      <w:r>
        <w:rPr>
          <w:rFonts w:ascii="Times New Roman" w:hAnsi="Times New Roman"/>
          <w:color w:val="000000"/>
          <w:sz w:val="24"/>
        </w:rPr>
        <w:t>(i) if the transferor of Units who proposes to transfer such Units (or if such transferor is a disregarded entity for U.S. federal income tax purposes, the first direct or indirect beneficial owner of such transferor that is not a disregarded entity (the “</w:t>
      </w:r>
      <w:r>
        <w:rPr>
          <w:rFonts w:ascii="Times New Roman" w:hAnsi="Times New Roman"/>
          <w:b/>
          <w:color w:val="000000"/>
          <w:sz w:val="24"/>
        </w:rPr>
        <w:t>Transferor’s Owner</w:t>
      </w:r>
      <w:r>
        <w:rPr>
          <w:rFonts w:ascii="Times New Roman" w:hAnsi="Times New Roman"/>
          <w:color w:val="000000"/>
          <w:sz w:val="20"/>
        </w:rPr>
        <w:t>”</w:t>
      </w:r>
      <w:r>
        <w:rPr>
          <w:rFonts w:ascii="Times New Roman" w:hAnsi="Times New Roman"/>
          <w:color w:val="000000"/>
          <w:sz w:val="24"/>
        </w:rPr>
        <w:t>)) is a “United States person” as defined in Section 7701(a)(30) of the Code, then such transferor (or Transferor’s Owner, if applicable) shall complete and provide to both of the transferee and the Company, a valid Non-Foreign Person Certificate, including the transferor’s (or Transferor’s Owner’s, if applicable) United States taxpayer identification number, or</w:t>
      </w:r>
    </w:p>
    <w:p>
      <w:pPr>
        <w:pStyle w:val="TextBody"/>
        <w:bidi w:val="0"/>
        <w:spacing w:before="0" w:after="240"/>
        <w:jc w:val="both"/>
        <w:rPr>
          <w:rFonts w:ascii="Times New Roman" w:hAnsi="Times New Roman"/>
          <w:sz w:val="20"/>
        </w:rPr>
      </w:pPr>
      <w:bookmarkStart w:id="127" w:name="docxtextref376"/>
      <w:bookmarkEnd w:id="127"/>
      <w:r>
        <w:rPr>
          <w:rFonts w:ascii="Times New Roman" w:hAnsi="Times New Roman"/>
          <w:color w:val="000000"/>
          <w:sz w:val="24"/>
        </w:rPr>
        <w:t>(ii) if the transferor of Units who proposes to transfer such Units (or if such transferor is a disregarded entity for U.S. federal income tax purposes, the Transferor’s Owner) is not a “United States person” as defined in Section 7701(a)(30) of the Code, then such transferor and transferee shall jointly provide to the Company written proof reasonably satisfactory to the Managing Member that any applicable withholding tax that may be imposed on such transfer (including pursuant to Sections 864</w:t>
      </w:r>
      <w:r>
        <w:rPr>
          <w:rFonts w:ascii="Times New Roman" w:hAnsi="Times New Roman"/>
          <w:color w:val="000000"/>
          <w:sz w:val="20"/>
        </w:rPr>
        <w:t xml:space="preserve"> </w:t>
      </w:r>
      <w:r>
        <w:rPr>
          <w:rFonts w:ascii="Times New Roman" w:hAnsi="Times New Roman"/>
          <w:color w:val="000000"/>
          <w:sz w:val="24"/>
        </w:rPr>
        <w:t xml:space="preserve">and </w:t>
      </w:r>
      <w:bookmarkStart w:id="128" w:name="docxtextref377"/>
      <w:bookmarkEnd w:id="128"/>
      <w:r>
        <w:rPr>
          <w:rFonts w:ascii="Times New Roman" w:hAnsi="Times New Roman"/>
          <w:color w:val="000000"/>
          <w:sz w:val="24"/>
        </w:rPr>
        <w:t>1446</w:t>
      </w:r>
      <w:r>
        <w:rPr>
          <w:rFonts w:ascii="Times New Roman" w:hAnsi="Times New Roman"/>
          <w:color w:val="000000"/>
          <w:sz w:val="20"/>
        </w:rPr>
        <w:t xml:space="preserve"> </w:t>
      </w:r>
      <w:r>
        <w:rPr>
          <w:rFonts w:ascii="Times New Roman" w:hAnsi="Times New Roman"/>
          <w:color w:val="000000"/>
          <w:sz w:val="24"/>
        </w:rPr>
        <w:t>of the Code) and any related tax returns or forms that are required to be filed, have been, or will be, timely paid and filed,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Except as otherwise expressly provided herein, it shall be a condition precedent to any Transfer of any Class A Common Unit held by a Member other than PubCo that, concurrently with such Transfer such transferring Member shall also Transfer to the transferee the shares of Paired Voting Stock corresponding to such Transferred Class A Common Units.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9.2 </w:t>
      </w:r>
      <w:r>
        <w:rPr>
          <w:rFonts w:ascii="Times New Roman" w:hAnsi="Times New Roman"/>
          <w:color w:val="000000"/>
          <w:sz w:val="24"/>
          <w:u w:val="single"/>
        </w:rPr>
        <w:t>Restricted Units Legend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Units have not been registered under the Securities Act and, therefore, in addition to the other restrictions on Transfer contained in this Agreement, cannot be sold unless subsequently registered under the Securities Act or an exemption from such registration is then available. To the extent such Units have been certificated, each certificate evidencing Units and each certificate issued in exchange for or upon the Transfer of any Units (if such securities remain Units as defined herein after such Transfer) shall be stamped or otherwise imprinted with a legend in substantially the following form:</w:t>
      </w:r>
    </w:p>
    <w:p>
      <w:pPr>
        <w:pStyle w:val="TextBody"/>
        <w:bidi w:val="0"/>
        <w:spacing w:before="0" w:after="240"/>
        <w:jc w:val="both"/>
        <w:rPr/>
      </w:pPr>
      <w:bookmarkStart w:id="129" w:name="docxtextref380"/>
      <w:bookmarkEnd w:id="129"/>
      <w:r>
        <w:rPr>
          <w:color w:val="000000"/>
        </w:rPr>
        <w:t>“</w:t>
      </w:r>
      <w:r>
        <w:rPr>
          <w:rFonts w:ascii="Times New Roman" w:hAnsi="Times New Roman"/>
          <w:color w:val="000000"/>
          <w:sz w:val="24"/>
        </w:rPr>
        <w:t>THE SECURITIES REPRESENTED HEREBY HAVE NOT BEEN REGISTERED UNDER THE SECURITIES ACT OF 1933, AS AMENDED (THE “ACT”), OR ANY STATE SECURITIES OR BLUE SKY LAWS AND MAY NOT BE OFFERED, SOLD, TRANSFERRED, HYPOTHECATED OR OTHERWISE ASSIGNED EXCEPT (1)</w:t>
      </w:r>
      <w:r>
        <w:rPr>
          <w:rFonts w:ascii="Times New Roman" w:hAnsi="Times New Roman"/>
          <w:color w:val="000000"/>
          <w:sz w:val="20"/>
        </w:rPr>
        <w:t xml:space="preserve"> </w:t>
      </w:r>
      <w:r>
        <w:rPr>
          <w:rFonts w:ascii="Times New Roman" w:hAnsi="Times New Roman"/>
          <w:color w:val="000000"/>
          <w:sz w:val="24"/>
        </w:rPr>
        <w:t xml:space="preserve">PURSUANT TO A REGISTRATION STATEMENT WITH RESPECT TO SUCH SECURITIES WHICH IS EFFECTIVE UNDER THE ACT OR </w:t>
      </w:r>
      <w:bookmarkStart w:id="130" w:name="docxtextref381"/>
      <w:bookmarkEnd w:id="130"/>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PURSUANT TO AN AVAILABLE EXEMPTION FROM REGISTRATION UNDER THE ACT RELATING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DISPOSITION OF SECURITIES AND (3) IN ACCORDANCE WITH APPLICABLE STATE SECURITIES AND BLUE SKY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SECURITIES REPRESENTED BY THIS CERTIFICATE ARE ALSO SUBJECT TO ADDITIONAL RESTRICTIONS ON TRANSFER SPECIFIED IN THE SIXTH AMENDED AND RESTATED LIMITED LIABILITY COMPANY AGREEMENT OF THE ISSUER OF SUCH SECURITIES, AS SUCH AGREEMENT MAY BE AMENDED, MODIFIED OR RESTATED FROM TIME TO TIME, AND THE ISSUER RESERVES THE RIGHT TO REFUSE THE TRANSFER OF SUCH SECURITIES UNTIL SUCH TRANSFER RESTRICTIONS HAVE BEEN FULFILLED. A COPY OF SUCH SIXTH AMENDED AND RESTATED LIMITED LIABILITY COMPANY AGREEMENT SHALL BE FURNISHED BY THE ISSUER TO THE HOLDER HEREOF UPON WRITTEN REQUEST AND WITHOUT CHARGE.”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imprint such legend on certificates (if any) evidencing Units. The legend set forth above will be removed from the certificates (if any) evidencing any units which cease to be Units in accordance with the definition thereof.</w:t>
      </w:r>
    </w:p>
    <w:p>
      <w:pPr>
        <w:pStyle w:val="TextBody"/>
        <w:bidi w:val="0"/>
        <w:spacing w:before="0" w:after="240"/>
        <w:jc w:val="both"/>
        <w:rPr>
          <w:rFonts w:ascii="Times New Roman" w:hAnsi="Times New Roman"/>
          <w:sz w:val="20"/>
        </w:rPr>
      </w:pPr>
      <w:bookmarkStart w:id="131" w:name="docxtextref383"/>
      <w:bookmarkEnd w:id="131"/>
      <w:r>
        <w:rPr>
          <w:rFonts w:ascii="Times New Roman" w:hAnsi="Times New Roman"/>
          <w:color w:val="000000"/>
          <w:sz w:val="24"/>
        </w:rPr>
        <w:t>(b) In connection with the Transfer of any Units, the holder thereof shall deliver written notice to the Company describing in reasonable detail the Transfer or proposed Transfer, which shall, if so requested by the Managing Member, be accompanied by (i)</w:t>
      </w:r>
      <w:r>
        <w:rPr>
          <w:rFonts w:ascii="Times New Roman" w:hAnsi="Times New Roman"/>
          <w:color w:val="000000"/>
          <w:sz w:val="20"/>
        </w:rPr>
        <w:t xml:space="preserve"> </w:t>
      </w:r>
      <w:r>
        <w:rPr>
          <w:rFonts w:ascii="Times New Roman" w:hAnsi="Times New Roman"/>
          <w:color w:val="000000"/>
          <w:sz w:val="24"/>
        </w:rPr>
        <w:t xml:space="preserve">an opinion of counsel which (to the Company’s reasonable satisfaction) is knowledgeable in securities law matters to the effect that such Transfer of Units may be effected without registration of such Units under the Securities Act or (ii) such other evidence reasonably satisfactory to the Managing Member to the effect that such Transfer of Units may be effected without registration of such Units under the Securities Act. In addition, if the holder of the Units delivers to the Company an opinion of such counsel that no subsequent Transfer of such Units shall require registration under the Securities Act, the Company shall promptly upon such contemplated Transfer deliver new certificates for such securities (if then certificated) which do not bear the Securities Act legend set forth in </w:t>
      </w:r>
      <w:r>
        <w:rPr>
          <w:rFonts w:ascii="Times New Roman" w:hAnsi="Times New Roman"/>
          <w:color w:val="000000"/>
          <w:sz w:val="24"/>
          <w:u w:val="single"/>
        </w:rPr>
        <w:t>Section 9.2(a)</w:t>
      </w:r>
      <w:r>
        <w:rPr>
          <w:rFonts w:ascii="Times New Roman" w:hAnsi="Times New Roman"/>
          <w:color w:val="000000"/>
          <w:sz w:val="24"/>
        </w:rPr>
        <w:t>. If the Company is not required to deliver new certificates for such Units not bearing such legend, the holder thereof shall not effect any Transfer of the same until the prospective transferee has confirmed to the Company in writing its agreement to be bound by the conditions contained in this Agreement.</w:t>
      </w:r>
    </w:p>
    <w:p>
      <w:pPr>
        <w:pStyle w:val="TextBody"/>
        <w:bidi w:val="0"/>
        <w:spacing w:before="0" w:after="240"/>
        <w:jc w:val="both"/>
        <w:rPr>
          <w:rFonts w:ascii="Times New Roman" w:hAnsi="Times New Roman"/>
          <w:sz w:val="20"/>
        </w:rPr>
      </w:pPr>
      <w:bookmarkStart w:id="132" w:name="docxtextref384"/>
      <w:bookmarkEnd w:id="132"/>
      <w:r>
        <w:rPr>
          <w:rFonts w:ascii="Times New Roman" w:hAnsi="Times New Roman"/>
          <w:color w:val="000000"/>
          <w:sz w:val="24"/>
        </w:rPr>
        <w:t>(c) Upon the request of any Member, the Company will promptly supply to such Member or its prospective transferees all information regarding the Company required to be delivered in connection with a Transfer pursuant to Rule 144</w:t>
      </w:r>
      <w:r>
        <w:rPr>
          <w:rFonts w:ascii="Times New Roman" w:hAnsi="Times New Roman"/>
          <w:color w:val="000000"/>
          <w:sz w:val="20"/>
        </w:rPr>
        <w:t xml:space="preserve"> </w:t>
      </w:r>
      <w:r>
        <w:rPr>
          <w:rFonts w:ascii="Times New Roman" w:hAnsi="Times New Roman"/>
          <w:color w:val="000000"/>
          <w:sz w:val="24"/>
        </w:rPr>
        <w:t>of the Securities and Exchange Commission.</w:t>
      </w:r>
    </w:p>
    <w:p>
      <w:pPr>
        <w:pStyle w:val="TextBody"/>
        <w:bidi w:val="0"/>
        <w:spacing w:before="0" w:after="240"/>
        <w:jc w:val="both"/>
        <w:rPr>
          <w:rFonts w:ascii="Times New Roman" w:hAnsi="Times New Roman"/>
          <w:sz w:val="20"/>
        </w:rPr>
      </w:pPr>
      <w:bookmarkStart w:id="133" w:name="docxtextref387"/>
      <w:bookmarkEnd w:id="133"/>
      <w:r>
        <w:rPr>
          <w:rFonts w:ascii="Times New Roman" w:hAnsi="Times New Roman"/>
          <w:color w:val="000000"/>
          <w:sz w:val="24"/>
        </w:rPr>
        <w:t>(d) If any Units become eligible for sale pursuant to Rule 144</w:t>
      </w:r>
      <w:r>
        <w:rPr>
          <w:rFonts w:ascii="Times New Roman" w:hAnsi="Times New Roman"/>
          <w:color w:val="000000"/>
          <w:sz w:val="20"/>
        </w:rPr>
        <w:t xml:space="preserve"> </w:t>
      </w:r>
      <w:r>
        <w:rPr>
          <w:rFonts w:ascii="Times New Roman" w:hAnsi="Times New Roman"/>
          <w:color w:val="000000"/>
          <w:sz w:val="24"/>
        </w:rPr>
        <w:t xml:space="preserve">of the Securities and Exchange Commission or no longer constitute “restricted securities” (as defined under Rule </w:t>
      </w:r>
      <w:bookmarkStart w:id="134" w:name="docxtextref386"/>
      <w:bookmarkEnd w:id="134"/>
      <w:r>
        <w:rPr>
          <w:rFonts w:ascii="Times New Roman" w:hAnsi="Times New Roman"/>
          <w:color w:val="000000"/>
          <w:sz w:val="24"/>
        </w:rPr>
        <w:t>144(a)</w:t>
      </w:r>
      <w:r>
        <w:rPr>
          <w:rFonts w:ascii="Times New Roman" w:hAnsi="Times New Roman"/>
          <w:color w:val="000000"/>
          <w:sz w:val="20"/>
        </w:rPr>
        <w:t xml:space="preserve"> </w:t>
      </w:r>
      <w:r>
        <w:rPr>
          <w:rFonts w:ascii="Times New Roman" w:hAnsi="Times New Roman"/>
          <w:color w:val="000000"/>
          <w:sz w:val="24"/>
        </w:rPr>
        <w:t xml:space="preserve">of the Securities and Exchange Commission), the Company shall, upon the request of the holder of such Units, remove the Securities Act legend set forth in </w:t>
      </w:r>
      <w:r>
        <w:rPr>
          <w:rFonts w:ascii="Times New Roman" w:hAnsi="Times New Roman"/>
          <w:color w:val="000000"/>
          <w:sz w:val="24"/>
          <w:u w:val="single"/>
        </w:rPr>
        <w:t>Section 9.2(a)</w:t>
      </w:r>
      <w:r>
        <w:rPr>
          <w:rFonts w:ascii="Times New Roman" w:hAnsi="Times New Roman"/>
          <w:color w:val="000000"/>
          <w:sz w:val="20"/>
        </w:rPr>
        <w:t xml:space="preserve"> </w:t>
      </w:r>
      <w:r>
        <w:rPr>
          <w:rFonts w:ascii="Times New Roman" w:hAnsi="Times New Roman"/>
          <w:color w:val="000000"/>
          <w:sz w:val="24"/>
        </w:rPr>
        <w:t>above from the certificates (if any) for such securities.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9.3 </w:t>
      </w:r>
      <w:r>
        <w:rPr>
          <w:rFonts w:ascii="Times New Roman" w:hAnsi="Times New Roman"/>
          <w:color w:val="000000"/>
          <w:sz w:val="24"/>
          <w:u w:val="single"/>
        </w:rPr>
        <w:t>Assignee’s Rights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135" w:name="docxtextref388"/>
      <w:bookmarkEnd w:id="135"/>
      <w:r>
        <w:rPr>
          <w:rFonts w:ascii="Times New Roman" w:hAnsi="Times New Roman"/>
          <w:color w:val="000000"/>
          <w:sz w:val="24"/>
        </w:rPr>
        <w:t xml:space="preserve">(a) Subject to </w:t>
      </w:r>
      <w:r>
        <w:rPr>
          <w:rFonts w:ascii="Times New Roman" w:hAnsi="Times New Roman"/>
          <w:color w:val="000000"/>
          <w:sz w:val="24"/>
          <w:u w:val="single"/>
        </w:rPr>
        <w:t>Section 9.5(b)</w:t>
      </w:r>
      <w:r>
        <w:rPr>
          <w:rFonts w:ascii="Times New Roman" w:hAnsi="Times New Roman"/>
          <w:color w:val="000000"/>
          <w:sz w:val="24"/>
        </w:rPr>
        <w:t>, a Transfer of Units in a manner in accordance with this Agreement shall be effective as of the date of assignment and compliance with the conditions to such Transfer and such Transfer shall be shown on the books and records of the Company. Income, loss and other Company items shall be allocated between the transferor and the Assignee according to Code Section 706</w:t>
      </w:r>
      <w:r>
        <w:rPr>
          <w:rFonts w:ascii="Times New Roman" w:hAnsi="Times New Roman"/>
          <w:color w:val="000000"/>
          <w:sz w:val="20"/>
        </w:rPr>
        <w:t xml:space="preserve"> </w:t>
      </w:r>
      <w:r>
        <w:rPr>
          <w:rFonts w:ascii="Times New Roman" w:hAnsi="Times New Roman"/>
          <w:color w:val="000000"/>
          <w:sz w:val="24"/>
        </w:rPr>
        <w:t>as determined by the Managing Member. Distributions made before the effective date of such Transfer shall be paid to the transferor, and Distributions made after such date shall be paid to the Assignee.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Unless and until an Assignee becomes a Member pursuant to </w:t>
      </w:r>
      <w:r>
        <w:rPr>
          <w:rFonts w:ascii="Times New Roman" w:hAnsi="Times New Roman"/>
          <w:color w:val="000000"/>
          <w:sz w:val="24"/>
          <w:u w:val="single"/>
        </w:rPr>
        <w:t>Article X</w:t>
      </w:r>
      <w:r>
        <w:rPr>
          <w:rFonts w:ascii="Times New Roman" w:hAnsi="Times New Roman"/>
          <w:color w:val="000000"/>
          <w:sz w:val="24"/>
        </w:rPr>
        <w:t xml:space="preserve">, the Assignee shall not be entitled to any of the rights granted to a Member hereunder or under applicable law, other than the rights granted specifically to Assignees pursuant to this Agreement;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without relieving the transferring Member from any such limitations or obligations as more fully described in </w:t>
      </w:r>
      <w:r>
        <w:rPr>
          <w:rFonts w:ascii="Times New Roman" w:hAnsi="Times New Roman"/>
          <w:color w:val="000000"/>
          <w:sz w:val="24"/>
          <w:u w:val="single"/>
        </w:rPr>
        <w:t>Section 9.4</w:t>
      </w:r>
      <w:r>
        <w:rPr>
          <w:rFonts w:ascii="Times New Roman" w:hAnsi="Times New Roman"/>
          <w:color w:val="000000"/>
          <w:sz w:val="24"/>
        </w:rPr>
        <w:t>, such Assignee shall be bound by any limitations and obligations of a Member contained herein that a Member would be bound on account of such Units (including the obligation to make Capital Contributions on account of such Units).</w:t>
      </w:r>
    </w:p>
    <w:p>
      <w:pPr>
        <w:pStyle w:val="TextBody"/>
        <w:bidi w:val="0"/>
        <w:spacing w:before="0" w:after="240"/>
        <w:jc w:val="both"/>
        <w:rPr>
          <w:rFonts w:ascii="Times New Roman" w:hAnsi="Times New Roman"/>
          <w:sz w:val="20"/>
        </w:rPr>
      </w:pPr>
      <w:bookmarkStart w:id="136" w:name="docxtextref396"/>
      <w:bookmarkEnd w:id="136"/>
      <w:r>
        <w:rPr>
          <w:rFonts w:ascii="Times New Roman" w:hAnsi="Times New Roman"/>
          <w:color w:val="000000"/>
          <w:sz w:val="24"/>
        </w:rPr>
        <w:t xml:space="preserve">9.4 </w:t>
      </w:r>
      <w:r>
        <w:rPr>
          <w:rFonts w:ascii="Times New Roman" w:hAnsi="Times New Roman"/>
          <w:color w:val="000000"/>
          <w:sz w:val="24"/>
          <w:u w:val="single"/>
        </w:rPr>
        <w:t>Assignor’s Rights and Obligations</w:t>
      </w:r>
      <w:r>
        <w:rPr>
          <w:rFonts w:ascii="Times New Roman" w:hAnsi="Times New Roman"/>
          <w:color w:val="000000"/>
          <w:sz w:val="24"/>
        </w:rPr>
        <w:t xml:space="preserve">. Any Member who shall Transfer any Units in a manner in accordance with this Agreement shall cease to be a Member with respect to such Units or such other interest and shall no longer have any rights, powers or privileges, or, except as set forth in this </w:t>
      </w:r>
      <w:r>
        <w:rPr>
          <w:rFonts w:ascii="Times New Roman" w:hAnsi="Times New Roman"/>
          <w:color w:val="000000"/>
          <w:sz w:val="24"/>
          <w:u w:val="single"/>
        </w:rPr>
        <w:t>Section 9.4</w:t>
      </w:r>
      <w:r>
        <w:rPr>
          <w:rFonts w:ascii="Times New Roman" w:hAnsi="Times New Roman"/>
          <w:color w:val="000000"/>
          <w:sz w:val="24"/>
        </w:rPr>
        <w:t xml:space="preserve">, duties, liabilities or obligations, of a Member with respect to such Units or such other interest (it being understood, however, that the applicable provisions of </w:t>
      </w:r>
      <w:r>
        <w:rPr>
          <w:rFonts w:ascii="Times New Roman" w:hAnsi="Times New Roman"/>
          <w:color w:val="000000"/>
          <w:sz w:val="24"/>
          <w:u w:val="single"/>
        </w:rPr>
        <w:t>Sections 5.5</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6.4</w:t>
      </w:r>
      <w:r>
        <w:rPr>
          <w:rFonts w:ascii="Times New Roman" w:hAnsi="Times New Roman"/>
          <w:color w:val="000000"/>
          <w:sz w:val="20"/>
        </w:rPr>
        <w:t xml:space="preserve"> </w:t>
      </w:r>
      <w:r>
        <w:rPr>
          <w:rFonts w:ascii="Times New Roman" w:hAnsi="Times New Roman"/>
          <w:color w:val="000000"/>
          <w:sz w:val="24"/>
        </w:rPr>
        <w:t xml:space="preserve">shall continue to inure to such Person’s benefit), except that unless and until the Assignee is admitted as a substituted Member in accordance with the provisions of </w:t>
      </w:r>
      <w:r>
        <w:rPr>
          <w:rFonts w:ascii="Times New Roman" w:hAnsi="Times New Roman"/>
          <w:color w:val="000000"/>
          <w:sz w:val="24"/>
          <w:u w:val="single"/>
        </w:rPr>
        <w:t>Article X</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Admission Date</w:t>
      </w:r>
      <w:r>
        <w:rPr>
          <w:rFonts w:ascii="Times New Roman" w:hAnsi="Times New Roman"/>
          <w:color w:val="000000"/>
          <w:sz w:val="20"/>
        </w:rPr>
        <w:t>”</w:t>
      </w:r>
      <w:r>
        <w:rPr>
          <w:rFonts w:ascii="Times New Roman" w:hAnsi="Times New Roman"/>
          <w:color w:val="000000"/>
          <w:sz w:val="24"/>
        </w:rPr>
        <w:t>), (i)</w:t>
      </w:r>
      <w:r>
        <w:rPr>
          <w:rFonts w:ascii="Times New Roman" w:hAnsi="Times New Roman"/>
          <w:color w:val="000000"/>
          <w:sz w:val="20"/>
        </w:rPr>
        <w:t xml:space="preserve"> </w:t>
      </w:r>
      <w:r>
        <w:rPr>
          <w:rFonts w:ascii="Times New Roman" w:hAnsi="Times New Roman"/>
          <w:color w:val="000000"/>
          <w:sz w:val="24"/>
        </w:rPr>
        <w:t xml:space="preserve">such assigning Member shall retain all of the duties, liabilities and obligations of a Member with respect to such Units or other interest, including, without limitation, the obligation (together with its Assignee pursuant to </w:t>
      </w:r>
      <w:r>
        <w:rPr>
          <w:rFonts w:ascii="Times New Roman" w:hAnsi="Times New Roman"/>
          <w:color w:val="000000"/>
          <w:sz w:val="24"/>
          <w:u w:val="single"/>
        </w:rPr>
        <w:t>Section 9.3(b)</w:t>
      </w:r>
      <w:r>
        <w:rPr>
          <w:rFonts w:ascii="Times New Roman" w:hAnsi="Times New Roman"/>
          <w:color w:val="000000"/>
          <w:sz w:val="24"/>
        </w:rPr>
        <w:t>) to make and return Capital Contributions on account of such Units or other interest pursuant to the terms of this Agreement and (ii) the Managing Member may reinstate all or any portion of the rights and privileges of such Member with respect to such Units or other interest for any period of time prior to the Admission Date. Nothing contained herein shall relieve any Member who Transfers any Units or other interest in the Company from any liability of such Member to the Company with respect to such Units that may exist on the Admission Date or that is otherwise specified in the California Act and incorporated into this Agreement or for any liability to the Company or any other Person for any materially false statement made by such Member (in its capacity as such) or for any present or future breaches of any representations, warranties or covenants by such Member (in its capacity as such) contained herein or in the other agreements with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9.5 </w:t>
      </w:r>
      <w:r>
        <w:rPr>
          <w:rFonts w:ascii="Times New Roman" w:hAnsi="Times New Roman"/>
          <w:color w:val="000000"/>
          <w:sz w:val="24"/>
          <w:u w:val="single"/>
        </w:rPr>
        <w:t>Further Restrictions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Notwithstanding any contrary provision in this Agreement, the Managing Member may impose such vesting requirements, forfeiture provisions, Transfer restrictions, minimum retained ownership requirements or other similar provisions with respect to any Units that are outstanding as of the date of this Agreement or are created thereafter, only with the written consent of the holder of such Units. Such requirements, provisions and restrictions need not be uniform and may be waived or released by the Managing Member in its sole discretion with respect to all or a portion of the Units owned by any one or more Members at any time and from time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time, and shall not, to the fullest extent permitted by law, constitute the breach of any duty hereunder or otherwise existing at law, in equity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Notwithstanding any contrary provision in this Agreement, in no event may any Transfer of Units be made by any Member or Assignee if the Managing Member determines in good faith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such Transfer is made to any Person who lacks the legal right, power or capacity to own such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such Transfer would require the registration of such transferred Units or of any class of Units pursuant to any applicable U.S. federal or state securities laws (including, without limitation, the Securities Act or the Exchange Act) or other non-U.S. securities laws (including Canadian provincial or territorial securities laws) or would constitute a non-exempt distribution pursuant to applicable provincial or state securities laws;</w:t>
      </w:r>
    </w:p>
    <w:p>
      <w:pPr>
        <w:pStyle w:val="TextBody"/>
        <w:bidi w:val="0"/>
        <w:spacing w:before="0" w:after="240"/>
        <w:jc w:val="both"/>
        <w:rPr>
          <w:rFonts w:ascii="Times New Roman" w:hAnsi="Times New Roman"/>
          <w:sz w:val="20"/>
        </w:rPr>
      </w:pPr>
      <w:bookmarkStart w:id="137" w:name="docxtextref398"/>
      <w:bookmarkEnd w:id="137"/>
      <w:r>
        <w:rPr>
          <w:rFonts w:ascii="Times New Roman" w:hAnsi="Times New Roman"/>
          <w:color w:val="000000"/>
          <w:sz w:val="24"/>
        </w:rPr>
        <w:t>(iii) such Transfer would cause (i)</w:t>
      </w:r>
      <w:r>
        <w:rPr>
          <w:rFonts w:ascii="Times New Roman" w:hAnsi="Times New Roman"/>
          <w:color w:val="000000"/>
          <w:sz w:val="20"/>
        </w:rPr>
        <w:t xml:space="preserve"> </w:t>
      </w:r>
      <w:r>
        <w:rPr>
          <w:rFonts w:ascii="Times New Roman" w:hAnsi="Times New Roman"/>
          <w:color w:val="000000"/>
          <w:sz w:val="24"/>
        </w:rPr>
        <w:t xml:space="preserve">all or any portion of the assets of the Company to </w:t>
      </w:r>
      <w:bookmarkStart w:id="138" w:name="docxtextref399"/>
      <w:bookmarkEnd w:id="138"/>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constitute “plan assets” (under ERISA, the Code or any applicable Similar Law) of any existing or contemplated Member, or </w:t>
      </w:r>
      <w:bookmarkStart w:id="139" w:name="docxtextref400"/>
      <w:bookmarkEnd w:id="139"/>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be subject to the provisions of ERISA, Section 4975 of the Code or any applicable Similar Law, or (ii) the Managing Member to become a fiduciary with respect to any existing or contemplated Member, pursuant to ERISA, any applicable Similar Law,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to the extent requested by the Managing Member, the Company does not receive such legal and/or tax opinions and written instruments (including, without limitation, copies of any instruments of Transfer and such Assignee’s consent to be bound by this Agreement as an Assignee) that are in a form satisfactory to the Managing Member, as determined by the Managing Member in good faith;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such Transfer would pose a material risk that the Company would be treated as a “publicly traded partnership” within the meaning of Section 7704 of the Code and the Treasury Regulations promulgated thereunder.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In addition, notwithstanding any contrary provision in this Agreement, to the extent the Managing Member shall reasonably determine that interests in the Company do not meet the requirements of Treasury Regulation Section 1.7704-1(h) (determined taking into account the rules of Treasury Regulations Section 1.7704-1(h)(3),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for such purpose, unless otherwise required by applicable Law, the Company and the Managing Member shall assume that each Member as of immediately after the Pre-IPO Exchanges is treated as a single partner within the meaning of Regulations Section 1.7704-1(h) (and none of the Member’s beneficial owners is treated as a separate partner)), the Managing Member may impose such restrictions on the Transfer of Units or other interests in the Company as the Managing Member may reasonably determine to be necessary or advisable so that the Company is not treated as a “publicly traded partnership” within the meaning of Section 7704 of the Code and the Treasury Regulations promulgated thereunder.</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9.6 </w:t>
      </w:r>
      <w:r>
        <w:rPr>
          <w:rFonts w:ascii="Times New Roman" w:hAnsi="Times New Roman"/>
          <w:color w:val="000000"/>
          <w:sz w:val="24"/>
          <w:u w:val="single"/>
        </w:rPr>
        <w:t>Counterparts; Joinder</w:t>
      </w:r>
      <w:r>
        <w:rPr>
          <w:rFonts w:ascii="Times New Roman" w:hAnsi="Times New Roman"/>
          <w:color w:val="000000"/>
          <w:sz w:val="24"/>
        </w:rPr>
        <w:t xml:space="preserve">. Prior to Transferring any Units (other than Exchanges pursuant to </w:t>
      </w:r>
      <w:r>
        <w:rPr>
          <w:rFonts w:ascii="Times New Roman" w:hAnsi="Times New Roman"/>
          <w:color w:val="000000"/>
          <w:sz w:val="24"/>
          <w:u w:val="single"/>
        </w:rPr>
        <w:t>Article XII</w:t>
      </w:r>
      <w:r>
        <w:rPr>
          <w:rFonts w:ascii="Times New Roman" w:hAnsi="Times New Roman"/>
          <w:color w:val="000000"/>
          <w:sz w:val="20"/>
        </w:rPr>
        <w:t xml:space="preserve"> </w:t>
      </w:r>
      <w:r>
        <w:rPr>
          <w:rFonts w:ascii="Times New Roman" w:hAnsi="Times New Roman"/>
          <w:color w:val="000000"/>
          <w:sz w:val="24"/>
        </w:rPr>
        <w:t>or any other Transfer to the Company) and as a condition precedent to the effectiveness of such Transfer, the transferring holder of Units will cause the prospective transferee(s) of such Units to execute and deliver to the Company counterparts of this Agreement and any other agreements relating to such Units, or executed joinders to such agreements, in each case, in a form acceptable to the Company. Notwithstanding anything herein to the contrary, to the fullest extent permitted by law, any Person who acquires in any manner whatsoever any Units, irrespective of whether such Person has accepted and adopted in writing the terms and conditions of this Agreement, shall be deemed by the acceptance of the benefits of the acquisition thereof to have agreed to be subject to and bound by all of the terms and conditions of this Agreement to which any predecessor in such Units was subject or by which such predecessor was bound.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9.7 </w:t>
      </w:r>
      <w:r>
        <w:rPr>
          <w:rFonts w:ascii="Times New Roman" w:hAnsi="Times New Roman"/>
          <w:color w:val="000000"/>
          <w:sz w:val="24"/>
          <w:u w:val="single"/>
        </w:rPr>
        <w:t>Ineffective Transfer</w:t>
      </w:r>
      <w:r>
        <w:rPr>
          <w:rFonts w:ascii="Times New Roman" w:hAnsi="Times New Roman"/>
          <w:color w:val="000000"/>
          <w:sz w:val="24"/>
        </w:rPr>
        <w:t>. Any Transfer or attempted Transfer of any Units in violation of any provision of this Agreement shall, to the fullest extent permitted by law, be void, and the Company will not record such Transfer on its books or treat any purported transferee of such Units as the owner of such securities for any purpose.</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X</w:t>
      </w:r>
      <w:r>
        <w:rPr>
          <w:rFonts w:ascii="Times New Roman" w:hAnsi="Times New Roman"/>
          <w:b/>
          <w:color w:val="000000"/>
          <w:sz w:val="24"/>
        </w:rPr>
        <w:br/>
        <w:br/>
        <w:t>ADMISSION OF MEMBERS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10.1 </w:t>
      </w:r>
      <w:r>
        <w:rPr>
          <w:rFonts w:ascii="Times New Roman" w:hAnsi="Times New Roman"/>
          <w:color w:val="000000"/>
          <w:sz w:val="24"/>
          <w:u w:val="single"/>
        </w:rPr>
        <w:t>Substituted Members</w:t>
      </w:r>
      <w:r>
        <w:rPr>
          <w:rFonts w:ascii="Times New Roman" w:hAnsi="Times New Roman"/>
          <w:color w:val="000000"/>
          <w:sz w:val="24"/>
        </w:rPr>
        <w:t xml:space="preserve">. Subject to the provisions of </w:t>
      </w:r>
      <w:r>
        <w:rPr>
          <w:rFonts w:ascii="Times New Roman" w:hAnsi="Times New Roman"/>
          <w:color w:val="000000"/>
          <w:sz w:val="24"/>
          <w:u w:val="single"/>
        </w:rPr>
        <w:t>Article IX</w:t>
      </w:r>
      <w:r>
        <w:rPr>
          <w:rFonts w:ascii="Times New Roman" w:hAnsi="Times New Roman"/>
          <w:color w:val="000000"/>
          <w:sz w:val="20"/>
        </w:rPr>
        <w:t xml:space="preserve"> </w:t>
      </w:r>
      <w:r>
        <w:rPr>
          <w:rFonts w:ascii="Times New Roman" w:hAnsi="Times New Roman"/>
          <w:color w:val="000000"/>
          <w:sz w:val="24"/>
        </w:rPr>
        <w:t>hereof, in connection with the permitted Transfer (including an Exempt Transfer) of any Units of a Member, the transferee shall become a Substituted Member on the effective date of such Transfer, which effective date shall not be earlier than the date of compliance with the conditions to such Transfer, and such admission shall be shown on the books and records of the Company.</w:t>
      </w:r>
    </w:p>
    <w:p>
      <w:pPr>
        <w:pStyle w:val="TextBody"/>
        <w:bidi w:val="0"/>
        <w:spacing w:before="0" w:after="240"/>
        <w:jc w:val="both"/>
        <w:rPr>
          <w:rFonts w:ascii="Times New Roman" w:hAnsi="Times New Roman"/>
          <w:sz w:val="20"/>
        </w:rPr>
      </w:pPr>
      <w:bookmarkStart w:id="140" w:name="docxtextref406"/>
      <w:bookmarkEnd w:id="140"/>
      <w:r>
        <w:rPr>
          <w:rFonts w:ascii="Times New Roman" w:hAnsi="Times New Roman"/>
          <w:color w:val="000000"/>
          <w:sz w:val="24"/>
        </w:rPr>
        <w:t xml:space="preserve">10.2 </w:t>
      </w:r>
      <w:r>
        <w:rPr>
          <w:rFonts w:ascii="Times New Roman" w:hAnsi="Times New Roman"/>
          <w:color w:val="000000"/>
          <w:sz w:val="24"/>
          <w:u w:val="single"/>
        </w:rPr>
        <w:t>Additional Members</w:t>
      </w:r>
      <w:r>
        <w:rPr>
          <w:rFonts w:ascii="Times New Roman" w:hAnsi="Times New Roman"/>
          <w:color w:val="000000"/>
          <w:sz w:val="24"/>
        </w:rPr>
        <w:t xml:space="preserve">. Subject to the provisions of </w:t>
      </w:r>
      <w:r>
        <w:rPr>
          <w:rFonts w:ascii="Times New Roman" w:hAnsi="Times New Roman"/>
          <w:color w:val="000000"/>
          <w:sz w:val="24"/>
          <w:u w:val="single"/>
        </w:rPr>
        <w:t>Article IX</w:t>
      </w:r>
      <w:r>
        <w:rPr>
          <w:rFonts w:ascii="Times New Roman" w:hAnsi="Times New Roman"/>
          <w:color w:val="000000"/>
          <w:sz w:val="20"/>
        </w:rPr>
        <w:t xml:space="preserve"> </w:t>
      </w:r>
      <w:r>
        <w:rPr>
          <w:rFonts w:ascii="Times New Roman" w:hAnsi="Times New Roman"/>
          <w:color w:val="000000"/>
          <w:sz w:val="24"/>
        </w:rPr>
        <w:t>hereof, a Person may be admitted to the Company as an Additional Member only upon furnishing to the Company (a)</w:t>
      </w:r>
      <w:r>
        <w:rPr>
          <w:rFonts w:ascii="Times New Roman" w:hAnsi="Times New Roman"/>
          <w:color w:val="000000"/>
          <w:sz w:val="20"/>
        </w:rPr>
        <w:t xml:space="preserve"> </w:t>
      </w:r>
      <w:r>
        <w:rPr>
          <w:rFonts w:ascii="Times New Roman" w:hAnsi="Times New Roman"/>
          <w:color w:val="000000"/>
          <w:sz w:val="24"/>
        </w:rPr>
        <w:t xml:space="preserve">counterparts of this Agreement or an executed joinder to this Agreement in a form acceptable to the Managing Member and </w:t>
      </w:r>
      <w:bookmarkStart w:id="141" w:name="docxtextref407"/>
      <w:bookmarkEnd w:id="141"/>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such other documents or instruments as may be necessary or appropriate to effect such Person’s admission as a Member (including entering into such documents as the Managing Member may deem appropriate). Such admission shall become effective on the date on which the Managing Member determines that such conditions have been satisfied and when any such admission is shown on the books and records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10.3 </w:t>
      </w:r>
      <w:r>
        <w:rPr>
          <w:rFonts w:ascii="Times New Roman" w:hAnsi="Times New Roman"/>
          <w:color w:val="000000"/>
          <w:sz w:val="24"/>
          <w:u w:val="single"/>
        </w:rPr>
        <w:t>Additional Managing Member</w:t>
      </w:r>
      <w:r>
        <w:rPr>
          <w:rFonts w:ascii="Times New Roman" w:hAnsi="Times New Roman"/>
          <w:color w:val="000000"/>
          <w:sz w:val="24"/>
        </w:rPr>
        <w:t xml:space="preserve">No Person may be admitted to the Company as an additional Managing Member or substitute Managing Member without the prior approval of PubCo. A Managing Member will not be entitled to resign as a Managing Member of the Company unless another Managing Member shall have been designated pursuant to </w:t>
      </w:r>
      <w:r>
        <w:rPr>
          <w:rFonts w:ascii="Times New Roman" w:hAnsi="Times New Roman"/>
          <w:color w:val="000000"/>
          <w:sz w:val="24"/>
          <w:u w:val="single"/>
        </w:rPr>
        <w:t>Section 5.1</w:t>
      </w:r>
      <w:r>
        <w:rPr>
          <w:rFonts w:ascii="Times New Roman" w:hAnsi="Times New Roman"/>
          <w:color w:val="000000"/>
          <w:sz w:val="20"/>
        </w:rPr>
        <w:t xml:space="preserve"> </w:t>
      </w:r>
      <w:r>
        <w:rPr>
          <w:rFonts w:ascii="Times New Roman" w:hAnsi="Times New Roman"/>
          <w:color w:val="000000"/>
          <w:sz w:val="24"/>
        </w:rPr>
        <w:t xml:space="preserve">(and not have previously been removed or resigned). Any additional Managing Member or substitute Managing Member admitted as a Managing Member of the Company pursuant to this </w:t>
      </w:r>
      <w:r>
        <w:rPr>
          <w:rFonts w:ascii="Times New Roman" w:hAnsi="Times New Roman"/>
          <w:color w:val="000000"/>
          <w:sz w:val="24"/>
          <w:u w:val="single"/>
        </w:rPr>
        <w:t>Section 10.3</w:t>
      </w:r>
      <w:r>
        <w:rPr>
          <w:rFonts w:ascii="Times New Roman" w:hAnsi="Times New Roman"/>
          <w:color w:val="000000"/>
          <w:sz w:val="20"/>
        </w:rPr>
        <w:t xml:space="preserve"> </w:t>
      </w:r>
      <w:r>
        <w:rPr>
          <w:rFonts w:ascii="Times New Roman" w:hAnsi="Times New Roman"/>
          <w:color w:val="000000"/>
          <w:sz w:val="24"/>
        </w:rPr>
        <w:t>is hereby authorized to, and shall, continue the Company without dissolution.</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XI</w:t>
      </w:r>
      <w:r>
        <w:rPr>
          <w:rFonts w:ascii="Times New Roman" w:hAnsi="Times New Roman"/>
          <w:b/>
          <w:color w:val="000000"/>
          <w:sz w:val="24"/>
        </w:rPr>
        <w:br/>
        <w:br/>
        <w:t>WITHDRAWAL AND RESIGNATION OF MEMBERS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 Member shall have the power or right to withdraw or otherwise resign as a Member from the Company prior to the dissolution and winding up of the Company pursuant to </w:t>
      </w:r>
      <w:r>
        <w:rPr>
          <w:rFonts w:ascii="Times New Roman" w:hAnsi="Times New Roman"/>
          <w:color w:val="000000"/>
          <w:sz w:val="24"/>
          <w:u w:val="single"/>
        </w:rPr>
        <w:t>Article XIII</w:t>
      </w:r>
      <w:r>
        <w:rPr>
          <w:rFonts w:ascii="Times New Roman" w:hAnsi="Times New Roman"/>
          <w:color w:val="000000"/>
          <w:sz w:val="20"/>
        </w:rPr>
        <w:t xml:space="preserve"> </w:t>
      </w:r>
      <w:r>
        <w:rPr>
          <w:rFonts w:ascii="Times New Roman" w:hAnsi="Times New Roman"/>
          <w:color w:val="000000"/>
          <w:sz w:val="24"/>
        </w:rPr>
        <w:t xml:space="preserve">without the prior written consent of the Managing Member, except as otherwise expressly permitted by this Agreement. Any Member, however, that attempts to withdraw or otherwise resign as a Member from the Company without the prior written consent of the Managing Member upon or following the dissolution and winding up of the Company pursuant to </w:t>
      </w:r>
      <w:r>
        <w:rPr>
          <w:rFonts w:ascii="Times New Roman" w:hAnsi="Times New Roman"/>
          <w:color w:val="000000"/>
          <w:sz w:val="24"/>
          <w:u w:val="single"/>
        </w:rPr>
        <w:t>Article XIII</w:t>
      </w:r>
      <w:r>
        <w:rPr>
          <w:rFonts w:ascii="Times New Roman" w:hAnsi="Times New Roman"/>
          <w:color w:val="000000"/>
          <w:sz w:val="20"/>
        </w:rPr>
        <w:t xml:space="preserve"> </w:t>
      </w:r>
      <w:r>
        <w:rPr>
          <w:rFonts w:ascii="Times New Roman" w:hAnsi="Times New Roman"/>
          <w:color w:val="000000"/>
          <w:sz w:val="24"/>
        </w:rPr>
        <w:t xml:space="preserve">but prior to such Member receiving the full amount of distributions from the Company to which such Member is entitled pursuant to </w:t>
      </w:r>
      <w:r>
        <w:rPr>
          <w:rFonts w:ascii="Times New Roman" w:hAnsi="Times New Roman"/>
          <w:color w:val="000000"/>
          <w:sz w:val="24"/>
          <w:u w:val="single"/>
        </w:rPr>
        <w:t>Article XIII</w:t>
      </w:r>
      <w:r>
        <w:rPr>
          <w:rFonts w:ascii="Times New Roman" w:hAnsi="Times New Roman"/>
          <w:color w:val="000000"/>
          <w:sz w:val="20"/>
        </w:rPr>
        <w:t xml:space="preserve"> </w:t>
      </w:r>
      <w:r>
        <w:rPr>
          <w:rFonts w:ascii="Times New Roman" w:hAnsi="Times New Roman"/>
          <w:color w:val="000000"/>
          <w:sz w:val="24"/>
        </w:rPr>
        <w:t xml:space="preserve">shall be liable to the Company for all damages (including all lost profits and special, indirect and consequential damages) directly or indirectly caused by the withdrawal or resignation of such Member, and such Member shall be entitled to receive the Fair Market Value of such Member’s equity interest in the Company as of the date of its resignation (or, if less, the amount that such Member would have received on account of such equity interest had such Member not resigned or otherwise withdrew from the Company), as conclusively determined by the Managing Member, on the sixth month anniversary date (or such earlier date determined by the Managing Member) following the completion of the distribution of Company assets as provided in </w:t>
      </w:r>
      <w:r>
        <w:rPr>
          <w:rFonts w:ascii="Times New Roman" w:hAnsi="Times New Roman"/>
          <w:color w:val="000000"/>
          <w:sz w:val="24"/>
          <w:u w:val="single"/>
        </w:rPr>
        <w:t>Article XIII</w:t>
      </w:r>
      <w:r>
        <w:rPr>
          <w:rFonts w:ascii="Times New Roman" w:hAnsi="Times New Roman"/>
          <w:color w:val="000000"/>
          <w:sz w:val="20"/>
        </w:rPr>
        <w:t xml:space="preserve"> </w:t>
      </w:r>
      <w:r>
        <w:rPr>
          <w:rFonts w:ascii="Times New Roman" w:hAnsi="Times New Roman"/>
          <w:color w:val="000000"/>
          <w:sz w:val="24"/>
        </w:rPr>
        <w:t xml:space="preserve">to all other Members. Upon a Transfer of all of a Member’s Units in a Transfer permitted by this Agreement, subject to the provisions of </w:t>
      </w:r>
      <w:r>
        <w:rPr>
          <w:rFonts w:ascii="Times New Roman" w:hAnsi="Times New Roman"/>
          <w:color w:val="000000"/>
          <w:sz w:val="24"/>
          <w:u w:val="single"/>
        </w:rPr>
        <w:t>Section 9.4</w:t>
      </w:r>
      <w:r>
        <w:rPr>
          <w:rFonts w:ascii="Times New Roman" w:hAnsi="Times New Roman"/>
          <w:color w:val="000000"/>
          <w:sz w:val="24"/>
        </w:rPr>
        <w:t>, such Member shall cease to be a Member.</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XII</w:t>
      </w:r>
      <w:r>
        <w:rPr>
          <w:rFonts w:ascii="Times New Roman" w:hAnsi="Times New Roman"/>
          <w:b/>
          <w:color w:val="000000"/>
          <w:sz w:val="24"/>
        </w:rPr>
        <w:br/>
        <w:br/>
        <w:t>REDEMPTION AND EXCHANGE RIGHTS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12.1 </w:t>
      </w:r>
      <w:r>
        <w:rPr>
          <w:rFonts w:ascii="Times New Roman" w:hAnsi="Times New Roman"/>
          <w:color w:val="000000"/>
          <w:sz w:val="24"/>
          <w:u w:val="single"/>
        </w:rPr>
        <w:t>Exchange Procedures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Upon the terms and subject to the conditions set forth in this </w:t>
      </w:r>
      <w:r>
        <w:rPr>
          <w:rFonts w:ascii="Times New Roman" w:hAnsi="Times New Roman"/>
          <w:color w:val="000000"/>
          <w:sz w:val="24"/>
          <w:u w:val="single"/>
        </w:rPr>
        <w:t>Article XII</w:t>
      </w:r>
      <w:r>
        <w:rPr>
          <w:rFonts w:ascii="Times New Roman" w:hAnsi="Times New Roman"/>
          <w:color w:val="000000"/>
          <w:sz w:val="20"/>
        </w:rPr>
        <w:t xml:space="preserve"> </w:t>
      </w:r>
      <w:r>
        <w:rPr>
          <w:rFonts w:ascii="Times New Roman" w:hAnsi="Times New Roman"/>
          <w:color w:val="000000"/>
          <w:sz w:val="24"/>
        </w:rPr>
        <w:t xml:space="preserve">and the other provisions of this Agreement, each Member (other than PubCo) shall be entitled, not more than once per month, to cause the Company to effect an Exchange at least equal to or exceeding the Minimum Exchange Amount, by delivering an Exchange Notice to the Company with a copy to PubCo. Each Exchange Notice shall be in the form set forth on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and shall include all information required to be included therein. In the event that an Exchange is being exercised in order to participate in a Piggyback Registration, the Exchange Notice Date shall be prior to the expiration of the time period in which a holder of securities is required to notify PubCo that it wishes to participate in such Piggyback Registration in accordance with the Registration Rights Agreement.</w:t>
      </w:r>
    </w:p>
    <w:p>
      <w:pPr>
        <w:pStyle w:val="TextBody"/>
        <w:bidi w:val="0"/>
        <w:spacing w:before="0" w:after="240"/>
        <w:jc w:val="both"/>
        <w:rPr>
          <w:rFonts w:ascii="Times New Roman" w:hAnsi="Times New Roman"/>
          <w:sz w:val="20"/>
        </w:rPr>
      </w:pPr>
      <w:r>
        <w:rPr>
          <w:rFonts w:ascii="Times New Roman" w:hAnsi="Times New Roman"/>
          <w:color w:val="000000"/>
          <w:sz w:val="24"/>
        </w:rPr>
        <w:t>(b) Solely in connection with an Exchange that coincides with a substantially concurrent public offering or private sale of Class A Common Stock, within five (5) Business Days of the giving of an Exchange Notice, the Managing Member may elect to cause the Company to settle all or a portion of the Exchange in cash in an amount equal to the Cash Exchange Payment (in lieu of shares of Class A Common Stock), exercisable by giving written notice of such election to the Exchanging Member within such five (5) Business Day period (such notice, the “</w:t>
      </w:r>
      <w:r>
        <w:rPr>
          <w:rFonts w:ascii="Times New Roman" w:hAnsi="Times New Roman"/>
          <w:b/>
          <w:color w:val="000000"/>
          <w:sz w:val="24"/>
        </w:rPr>
        <w:t>Cash Exchange Notice</w:t>
      </w:r>
      <w:r>
        <w:rPr>
          <w:rFonts w:ascii="Times New Roman" w:hAnsi="Times New Roman"/>
          <w:color w:val="000000"/>
          <w:sz w:val="20"/>
        </w:rPr>
        <w:t>”</w:t>
      </w:r>
      <w:r>
        <w:rPr>
          <w:rFonts w:ascii="Times New Roman" w:hAnsi="Times New Roman"/>
          <w:color w:val="000000"/>
          <w:sz w:val="24"/>
        </w:rPr>
        <w:t>). The Cash Exchange Notice shall set forth the portion of the Exchanged Units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shall be redeemed for cash in lieu of Class A Common Stock. To the extent such Exchange relates to the exercise of the Exchanging Member’s registration rights under the Registration Rights Agreement, PubCo and the Company shall cooperate in good faith with such Exchanging Member to exercise such Exchange in a manner which preserves such Exchanging Member’s rights thereunder. At any time following the giving of a Cash Exchange Notice and prior to the Exchange Date, the Managing Member may elect (exercisable by giving written notice of such election to the Exchanging Member) to revoke the Cash Exchange Notice with respect to all or any portion of the Exchanged Units and to cause the Company to redeem such Exchanged Units on the Exchange Date for the Stock Exchange Payment. For the avoidance of doubt, the Company shall have no obligation to make a Cash Exchange Payment that exceeds the cash contributed to the Company by PubCo from PubCo’s offering or sales of Class A Common Stock referenced in this Section 12.1(b).</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In the event the Managing Member does not timely give a Cash Exchange Notice (or revokes a Cash Exchange Notice in accordance with the foregoing </w:t>
      </w:r>
      <w:r>
        <w:rPr>
          <w:rFonts w:ascii="Times New Roman" w:hAnsi="Times New Roman"/>
          <w:color w:val="000000"/>
          <w:sz w:val="24"/>
          <w:u w:val="single"/>
        </w:rPr>
        <w:t>Section 12.1(b)</w:t>
      </w:r>
      <w:r>
        <w:rPr>
          <w:rFonts w:ascii="Times New Roman" w:hAnsi="Times New Roman"/>
          <w:color w:val="000000"/>
          <w:sz w:val="24"/>
        </w:rPr>
        <w:t>), the Exchanging Member may, if and only if any Exchange Condition exists, elect to (x) retract its Exchange Notice or (y) delay the consummation of an Exchange, in each case, exercisable by giving written notice of such election to the Managing Member within two (2) Business Days of the occurrence of an Exchange Condition and in any event no later than one (1) Business Day prior to the Exchange Date (such notice under clause (y), an “</w:t>
      </w:r>
      <w:r>
        <w:rPr>
          <w:rFonts w:ascii="Times New Roman" w:hAnsi="Times New Roman"/>
          <w:b/>
          <w:color w:val="000000"/>
          <w:sz w:val="24"/>
        </w:rPr>
        <w:t>Exchange Delay Notice</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any such notice must specify the particular Exchange Condition giving rise to such election. The giving of any notice pursuant to clause (x) shall terminate all of the Exchanging Member’s, the Managing Member’s and the Company’s rights and obligations under this </w:t>
      </w:r>
      <w:r>
        <w:rPr>
          <w:rFonts w:ascii="Times New Roman" w:hAnsi="Times New Roman"/>
          <w:color w:val="000000"/>
          <w:sz w:val="24"/>
          <w:u w:val="single"/>
        </w:rPr>
        <w:t>Article XII</w:t>
      </w:r>
      <w:r>
        <w:rPr>
          <w:rFonts w:ascii="Times New Roman" w:hAnsi="Times New Roman"/>
          <w:color w:val="000000"/>
          <w:sz w:val="20"/>
        </w:rPr>
        <w:t xml:space="preserve"> </w:t>
      </w:r>
      <w:r>
        <w:rPr>
          <w:rFonts w:ascii="Times New Roman" w:hAnsi="Times New Roman"/>
          <w:color w:val="000000"/>
          <w:sz w:val="24"/>
        </w:rPr>
        <w:t>arising from such retracted Exchange Notice.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12.2 </w:t>
      </w:r>
      <w:r>
        <w:rPr>
          <w:rFonts w:ascii="Times New Roman" w:hAnsi="Times New Roman"/>
          <w:color w:val="000000"/>
          <w:sz w:val="24"/>
          <w:u w:val="single"/>
        </w:rPr>
        <w:t>Exchange Payment</w:t>
      </w:r>
      <w:r>
        <w:rPr>
          <w:rFonts w:ascii="Times New Roman" w:hAnsi="Times New Roman"/>
          <w:color w:val="000000"/>
          <w:sz w:val="24"/>
        </w:rPr>
        <w:t xml:space="preserve">. The Exchange shall be consummated on the Exchange Date. Unless PubCo has exercised its PubCo Call Right pursuant to </w:t>
      </w:r>
      <w:r>
        <w:rPr>
          <w:rFonts w:ascii="Times New Roman" w:hAnsi="Times New Roman"/>
          <w:color w:val="000000"/>
          <w:sz w:val="24"/>
          <w:u w:val="single"/>
        </w:rPr>
        <w:t>Section 12.6</w:t>
      </w:r>
      <w:r>
        <w:rPr>
          <w:rFonts w:ascii="Times New Roman" w:hAnsi="Times New Roman"/>
          <w:color w:val="000000"/>
          <w:sz w:val="24"/>
        </w:rPr>
        <w:t xml:space="preserve">, on the Exchange Date (to be effective immediately prior to the close of business on the Exchange Date) (i) PubCo shall contribute to the Company for delivery to the Exchanging Member (x) the Stock Exchange Payment with respect to any Exchanged Units not subject to a Cash Exchange Notice and (y) the Cash Exchange Payment with respect to any Exchanged Units subject to a Cash Exchange Notice, (ii) the Exchanging Member shall transfer and surrender the Exchanged Units to the Company, free and clear of all liens and encumbrances, (iii) the Company shall issue to PubCo a number of Class A Common Units equal to the number of Class A Common Units surrendered pursuant to clause (ii), (iv) solely to the extent necessary in connection with an Exchange, PubCo shall undertake all actions, including an issuance, reclassification, distribution, division or recapitalization, with respect to the Class A Common Stock to maintain a one-to-one ratio between the number of Class A Common Units owned by PubCo, directly or indirectly, and the number of outstanding shares of Class A Common Stock and Class C Common Stock, taking into account the issuance in clause (iii), any Stock Exchange Payment, and any other action taken in connection with this </w:t>
      </w:r>
      <w:r>
        <w:rPr>
          <w:rFonts w:ascii="Times New Roman" w:hAnsi="Times New Roman"/>
          <w:color w:val="000000"/>
          <w:sz w:val="24"/>
          <w:u w:val="single"/>
        </w:rPr>
        <w:t>Article XII</w:t>
      </w:r>
      <w:r>
        <w:rPr>
          <w:rFonts w:ascii="Times New Roman" w:hAnsi="Times New Roman"/>
          <w:color w:val="000000"/>
          <w:sz w:val="24"/>
        </w:rPr>
        <w:t>, (v) the Company shall (x) cancel the redeemed Class A Common Units which were Exchanged Units held by the Exchanging Member and (y) transfer to the Exchanging Member the Cash Exchange Payment and/or the Stock Exchange Payment, as applicable, and (vi) PubCo shall cancel the surrendered shares of Paired Voting Stock. On or prior to the Exchange Date, and as a condition to the Exchange, the Exchanging Member shall make any applicable Certificate Delivery. Upon the Exchange of all of a Member’s Units, such Member shall cease to be a Member of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12.3 </w:t>
      </w:r>
      <w:r>
        <w:rPr>
          <w:rFonts w:ascii="Times New Roman" w:hAnsi="Times New Roman"/>
          <w:color w:val="000000"/>
          <w:sz w:val="24"/>
          <w:u w:val="single"/>
        </w:rPr>
        <w:t>Splits, Distributions and Reclassifications</w:t>
      </w:r>
      <w:r>
        <w:rPr>
          <w:rFonts w:ascii="Times New Roman" w:hAnsi="Times New Roman"/>
          <w:color w:val="000000"/>
          <w:sz w:val="24"/>
        </w:rPr>
        <w:t xml:space="preserve">. If there is any reclassification, reorganization, recapitalization or other similar transaction in which the shares of Class A Common Stock are converted or changed into another security, securities or other property, this </w:t>
      </w:r>
      <w:r>
        <w:rPr>
          <w:rFonts w:ascii="Times New Roman" w:hAnsi="Times New Roman"/>
          <w:color w:val="000000"/>
          <w:sz w:val="24"/>
          <w:u w:val="single"/>
        </w:rPr>
        <w:t>Article XII</w:t>
      </w:r>
      <w:r>
        <w:rPr>
          <w:rFonts w:ascii="Times New Roman" w:hAnsi="Times New Roman"/>
          <w:color w:val="000000"/>
          <w:sz w:val="20"/>
        </w:rPr>
        <w:t xml:space="preserve"> </w:t>
      </w:r>
      <w:r>
        <w:rPr>
          <w:rFonts w:ascii="Times New Roman" w:hAnsi="Times New Roman"/>
          <w:color w:val="000000"/>
          <w:sz w:val="24"/>
        </w:rPr>
        <w:t xml:space="preserve">shall continue to be applicable, mutatis mutandis, with respect to such security or other property. This </w:t>
      </w:r>
      <w:r>
        <w:rPr>
          <w:rFonts w:ascii="Times New Roman" w:hAnsi="Times New Roman"/>
          <w:color w:val="000000"/>
          <w:sz w:val="24"/>
          <w:u w:val="single"/>
        </w:rPr>
        <w:t>Section 12.3</w:t>
      </w:r>
      <w:r>
        <w:rPr>
          <w:rFonts w:ascii="Times New Roman" w:hAnsi="Times New Roman"/>
          <w:color w:val="000000"/>
          <w:sz w:val="20"/>
        </w:rPr>
        <w:t xml:space="preserve"> </w:t>
      </w:r>
      <w:r>
        <w:rPr>
          <w:rFonts w:ascii="Times New Roman" w:hAnsi="Times New Roman"/>
          <w:color w:val="000000"/>
          <w:sz w:val="24"/>
        </w:rPr>
        <w:t xml:space="preserve">is intended to preserve the intended economic effect of </w:t>
      </w:r>
      <w:r>
        <w:rPr>
          <w:rFonts w:ascii="Times New Roman" w:hAnsi="Times New Roman"/>
          <w:color w:val="000000"/>
          <w:sz w:val="24"/>
          <w:u w:val="single"/>
        </w:rPr>
        <w:t>Section 3.1</w:t>
      </w:r>
      <w:r>
        <w:rPr>
          <w:rFonts w:ascii="Times New Roman" w:hAnsi="Times New Roman"/>
          <w:color w:val="000000"/>
          <w:sz w:val="20"/>
        </w:rPr>
        <w:t xml:space="preserve"> </w:t>
      </w:r>
      <w:r>
        <w:rPr>
          <w:rFonts w:ascii="Times New Roman" w:hAnsi="Times New Roman"/>
          <w:color w:val="000000"/>
          <w:sz w:val="24"/>
        </w:rPr>
        <w:t xml:space="preserve">and this </w:t>
      </w:r>
      <w:r>
        <w:rPr>
          <w:rFonts w:ascii="Times New Roman" w:hAnsi="Times New Roman"/>
          <w:color w:val="000000"/>
          <w:sz w:val="24"/>
          <w:u w:val="single"/>
        </w:rPr>
        <w:t>Article XII</w:t>
      </w:r>
      <w:r>
        <w:rPr>
          <w:rFonts w:ascii="Times New Roman" w:hAnsi="Times New Roman"/>
          <w:color w:val="000000"/>
          <w:sz w:val="20"/>
        </w:rPr>
        <w:t xml:space="preserve"> </w:t>
      </w:r>
      <w:r>
        <w:rPr>
          <w:rFonts w:ascii="Times New Roman" w:hAnsi="Times New Roman"/>
          <w:color w:val="000000"/>
          <w:sz w:val="24"/>
        </w:rPr>
        <w:t>and to put each Member in the same economic position, to the greatest extent possible, with respect to Exchanges as if such reclassification, reorganization, recapitalization or other similar transaction had not occurred and shall be interpreted in a manner consistent with such intent.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12.4 </w:t>
      </w:r>
      <w:r>
        <w:rPr>
          <w:rFonts w:ascii="Times New Roman" w:hAnsi="Times New Roman"/>
          <w:color w:val="000000"/>
          <w:sz w:val="24"/>
          <w:u w:val="single"/>
        </w:rPr>
        <w:t>PubCo Covenants</w:t>
      </w:r>
      <w:r>
        <w:rPr>
          <w:rFonts w:ascii="Times New Roman" w:hAnsi="Times New Roman"/>
          <w:color w:val="000000"/>
          <w:sz w:val="24"/>
        </w:rPr>
        <w:t xml:space="preserve">. PubCo shall at all times keep available, solely for the purpose of issuance upon an Exchange, out of its authorized but unissued shares of Class A Common Stock, such number of shares of Class A Common Stock that shall be issuable upon the Exchange of all outstanding Class A Common Units (other than those Class A Common Units held by PubCo); provided that nothing contained in this Agreement shall be construed to preclude the Company or PubCo from satisfying their obligations with respect to an Exchange by delivery of a Cash Exchange Payment or shares of Class A Common Stock that are held in treasury of PubCo. PubCo covenants that all shares of Class A Common Stock that shall be issued upon an Exchange shall, upon issuance thereof, be validly issued, fully paid and non-assessable, free and clear of all liens and encumbrances. In addition, for so long as the shares of Class A Common Stock are listed on a stock exchange or automated or electronic quotation system, PubCo shall cause all shares of Class A Common Stock issued upon an Exchange to be listed on such stock exchange or automated or electronic quotation system at the time of such issuance. For purposes of this </w:t>
      </w:r>
      <w:r>
        <w:rPr>
          <w:rFonts w:ascii="Times New Roman" w:hAnsi="Times New Roman"/>
          <w:color w:val="000000"/>
          <w:sz w:val="24"/>
          <w:u w:val="single"/>
        </w:rPr>
        <w:t>Section 12.4</w:t>
      </w:r>
      <w:r>
        <w:rPr>
          <w:rFonts w:ascii="Times New Roman" w:hAnsi="Times New Roman"/>
          <w:color w:val="000000"/>
          <w:sz w:val="24"/>
        </w:rPr>
        <w:t xml:space="preserve">, references to the “Class A Common Stock” shall be deemed to include any Equity Securities issued or issuable as a result of any reclassification, combination, subdivision or similar transaction of the Class A Common Stock that any Member would be entitled to receive pursuant to </w:t>
      </w:r>
      <w:r>
        <w:rPr>
          <w:rFonts w:ascii="Times New Roman" w:hAnsi="Times New Roman"/>
          <w:color w:val="000000"/>
          <w:sz w:val="24"/>
          <w:u w:val="single"/>
        </w:rPr>
        <w:t>Section 12.3</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12.5 </w:t>
      </w:r>
      <w:r>
        <w:rPr>
          <w:rFonts w:ascii="Times New Roman" w:hAnsi="Times New Roman"/>
          <w:color w:val="000000"/>
          <w:sz w:val="24"/>
          <w:u w:val="single"/>
        </w:rPr>
        <w:t>Exchange Taxes</w:t>
      </w:r>
      <w:r>
        <w:rPr>
          <w:rFonts w:ascii="Times New Roman" w:hAnsi="Times New Roman"/>
          <w:color w:val="000000"/>
          <w:sz w:val="24"/>
        </w:rPr>
        <w:t xml:space="preserve">. PubCo, the Company and each Exchanging Member shall bear their own expenses in connection with the consummation of any Exchange, whether or not any such Exchange is ultimately consummated, except that the Company shall bear any transfer taxes, stamp taxes or duties, or other similar taxes in connection with, or arising by reason of, any Exchange; </w:t>
      </w:r>
      <w:r>
        <w:rPr>
          <w:rFonts w:ascii="Times New Roman" w:hAnsi="Times New Roman"/>
          <w:i/>
          <w:color w:val="000000"/>
          <w:sz w:val="24"/>
        </w:rPr>
        <w:t>provided</w:t>
      </w:r>
      <w:r>
        <w:rPr>
          <w:rFonts w:ascii="Times New Roman" w:hAnsi="Times New Roman"/>
          <w:color w:val="000000"/>
          <w:sz w:val="24"/>
        </w:rPr>
        <w:t xml:space="preserve">, however, that if any shares of Class A Common Stock are to be delivered in a name other than that of the Exchanging Member (subject to the restrictions in </w:t>
      </w:r>
      <w:r>
        <w:rPr>
          <w:rFonts w:ascii="Times New Roman" w:hAnsi="Times New Roman"/>
          <w:color w:val="000000"/>
          <w:sz w:val="24"/>
          <w:u w:val="single"/>
        </w:rPr>
        <w:t>Article IX</w:t>
      </w:r>
      <w:r>
        <w:rPr>
          <w:rFonts w:ascii="Times New Roman" w:hAnsi="Times New Roman"/>
          <w:color w:val="000000"/>
          <w:sz w:val="24"/>
        </w:rPr>
        <w:t>), then the Person or Persons in whose name the shares are to be issued shall pay to the Company or PubCo, as applicable, the amount of any additional tax that may be payable in respect of any Transfer involved in such issuance in excess of the amount otherwise due if such shares were issued in the name of the Exchanging Member or shall establish to the reasonable satisfaction of the Company or PubCo, as applicable, that such additional tax has been paid or is not payable.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12.6 </w:t>
      </w:r>
      <w:r>
        <w:rPr>
          <w:rFonts w:ascii="Times New Roman" w:hAnsi="Times New Roman"/>
          <w:color w:val="000000"/>
          <w:sz w:val="24"/>
          <w:u w:val="single"/>
        </w:rPr>
        <w:t>PubCo Call Rights</w:t>
      </w:r>
      <w:r>
        <w:rPr>
          <w:rFonts w:ascii="Times New Roman" w:hAnsi="Times New Roman"/>
          <w:color w:val="000000"/>
          <w:sz w:val="24"/>
        </w:rPr>
        <w:t xml:space="preserve">. Notwithstanding anything to the contrary contained in this </w:t>
      </w:r>
      <w:r>
        <w:rPr>
          <w:rFonts w:ascii="Times New Roman" w:hAnsi="Times New Roman"/>
          <w:color w:val="000000"/>
          <w:sz w:val="24"/>
          <w:u w:val="single"/>
        </w:rPr>
        <w:t>Section 12.6</w:t>
      </w:r>
      <w:r>
        <w:rPr>
          <w:rFonts w:ascii="Times New Roman" w:hAnsi="Times New Roman"/>
          <w:color w:val="000000"/>
          <w:sz w:val="24"/>
        </w:rPr>
        <w:t xml:space="preserve">, with respect to any Exchange Notice, an Exchanging Member shall be deemed to have offered to sell its Exchanged Units as described in any Exchange Notice directly to PubCo (rather than causing the Company to redeem such Exchanged Units), and PubCo may, by delivery of a written notice to the Exchanging Member no later than five (5) Business Days following the giving of an Exchange Notice, in accordance with, and subject to the terms of, this </w:t>
      </w:r>
      <w:r>
        <w:rPr>
          <w:rFonts w:ascii="Times New Roman" w:hAnsi="Times New Roman"/>
          <w:color w:val="000000"/>
          <w:sz w:val="24"/>
          <w:u w:val="single"/>
        </w:rPr>
        <w:t xml:space="preserve">Section 12.6 </w:t>
      </w:r>
      <w:r>
        <w:rPr>
          <w:rFonts w:ascii="Times New Roman" w:hAnsi="Times New Roman"/>
          <w:color w:val="000000"/>
          <w:sz w:val="24"/>
        </w:rPr>
        <w:t>(such notice, a “</w:t>
      </w:r>
      <w:r>
        <w:rPr>
          <w:rFonts w:ascii="Times New Roman" w:hAnsi="Times New Roman"/>
          <w:b/>
          <w:color w:val="000000"/>
          <w:sz w:val="24"/>
        </w:rPr>
        <w:t>PubCo Call Notice</w:t>
      </w:r>
      <w:r>
        <w:rPr>
          <w:rFonts w:ascii="Times New Roman" w:hAnsi="Times New Roman"/>
          <w:color w:val="000000"/>
          <w:sz w:val="20"/>
        </w:rPr>
        <w:t>”</w:t>
      </w:r>
      <w:r>
        <w:rPr>
          <w:rFonts w:ascii="Times New Roman" w:hAnsi="Times New Roman"/>
          <w:color w:val="000000"/>
          <w:sz w:val="24"/>
        </w:rPr>
        <w:t>), elect to purchase directly and acquire such Exchanged Units on the Exchange Date by paying to the Exchanging Member (or such other Person specified in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Exchange Notice) the Stock Exchange Payment and/or the Cash Exchange Payment, whereupon PubCo shall acquire the Exchanged Units on the Exchange Date and be treated for all purposes of this Agreement as the owner of such Class A Common Units. Except as otherwise provided in this </w:t>
      </w:r>
      <w:r>
        <w:rPr>
          <w:rFonts w:ascii="Times New Roman" w:hAnsi="Times New Roman"/>
          <w:color w:val="000000"/>
          <w:sz w:val="24"/>
          <w:u w:val="single"/>
        </w:rPr>
        <w:t>Section 12.6</w:t>
      </w:r>
      <w:r>
        <w:rPr>
          <w:rFonts w:ascii="Times New Roman" w:hAnsi="Times New Roman"/>
          <w:color w:val="000000"/>
          <w:sz w:val="24"/>
        </w:rPr>
        <w:t xml:space="preserve">, an exercise of the PubCo Call Right shall be consummated pursuant to the same timeframe and in the same manner as the relevant Exchange would have been consummated if PubCo had not given a PubCo Call Notice, in each case as relevant, including that </w:t>
      </w:r>
      <w:r>
        <w:rPr>
          <w:rFonts w:ascii="Times New Roman" w:hAnsi="Times New Roman"/>
          <w:color w:val="000000"/>
          <w:sz w:val="24"/>
          <w:u w:val="single"/>
        </w:rPr>
        <w:t xml:space="preserve">Section 12.1(b) </w:t>
      </w:r>
      <w:r>
        <w:rPr>
          <w:rFonts w:ascii="Times New Roman" w:hAnsi="Times New Roman"/>
          <w:color w:val="000000"/>
          <w:sz w:val="24"/>
        </w:rPr>
        <w:t xml:space="preserve">shall apply </w:t>
      </w:r>
      <w:r>
        <w:rPr>
          <w:rFonts w:ascii="Times New Roman" w:hAnsi="Times New Roman"/>
          <w:i/>
          <w:color w:val="000000"/>
          <w:sz w:val="24"/>
        </w:rPr>
        <w:t>mutatis mutandis</w:t>
      </w:r>
      <w:r>
        <w:rPr>
          <w:rFonts w:ascii="Times New Roman" w:hAnsi="Times New Roman"/>
          <w:color w:val="000000"/>
          <w:sz w:val="20"/>
        </w:rPr>
        <w:t xml:space="preserve"> </w:t>
      </w:r>
      <w:r>
        <w:rPr>
          <w:rFonts w:ascii="Times New Roman" w:hAnsi="Times New Roman"/>
          <w:color w:val="000000"/>
          <w:sz w:val="24"/>
        </w:rPr>
        <w:t xml:space="preserve">and that clauses (iv) and (vi) of </w:t>
      </w:r>
      <w:r>
        <w:rPr>
          <w:rFonts w:ascii="Times New Roman" w:hAnsi="Times New Roman"/>
          <w:color w:val="000000"/>
          <w:sz w:val="24"/>
          <w:u w:val="single"/>
        </w:rPr>
        <w:t>Section 12.2</w:t>
      </w:r>
      <w:r>
        <w:rPr>
          <w:rFonts w:ascii="Times New Roman" w:hAnsi="Times New Roman"/>
          <w:color w:val="000000"/>
          <w:sz w:val="20"/>
        </w:rPr>
        <w:t xml:space="preserve"> </w:t>
      </w:r>
      <w:r>
        <w:rPr>
          <w:rFonts w:ascii="Times New Roman" w:hAnsi="Times New Roman"/>
          <w:color w:val="000000"/>
          <w:sz w:val="24"/>
        </w:rPr>
        <w:t>shall apply (notwithstanding that the other clauses thereof do not apply).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12.7 </w:t>
      </w:r>
      <w:r>
        <w:rPr>
          <w:rFonts w:ascii="Times New Roman" w:hAnsi="Times New Roman"/>
          <w:color w:val="000000"/>
          <w:sz w:val="24"/>
          <w:u w:val="single"/>
        </w:rPr>
        <w:t>Distribution Rights</w:t>
      </w:r>
      <w:r>
        <w:rPr>
          <w:rFonts w:ascii="Times New Roman" w:hAnsi="Times New Roman"/>
          <w:color w:val="000000"/>
          <w:sz w:val="24"/>
        </w:rPr>
        <w:t>. No Exchange shall impair the right of the Exchanging Member to receive any Distributions payable on the Class A Common Units redeemed pursuant to such Exchange in respect of a record date that occurs prior to the Exchange Date for such Exchange. No Exchanging Member, or a Person designated by an Exchanging Member to receive shares of Class A Common Stock, shall be entitled to receive, with respect to such record date, Distributions or dividends both on Class A Common Units redeemed by the Company from such Exchanging Member and on shares of Class A Common Stock received by such Exchanging Member, or other Person so designated, if applicable, in such Exchange.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12.8 </w:t>
      </w:r>
      <w:r>
        <w:rPr>
          <w:rFonts w:ascii="Times New Roman" w:hAnsi="Times New Roman"/>
          <w:color w:val="000000"/>
          <w:sz w:val="24"/>
          <w:u w:val="single"/>
        </w:rPr>
        <w:t>Exchange Restrictions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Notwithstanding any contrary provision in this Agreement, to the extent the Managing Member shall reasonably determine that interests in the Company do not meet the requirements of Treasury Regulation Section 1.7704-1(h) (determined taking into account the rules of Treasury Regulations Section 1.7704-1(h)(3),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for such purpose, unless otherwise required by applicable Law, the Company and the Managing Member shall assume that each Member as of immediately following the Pre-IPO Exchanges is treated as a single partner within the meaning of Regulations Section 1.7704-1(h) (and none of the Member’s beneficial owners is treated as a separate partner)), the Managing Member may impose such restrictions on Exchanges (including limiting Exchanges or creating priority procedures for Exchanges) as the Managing Member may reasonably determine to be necessary or advisable so that the Company is not treated as a “publicly traded partnership” within the meaning of Section 7704 of the Code and the Treasury Regulations promulgated thereunder. If the Managing Member determines in good faith that any such limitations or restrictions are necessary, then before imposing any such restrictions, the Managing Member shall first consult in good faith with the Continuing Member Representative in order to attempt to ameliorate the cause of such restrictions. Notwithstanding anything to the contrary herein, no Exchange shall be permitted (and, if attempted, shall, to the fullest extent permitted by law, be void ab initio) if, in the good faith determination of the Managing Member, such Exchange would pose a material risk that the Company would be treated as a “publicly traded partnership” under Section 7704 of the Code.</w:t>
      </w:r>
    </w:p>
    <w:p>
      <w:pPr>
        <w:pStyle w:val="TextBody"/>
        <w:bidi w:val="0"/>
        <w:spacing w:before="0" w:after="240"/>
        <w:jc w:val="both"/>
        <w:rPr>
          <w:rFonts w:ascii="Times New Roman" w:hAnsi="Times New Roman"/>
          <w:sz w:val="20"/>
        </w:rPr>
      </w:pPr>
      <w:r>
        <w:rPr>
          <w:rFonts w:ascii="Times New Roman" w:hAnsi="Times New Roman"/>
          <w:color w:val="000000"/>
          <w:sz w:val="24"/>
        </w:rPr>
        <w:t>(b) For the avoidance of doubt, and notwithstanding anything to the contrary herein, a Member shall not be entitled to effect an Exchange to the extent PubCo or the Company reasonably determines that such Exchange (i) would be prohibited by law or regulation (including, without limitation, the unavailability of any requisite registration statement filed under the Securities Act or any exemption from the registration requirements thereunder) or (ii) would not be permitted under any other agreements with PubCo or its subsidiaries by which such Member is bound (including, without limitation, this Agreement) or any written policies of PubCo related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unlawful or inappropriate trading applicable to its directors, officers or other personnel. Upon such determination, PubCo shall notify the Member requesting the Exchange of such determination, which notice shall include an explanation in reasonable detail as to the reason that the Exchange has not been effected.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12.9 </w:t>
      </w:r>
      <w:r>
        <w:rPr>
          <w:rFonts w:ascii="Times New Roman" w:hAnsi="Times New Roman"/>
          <w:color w:val="000000"/>
          <w:sz w:val="24"/>
          <w:u w:val="single"/>
        </w:rPr>
        <w:t>Tax Matters</w:t>
      </w:r>
    </w:p>
    <w:p>
      <w:pPr>
        <w:pStyle w:val="TextBody"/>
        <w:bidi w:val="0"/>
        <w:spacing w:before="0" w:after="240"/>
        <w:jc w:val="both"/>
        <w:rPr>
          <w:rFonts w:ascii="Times New Roman" w:hAnsi="Times New Roman"/>
          <w:sz w:val="20"/>
        </w:rPr>
      </w:pPr>
      <w:r>
        <w:rPr>
          <w:rFonts w:ascii="Times New Roman" w:hAnsi="Times New Roman"/>
          <w:color w:val="000000"/>
          <w:sz w:val="24"/>
        </w:rPr>
        <w:t>(a) In connection with any Exchange, the Exchanging Member shall, to the extent it is legally entitled to do so, deliver to PubCo or the Company, as applicable, a certificate, dated as of the Exchange Date and sworn under penalties of perjury, in a form reasonably acceptable to PubCo or the Company, as applicable, certifying as to such Exchanging Member’s taxpayer identification number and that such Exchanging Member is a not a foreign person for purposes of Section 1445 and Section 1446(f) of the Code, which certificate may be an Internal Revenue Service Form W-9 if then sufficient for such purposes under applicable Law (such certificate a “</w:t>
      </w:r>
      <w:r>
        <w:rPr>
          <w:rFonts w:ascii="Times New Roman" w:hAnsi="Times New Roman"/>
          <w:b/>
          <w:color w:val="000000"/>
          <w:sz w:val="24"/>
        </w:rPr>
        <w:t>Non-Foreign Person Certificate</w:t>
      </w:r>
      <w:r>
        <w:rPr>
          <w:rFonts w:ascii="Times New Roman" w:hAnsi="Times New Roman"/>
          <w:color w:val="000000"/>
          <w:sz w:val="20"/>
        </w:rPr>
        <w:t>”</w:t>
      </w:r>
      <w:r>
        <w:rPr>
          <w:rFonts w:ascii="Times New Roman" w:hAnsi="Times New Roman"/>
          <w:color w:val="000000"/>
          <w:sz w:val="24"/>
        </w:rPr>
        <w:t>). If an Exchanging Member is unable to provide a Non-Foreign Person Certificate in connection with an Exchange, then, at the Managing Member’s option, (i) such Exchanging Member shall provide a certificate substantially in the form described in Treasury Regulations Section 1.1446(f)-2(c)(2)(ii)(B) or (ii) the Company shall deliver a certificate substantially in the form described in Regulations Section 1.1446(f)-2(c)(2)(ii)(C), in each case setting forth the liabilities of the Company allocated to the Exchanged Units under Section 752 of the Code, and PubCo or the Company, as applicable, shall be permitted to withhold on the amount realized by such Exchanging Partner in respect of such Exchange as provided in Section 1446(f) of the Code and Treasury Regulations thereunder and consistent with the certificate provided pursuant to clause (i) or (ii) of this sentence,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For U.S. federal and applicable state and local income tax purposes, each of the Exchanging Member, the Company and PubCo agree to treat, to the maximum extent permitted by applicable law, each Exchange as a taxable sale by the Exchanging Member of the Exchanging Member’s Class A Common Units (together with an equal number of shares of Paired Voting Stock, which shares shall not be allocated any economic value) to PubCo in exchange for the payment by PubCo of the Stock Exchange Payment, the Cash Exchange Payment, or other applicable consideration to the Exchanging Member. Within thirty (30) days following the Exchange Date, PubCo shall deliver a Section 743 notification to the Company in accordance with Treasury Regulations Section 1.743-1(k)(2).</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12.10 </w:t>
      </w:r>
      <w:r>
        <w:rPr>
          <w:rFonts w:ascii="Times New Roman" w:hAnsi="Times New Roman"/>
          <w:color w:val="000000"/>
          <w:sz w:val="24"/>
          <w:u w:val="single"/>
        </w:rPr>
        <w:t>Withholding</w:t>
      </w:r>
      <w:r>
        <w:rPr>
          <w:rFonts w:ascii="Times New Roman" w:hAnsi="Times New Roman"/>
          <w:color w:val="000000"/>
          <w:sz w:val="24"/>
        </w:rPr>
        <w:t>. Notwithstanding any other provision in this Agreement, with respect to any Exchange pursuant to Article XII, PubCo, the Company and their agents and affiliates shall have the right to deduct and withhold taxes (in cash or in kind, including Class A Common Stock with a fair market value determined in the sole discretion of the Managing Member equal to the amount of such taxes) from any payments to be made pursuant to such Exchange, if, in their opinion, such withholding is required by law. The Managing Member may, in its sole discretion, allow an Exchanging Member to pay such taxes owed on the Exchange in cash in lieu of the Company or PubCo, as applicable, withholding or deducting such taxes. To the extent that any of the aforementioned amounts are so withheld, such withheld amounts shall be treated for all purposes of this Agreement as having been delivered and paid to the recipient of the payments in respect of which such deduction and withholding was made. To the extent that any payment pursuant to this Agreement is not reduced by such deductions or withholdings, such recipient shall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indemnify the applicable withholding agent for any amounts imposed by any taxing authority together with any costs and expenses related 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12.11 </w:t>
      </w:r>
      <w:r>
        <w:rPr>
          <w:rFonts w:ascii="Times New Roman" w:hAnsi="Times New Roman"/>
          <w:color w:val="000000"/>
          <w:sz w:val="24"/>
          <w:u w:val="single"/>
        </w:rPr>
        <w:t>Representations and Warranties</w:t>
      </w:r>
      <w:r>
        <w:rPr>
          <w:rFonts w:ascii="Times New Roman" w:hAnsi="Times New Roman"/>
          <w:color w:val="000000"/>
          <w:sz w:val="24"/>
        </w:rPr>
        <w:t>. In connection with any Exchange or exercise of a PubCo Call Right, (i) upon the acceptance of the Class A Common Stock or an amount of cash equal to the Cash Exchange Payment, the Exchanging Member shall represent and warrant that the Exchanging Member is the owner of the number of Class A Common Units that the Exchanging Member is electing to Exchange and that such Class A Common Units are not subject to any liens or restrictions on transfer (other than restrictions imposed by this Agreement, the certificate of incorporation, bylaws and any other governing documents of PubCo and applicable Law), and (ii) if the Managing Member elects a Stock Exchange Payment, the Managing Member shall represent that (A) the shares of Class A Common Stock issued to the Exchanging Member in settlement of the Stock Exchange Payment are duly authorized, validly issued, fully paid and non-assessable and were issued in compliance in all material respects with applicable securities laws, and (B) the issuance of such shares of Class A Common Stock issued to the Exchanging Member in settlement of the Stock Exchange Payment does not conflict with or result in any breach of the organizational documents of PubCo.</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XIII</w:t>
      </w:r>
      <w:r>
        <w:rPr>
          <w:rFonts w:ascii="Times New Roman" w:hAnsi="Times New Roman"/>
          <w:b/>
          <w:color w:val="000000"/>
          <w:sz w:val="24"/>
        </w:rPr>
        <w:br/>
        <w:br/>
        <w:t>DISSOLUTION AND WINDING UP</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13.1 </w:t>
      </w:r>
      <w:r>
        <w:rPr>
          <w:rFonts w:ascii="Times New Roman" w:hAnsi="Times New Roman"/>
          <w:color w:val="000000"/>
          <w:sz w:val="24"/>
          <w:u w:val="single"/>
        </w:rPr>
        <w:t>Dissolution</w:t>
      </w:r>
      <w:r>
        <w:rPr>
          <w:rFonts w:ascii="Times New Roman" w:hAnsi="Times New Roman"/>
          <w:color w:val="000000"/>
          <w:sz w:val="24"/>
        </w:rPr>
        <w:t>. The Company shall not be dissolved by the admission of Additional Members or Substituted Members or the attempted withdrawal or resignation of a Member. The Company shall dissolve, and its affairs shall be wound up, upon: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entry of a decree of judicial dissolution of the Company under Section 17707.03 of the California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event which makes it unlawful for the business of the Company to be carried on by the Members;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at any time there are no Members, unless the Company is continued in accordance with the California Act;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the determination of the Managing Member in its sole discretion; </w:t>
      </w:r>
      <w:r>
        <w:rPr>
          <w:rFonts w:ascii="Times New Roman" w:hAnsi="Times New Roman"/>
          <w:i/>
          <w:color w:val="000000"/>
          <w:sz w:val="24"/>
        </w:rPr>
        <w:t>provided</w:t>
      </w:r>
      <w:r>
        <w:rPr>
          <w:rFonts w:ascii="Times New Roman" w:hAnsi="Times New Roman"/>
          <w:color w:val="000000"/>
          <w:sz w:val="24"/>
        </w:rPr>
        <w:t xml:space="preserve">, that if the dissolution of the Company pursuant to and in accordance with clauses (b) or (d) in this </w:t>
      </w:r>
      <w:r>
        <w:rPr>
          <w:rFonts w:ascii="Times New Roman" w:hAnsi="Times New Roman"/>
          <w:color w:val="000000"/>
          <w:sz w:val="24"/>
          <w:u w:val="single"/>
        </w:rPr>
        <w:t>Section 13.1</w:t>
      </w:r>
      <w:r>
        <w:rPr>
          <w:rFonts w:ascii="Times New Roman" w:hAnsi="Times New Roman"/>
          <w:color w:val="000000"/>
          <w:sz w:val="20"/>
        </w:rPr>
        <w:t xml:space="preserve"> </w:t>
      </w:r>
      <w:r>
        <w:rPr>
          <w:rFonts w:ascii="Times New Roman" w:hAnsi="Times New Roman"/>
          <w:color w:val="000000"/>
          <w:sz w:val="24"/>
        </w:rPr>
        <w:t>would have a material adverse effect on any Member, the dissolution of the Company shall require the prior written consent of such Member, which consent shall not be unreasonably withheld.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Except as otherwise set forth in this </w:t>
      </w:r>
      <w:r>
        <w:rPr>
          <w:rFonts w:ascii="Times New Roman" w:hAnsi="Times New Roman"/>
          <w:color w:val="000000"/>
          <w:sz w:val="24"/>
          <w:u w:val="single"/>
        </w:rPr>
        <w:t>Article XIII</w:t>
      </w:r>
      <w:r>
        <w:rPr>
          <w:rFonts w:ascii="Times New Roman" w:hAnsi="Times New Roman"/>
          <w:color w:val="000000"/>
          <w:sz w:val="24"/>
        </w:rPr>
        <w:t>, the Company is intended to have perpetual existence. An Event of Withdrawal shall not, in and of itself, cause a dissolution of the Company and the Company shall continue in existence subject to the terms and conditions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13.2 </w:t>
      </w:r>
      <w:r>
        <w:rPr>
          <w:rFonts w:ascii="Times New Roman" w:hAnsi="Times New Roman"/>
          <w:color w:val="000000"/>
          <w:sz w:val="24"/>
          <w:u w:val="single"/>
        </w:rPr>
        <w:t>Winding Up and Termination</w:t>
      </w:r>
      <w:r>
        <w:rPr>
          <w:rFonts w:ascii="Times New Roman" w:hAnsi="Times New Roman"/>
          <w:color w:val="000000"/>
          <w:sz w:val="24"/>
        </w:rPr>
        <w:t>. On dissolution of the Company, the Managing Member shall act as liquidating trustee or may appoint one or more Persons as liquidating trustee. The liquidating trustee shall proceed diligently to wind up the affairs of the Company and make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final distributions as provided herein and in the California Act. The costs of winding up shall be borne as a Company expense. Until the final Distribution, the liquidating trustee shall continue to operate the Company properties with all of the power and authority of the Managing Member. The steps to be accomplished by the liquidating trustee are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as promptly as possible after dissolution and again after completion of the winding up, the liquidating trustee shall cause a proper accounting to be made by a recognized firm of certified public accountants of the Company’s assets, liabilities and operations through the last day of the calendar month in which the dissolution occurs or the completion of the winding up is completed,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liquidating trustee shall pay, satisfy or discharge from Company funds all of the debts, liabilities and obligations of the Company (including, without limitation, all expenses incurred of winding up) or otherwise make adequate provision for payment and discharge thereof (including, without limitation, the establishment of a cash fund for contingent, conditional or unmatured liabilities in such amount and for such term as the liquidating trustee may reasonably determine);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all remaining assets of the Company shall be distributed to the Members in accordance with </w:t>
      </w:r>
      <w:r>
        <w:rPr>
          <w:rFonts w:ascii="Times New Roman" w:hAnsi="Times New Roman"/>
          <w:color w:val="000000"/>
          <w:sz w:val="24"/>
          <w:u w:val="single"/>
        </w:rPr>
        <w:t>Section 4.1(b)</w:t>
      </w:r>
      <w:r>
        <w:rPr>
          <w:rFonts w:ascii="Times New Roman" w:hAnsi="Times New Roman"/>
          <w:color w:val="000000"/>
          <w:sz w:val="20"/>
        </w:rPr>
        <w:t xml:space="preserve"> </w:t>
      </w:r>
      <w:r>
        <w:rPr>
          <w:rFonts w:ascii="Times New Roman" w:hAnsi="Times New Roman"/>
          <w:color w:val="000000"/>
          <w:sz w:val="24"/>
        </w:rPr>
        <w:t>by the end of the Taxable Year of the Company during which the winding up of the Company occurs (or, if later, by ninety (90) days after the date of the winding up).</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Distribution of cash and/or property to Members in accordance with the provisions of this </w:t>
      </w:r>
      <w:r>
        <w:rPr>
          <w:rFonts w:ascii="Times New Roman" w:hAnsi="Times New Roman"/>
          <w:color w:val="000000"/>
          <w:sz w:val="24"/>
          <w:u w:val="single"/>
        </w:rPr>
        <w:t>Section 13.2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13.3</w:t>
      </w:r>
      <w:r>
        <w:rPr>
          <w:rFonts w:ascii="Times New Roman" w:hAnsi="Times New Roman"/>
          <w:color w:val="000000"/>
          <w:sz w:val="20"/>
        </w:rPr>
        <w:t xml:space="preserve"> </w:t>
      </w:r>
      <w:r>
        <w:rPr>
          <w:rFonts w:ascii="Times New Roman" w:hAnsi="Times New Roman"/>
          <w:color w:val="000000"/>
          <w:sz w:val="24"/>
        </w:rPr>
        <w:t>constitutes a complete return to the Members of their Capital Contributions and a complete Distribution to the Members of their interest in the Company and all the Company’s property and constitutes a compromise to which all Members have consented within the meaning of the California Act. To the extent that a Member returns funds to the Company, it has no claim against any other Member for those funds.</w:t>
      </w:r>
    </w:p>
    <w:p>
      <w:pPr>
        <w:pStyle w:val="TextBody"/>
        <w:bidi w:val="0"/>
        <w:spacing w:before="0" w:after="240"/>
        <w:jc w:val="both"/>
        <w:rPr>
          <w:rFonts w:ascii="Times New Roman" w:hAnsi="Times New Roman"/>
          <w:sz w:val="20"/>
        </w:rPr>
      </w:pPr>
      <w:bookmarkStart w:id="142" w:name="docxtextref456"/>
      <w:bookmarkEnd w:id="142"/>
      <w:r>
        <w:rPr>
          <w:rFonts w:ascii="Times New Roman" w:hAnsi="Times New Roman"/>
          <w:color w:val="000000"/>
          <w:sz w:val="24"/>
        </w:rPr>
        <w:t xml:space="preserve">13.3 </w:t>
      </w:r>
      <w:r>
        <w:rPr>
          <w:rFonts w:ascii="Times New Roman" w:hAnsi="Times New Roman"/>
          <w:color w:val="000000"/>
          <w:sz w:val="24"/>
          <w:u w:val="single"/>
        </w:rPr>
        <w:t>Deferment; Distribution in Kind</w:t>
      </w:r>
      <w:r>
        <w:rPr>
          <w:rFonts w:ascii="Times New Roman" w:hAnsi="Times New Roman"/>
          <w:color w:val="000000"/>
          <w:sz w:val="24"/>
        </w:rPr>
        <w:t xml:space="preserve">. Notwithstanding the provisions of </w:t>
      </w:r>
      <w:r>
        <w:rPr>
          <w:rFonts w:ascii="Times New Roman" w:hAnsi="Times New Roman"/>
          <w:color w:val="000000"/>
          <w:sz w:val="24"/>
          <w:u w:val="single"/>
        </w:rPr>
        <w:t>Section 13.2</w:t>
      </w:r>
      <w:r>
        <w:rPr>
          <w:rFonts w:ascii="Times New Roman" w:hAnsi="Times New Roman"/>
          <w:color w:val="000000"/>
          <w:sz w:val="24"/>
        </w:rPr>
        <w:t xml:space="preserve">, but subject to the order of priorities set forth therein, if upon dissolution of the Company the liquidating trustee determines that an immediate sale of part or all of the Company’s assets would be impractical or would cause undue loss (or would otherwise not be beneficial) to the Members, the liquidating trustee may, in its sole discretion, defer for a reasonable time the winding up of any assets except those necessary to satisfy Company liabilities (other than loans to the Company by Members) and reserves. Subject to the order of priorities set forth in </w:t>
      </w:r>
      <w:r>
        <w:rPr>
          <w:rFonts w:ascii="Times New Roman" w:hAnsi="Times New Roman"/>
          <w:color w:val="000000"/>
          <w:sz w:val="24"/>
          <w:u w:val="single"/>
        </w:rPr>
        <w:t>Section 13.2</w:t>
      </w:r>
      <w:r>
        <w:rPr>
          <w:rFonts w:ascii="Times New Roman" w:hAnsi="Times New Roman"/>
          <w:color w:val="000000"/>
          <w:sz w:val="24"/>
        </w:rPr>
        <w:t>, the liquidating trustee may, in its sole discretion, distribute to the Members, in lieu of cash, either (i)</w:t>
      </w:r>
      <w:r>
        <w:rPr>
          <w:rFonts w:ascii="Times New Roman" w:hAnsi="Times New Roman"/>
          <w:color w:val="000000"/>
          <w:sz w:val="20"/>
        </w:rPr>
        <w:t xml:space="preserve"> </w:t>
      </w:r>
      <w:r>
        <w:rPr>
          <w:rFonts w:ascii="Times New Roman" w:hAnsi="Times New Roman"/>
          <w:color w:val="000000"/>
          <w:sz w:val="24"/>
        </w:rPr>
        <w:t xml:space="preserve">all or any portion of such remaining Company assets in-kind in accordance with the provisions of </w:t>
      </w:r>
      <w:r>
        <w:rPr>
          <w:rFonts w:ascii="Times New Roman" w:hAnsi="Times New Roman"/>
          <w:color w:val="000000"/>
          <w:sz w:val="24"/>
          <w:u w:val="single"/>
        </w:rPr>
        <w:t>Section 13.2(c)</w:t>
      </w:r>
      <w:r>
        <w:rPr>
          <w:rFonts w:ascii="Times New Roman" w:hAnsi="Times New Roman"/>
          <w:color w:val="000000"/>
          <w:sz w:val="24"/>
        </w:rPr>
        <w:t xml:space="preserve">, (ii) as tenants in common and in accordance with the provisions of </w:t>
      </w:r>
      <w:r>
        <w:rPr>
          <w:rFonts w:ascii="Times New Roman" w:hAnsi="Times New Roman"/>
          <w:color w:val="000000"/>
          <w:sz w:val="24"/>
          <w:u w:val="single"/>
        </w:rPr>
        <w:t>Section 13.2(c)</w:t>
      </w:r>
      <w:r>
        <w:rPr>
          <w:rFonts w:ascii="Times New Roman" w:hAnsi="Times New Roman"/>
          <w:color w:val="000000"/>
          <w:sz w:val="24"/>
        </w:rPr>
        <w:t xml:space="preserve">, undivided interests in all or any portion of such Company assets or (iii) a combination of the foregoing. Any such Distributions in kind shall be subject to </w:t>
      </w:r>
      <w:bookmarkStart w:id="143" w:name="docxtextref457"/>
      <w:bookmarkEnd w:id="143"/>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 xml:space="preserve">such conditions relating to the disposition and management of such assets as the liquidating trustee deems reasonable and equitable and </w:t>
      </w:r>
      <w:bookmarkStart w:id="144" w:name="docxtextref458"/>
      <w:bookmarkEnd w:id="144"/>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color w:val="000000"/>
          <w:sz w:val="24"/>
        </w:rPr>
        <w:t xml:space="preserve">the terms and conditions of any agreements governing such assets (or the operation thereof or the holders thereof) at such time. Any Company assets distributed in kind will first be written up or down to their Fair Market Value, thus creating Profit or Loss (if any), which shall be allocated in accordance with </w:t>
      </w:r>
      <w:r>
        <w:rPr>
          <w:rFonts w:ascii="Times New Roman" w:hAnsi="Times New Roman"/>
          <w:color w:val="000000"/>
          <w:sz w:val="24"/>
          <w:u w:val="single"/>
        </w:rPr>
        <w:t>Section 4.2</w:t>
      </w:r>
      <w:r>
        <w:rPr>
          <w:rFonts w:ascii="Times New Roman" w:hAnsi="Times New Roman"/>
          <w:color w:val="000000"/>
          <w:sz w:val="24"/>
        </w:rPr>
        <w:t>. The liquidating trustee shall determine the Fair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Market Value of any property distributed in accordance with the valuation procedures set forth in </w:t>
      </w:r>
      <w:r>
        <w:rPr>
          <w:rFonts w:ascii="Times New Roman" w:hAnsi="Times New Roman"/>
          <w:color w:val="000000"/>
          <w:sz w:val="24"/>
          <w:u w:val="single"/>
        </w:rPr>
        <w:t>Article XIV</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13.4 </w:t>
      </w:r>
      <w:r>
        <w:rPr>
          <w:rFonts w:ascii="Times New Roman" w:hAnsi="Times New Roman"/>
          <w:color w:val="000000"/>
          <w:sz w:val="24"/>
          <w:u w:val="single"/>
        </w:rPr>
        <w:t>Cancellation of Certificate</w:t>
      </w:r>
      <w:r>
        <w:rPr>
          <w:rFonts w:ascii="Times New Roman" w:hAnsi="Times New Roman"/>
          <w:color w:val="000000"/>
          <w:sz w:val="24"/>
        </w:rPr>
        <w:t xml:space="preserve">. On completion of the winding up of the Company’s affairs and distribution of Company assets as provided herein, the Company is terminated (and the Company shall not be terminated prior to such time), and the Managing Member (or such other Person or Persons as the California Act may require or permit) shall file a certificate of cancellation with the Secretary of State of California,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Times New Roman" w:hAnsi="Times New Roman"/>
          <w:color w:val="000000"/>
          <w:sz w:val="24"/>
          <w:u w:val="single"/>
        </w:rPr>
        <w:t>Section 13.4</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13.5 </w:t>
      </w:r>
      <w:r>
        <w:rPr>
          <w:rFonts w:ascii="Times New Roman" w:hAnsi="Times New Roman"/>
          <w:color w:val="000000"/>
          <w:sz w:val="24"/>
          <w:u w:val="single"/>
        </w:rPr>
        <w:t>Reasonable Time for Winding Up</w:t>
      </w:r>
      <w:r>
        <w:rPr>
          <w:rFonts w:ascii="Times New Roman" w:hAnsi="Times New Roman"/>
          <w:color w:val="000000"/>
          <w:sz w:val="24"/>
        </w:rPr>
        <w:t xml:space="preserve">. A reasonable time shall be allowed for the orderly winding up of the business and affairs of the Company and the liquidation of its assets pursuant to </w:t>
      </w:r>
      <w:r>
        <w:rPr>
          <w:rFonts w:ascii="Times New Roman" w:hAnsi="Times New Roman"/>
          <w:color w:val="000000"/>
          <w:sz w:val="24"/>
          <w:u w:val="single"/>
        </w:rPr>
        <w:t>Sections 13.2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13.3</w:t>
      </w:r>
      <w:r>
        <w:rPr>
          <w:rFonts w:ascii="Times New Roman" w:hAnsi="Times New Roman"/>
          <w:color w:val="000000"/>
          <w:sz w:val="20"/>
        </w:rPr>
        <w:t xml:space="preserve"> </w:t>
      </w:r>
      <w:r>
        <w:rPr>
          <w:rFonts w:ascii="Times New Roman" w:hAnsi="Times New Roman"/>
          <w:color w:val="000000"/>
          <w:sz w:val="24"/>
        </w:rPr>
        <w:t>in order to minimize any losses otherwise attendant upon such winding up.</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13.6 </w:t>
      </w:r>
      <w:r>
        <w:rPr>
          <w:rFonts w:ascii="Times New Roman" w:hAnsi="Times New Roman"/>
          <w:color w:val="000000"/>
          <w:sz w:val="24"/>
          <w:u w:val="single"/>
        </w:rPr>
        <w:t>Return of Capital</w:t>
      </w:r>
      <w:r>
        <w:rPr>
          <w:rFonts w:ascii="Times New Roman" w:hAnsi="Times New Roman"/>
          <w:color w:val="000000"/>
          <w:sz w:val="24"/>
        </w:rPr>
        <w:t>. The liquidating trustee shall not be personally liable for the return of Capital Contributions or any portion thereof to the Members (it being understood that any such return shall be made solely from Company assets).</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XIV</w:t>
      </w:r>
      <w:r>
        <w:rPr>
          <w:rFonts w:ascii="Times New Roman" w:hAnsi="Times New Roman"/>
          <w:b/>
          <w:color w:val="000000"/>
          <w:sz w:val="24"/>
        </w:rPr>
        <w:br/>
        <w:br/>
        <w:t>VALUATION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14.1 </w:t>
      </w:r>
      <w:r>
        <w:rPr>
          <w:rFonts w:ascii="Times New Roman" w:hAnsi="Times New Roman"/>
          <w:color w:val="000000"/>
          <w:sz w:val="24"/>
          <w:u w:val="single"/>
        </w:rPr>
        <w:t>Value</w:t>
      </w:r>
      <w:r>
        <w:rPr>
          <w:rFonts w:ascii="Times New Roman" w:hAnsi="Times New Roman"/>
          <w:color w:val="000000"/>
          <w:sz w:val="24"/>
        </w:rPr>
        <w:t>. “</w:t>
      </w:r>
      <w:r>
        <w:rPr>
          <w:rFonts w:ascii="Times New Roman" w:hAnsi="Times New Roman"/>
          <w:b/>
          <w:color w:val="000000"/>
          <w:sz w:val="24"/>
        </w:rPr>
        <w:t>Fair Market Value</w:t>
      </w:r>
      <w:r>
        <w:rPr>
          <w:rFonts w:ascii="Times New Roman" w:hAnsi="Times New Roman"/>
          <w:color w:val="000000"/>
          <w:sz w:val="20"/>
        </w:rPr>
        <w:t xml:space="preserve">” </w:t>
      </w:r>
      <w:r>
        <w:rPr>
          <w:rFonts w:ascii="Times New Roman" w:hAnsi="Times New Roman"/>
          <w:color w:val="000000"/>
          <w:sz w:val="24"/>
        </w:rPr>
        <w:t xml:space="preserve">of any asset, property or equity interest means the amount which a seller of such asset, property or equity interest would receive in a sale of such asset, property or equity interest in an arms-length transaction with an unaffiliated third party consummated on a date determined by the Managing Member (which may be the date on which the event occurred which necessitated the determination of the Fair Market Value) (and after giving effect to any transfer taxes payable in connection with such sale). Notwithstanding the foregoing, in making the determination of Fair Market Value as described in </w:t>
      </w:r>
      <w:r>
        <w:rPr>
          <w:rFonts w:ascii="Times New Roman" w:hAnsi="Times New Roman"/>
          <w:color w:val="000000"/>
          <w:sz w:val="24"/>
          <w:u w:val="single"/>
        </w:rPr>
        <w:t>Section 14.2</w:t>
      </w:r>
      <w:r>
        <w:rPr>
          <w:rFonts w:ascii="Times New Roman" w:hAnsi="Times New Roman"/>
          <w:color w:val="000000"/>
          <w:sz w:val="24"/>
        </w:rPr>
        <w:t>, the Managing Member, the Continuing Member Representative and any investment banking firm (as described below) shall not give effect or take into account any “minority discount” or “liquidity discount” (or any similar discount arising out of the fact that the Units are restricted or is not registered with the Securities and Exchange Commission, publicly traded or listed on a securities exchange), but shall value the Company and its Subsidiaries and their respective businesses in their entirety on an enterprise basis using any variety of industry recognized valuation techniques commonly used to value businesses.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14.2 </w:t>
      </w:r>
      <w:r>
        <w:rPr>
          <w:rFonts w:ascii="Times New Roman" w:hAnsi="Times New Roman"/>
          <w:color w:val="000000"/>
          <w:sz w:val="24"/>
          <w:u w:val="single"/>
        </w:rPr>
        <w:t>Determination and Dispute</w:t>
      </w:r>
      <w:r>
        <w:rPr>
          <w:rFonts w:ascii="Times New Roman" w:hAnsi="Times New Roman"/>
          <w:color w:val="000000"/>
          <w:sz w:val="24"/>
        </w:rPr>
        <w:t xml:space="preserve">. Fair Market Value shall be determined by the Managing Member (or, if pursuant to </w:t>
      </w:r>
      <w:r>
        <w:rPr>
          <w:rFonts w:ascii="Times New Roman" w:hAnsi="Times New Roman"/>
          <w:color w:val="000000"/>
          <w:sz w:val="24"/>
          <w:u w:val="single"/>
        </w:rPr>
        <w:t>Section 13.3</w:t>
      </w:r>
      <w:r>
        <w:rPr>
          <w:rFonts w:ascii="Times New Roman" w:hAnsi="Times New Roman"/>
          <w:color w:val="000000"/>
          <w:sz w:val="24"/>
        </w:rPr>
        <w:t>, the liquidating trustee) in its good faith judgment in such manner as it deems reasonable and using all factors, information and data deemed to be pertinent. Notwithstanding the foregoing, at the request of the Continuing Member Representative, the Managing Member will retain an investment banking firm of recognized national standing reasonably acceptable to the Continuing Member Representative to determine the Fair Market Value of such Units, assets or consideration.</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XV</w:t>
      </w:r>
      <w:r>
        <w:rPr>
          <w:rFonts w:ascii="Times New Roman" w:hAnsi="Times New Roman"/>
          <w:b/>
          <w:color w:val="000000"/>
          <w:sz w:val="24"/>
        </w:rPr>
        <w:br/>
        <w:br/>
        <w:t>GENERAL PROVISIONS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15.1 </w:t>
      </w:r>
      <w:r>
        <w:rPr>
          <w:rFonts w:ascii="Times New Roman" w:hAnsi="Times New Roman"/>
          <w:color w:val="000000"/>
          <w:sz w:val="24"/>
          <w:u w:val="single"/>
        </w:rPr>
        <w:t>Power of Attorney</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Each holder of Units hereby constitutes and appoints the Managing Member and the liquidating trustee, with full power of substitution, as his, her or its true and lawful agent and attorney-in-fact, with full power and authority in his, her or its name, place and stead, to:</w:t>
      </w:r>
    </w:p>
    <w:p>
      <w:pPr>
        <w:pStyle w:val="TextBody"/>
        <w:bidi w:val="0"/>
        <w:spacing w:before="0" w:after="240"/>
        <w:jc w:val="both"/>
        <w:rPr>
          <w:rFonts w:ascii="Times New Roman" w:hAnsi="Times New Roman"/>
          <w:sz w:val="20"/>
        </w:rPr>
      </w:pPr>
      <w:bookmarkStart w:id="145" w:name="docxtextref466"/>
      <w:bookmarkEnd w:id="145"/>
      <w:r>
        <w:rPr>
          <w:rFonts w:ascii="Times New Roman" w:hAnsi="Times New Roman"/>
          <w:color w:val="000000"/>
          <w:sz w:val="24"/>
        </w:rPr>
        <w:t>(i) execute, swear to, acknowledge, deliver, file and record in the appropriate public offices (A)</w:t>
      </w:r>
      <w:r>
        <w:rPr>
          <w:rFonts w:ascii="Times New Roman" w:hAnsi="Times New Roman"/>
          <w:color w:val="000000"/>
          <w:sz w:val="20"/>
        </w:rPr>
        <w:t xml:space="preserve"> </w:t>
      </w:r>
      <w:r>
        <w:rPr>
          <w:rFonts w:ascii="Times New Roman" w:hAnsi="Times New Roman"/>
          <w:color w:val="000000"/>
          <w:sz w:val="24"/>
        </w:rPr>
        <w:t xml:space="preserve">this Agreement, all certificates and other instruments and all amendments thereof which the Managing Member deems appropriate or necessary to form, qualify, or continue the qualification of, the Company as a limited liability company in the State of California and in all other jurisdictions in which the Company may conduct business or own property; </w:t>
      </w:r>
      <w:bookmarkStart w:id="146" w:name="docxtextref467"/>
      <w:bookmarkEnd w:id="146"/>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all instruments which the Managing Member deems appropriate or necessary to reflect any amendment, change, modification or restatement of this Agreement in accordance with its terms; </w:t>
      </w:r>
      <w:bookmarkStart w:id="147" w:name="docxtextref468"/>
      <w:bookmarkEnd w:id="147"/>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 xml:space="preserve">all conveyances and other instruments or documents which the Managing Member deems appropriate or necessary to reflect the dissolution and winding up of the Company pursuant to the terms of this Agreement, including a certificate of cancellation; and </w:t>
      </w:r>
      <w:bookmarkStart w:id="148" w:name="docxtextref469"/>
      <w:bookmarkEnd w:id="148"/>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 xml:space="preserve">all instruments relating to the admission, withdrawal or substitution of any Member pursuant to </w:t>
      </w:r>
      <w:r>
        <w:rPr>
          <w:rFonts w:ascii="Times New Roman" w:hAnsi="Times New Roman"/>
          <w:color w:val="000000"/>
          <w:sz w:val="24"/>
          <w:u w:val="single"/>
        </w:rPr>
        <w:t>Article X</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Article XI</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sign, execute, swear to and acknowledge all ballots, consents, approvals, waivers, certificates and other instruments appropriate or necessary, in the reasonable judgment of the Managing Member, to evidence, confirm or ratify any vote, consent, approval, agreement or other action which is made or given by such holder of Units hereunder or is consistent with the terms of this Agreement and/or appropriate or necessary (and not inconsistent with the terms of this Agreement), in the reasonable judgment of the Managing Member, to effectuate the terms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For the avoidance of doubt, the foregoing power of attorney does not include the power or authority to vote any Units held by any Member on any matter on which the Members have a right to vote, either at a meeting or by any written consent, as contemplated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foregoing power of attorney is irrevocable and coupled with an interest, and shall survive the death, disability, incapacity, dissolution, bankruptcy, insolvency or termination of any holder of Units and the Transfer of all or any portion of his, her or its Units and shall extend to such holder’s heirs, successors, assigns and personal representatives.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15.2 </w:t>
      </w:r>
      <w:r>
        <w:rPr>
          <w:rFonts w:ascii="Times New Roman" w:hAnsi="Times New Roman"/>
          <w:color w:val="000000"/>
          <w:sz w:val="24"/>
          <w:u w:val="single"/>
        </w:rPr>
        <w:t>Amendments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Managing Member (pursuant to its power of attorney from the holders of Units as provided in </w:t>
      </w:r>
      <w:r>
        <w:rPr>
          <w:rFonts w:ascii="Times New Roman" w:hAnsi="Times New Roman"/>
          <w:color w:val="000000"/>
          <w:sz w:val="24"/>
          <w:u w:val="single"/>
        </w:rPr>
        <w:t>Section 15.1</w:t>
      </w:r>
      <w:r>
        <w:rPr>
          <w:rFonts w:ascii="Times New Roman" w:hAnsi="Times New Roman"/>
          <w:color w:val="000000"/>
          <w:sz w:val="20"/>
        </w:rPr>
        <w:t xml:space="preserve"> </w:t>
      </w:r>
      <w:r>
        <w:rPr>
          <w:rFonts w:ascii="Times New Roman" w:hAnsi="Times New Roman"/>
          <w:color w:val="000000"/>
          <w:sz w:val="24"/>
        </w:rPr>
        <w:t>or otherwise), without the consent of any holder of Units, may amend any provision of this Agreement, and execute, swear to, acknowledge, deliver, file and record whatever documents may be required in connection therewith, to reflect:</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 change in the name of the Company or the location of the principal place of business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admission, substitution, removal or withdrawal or resignation of Members or Assignees in accordance with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a change that does not adversely affect any holder of Units in any material respect in its capacity as an owner of Units and is necessary or desirable to satisfy any requirements, conditions or guidelines contained in any opinion, directive, order, ruling or regulation of any United States federal or state agency or judicial authority or contained in any United States federal or state statute;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amendments contemplated by </w:t>
      </w:r>
      <w:r>
        <w:rPr>
          <w:rFonts w:ascii="Times New Roman" w:hAnsi="Times New Roman"/>
          <w:color w:val="000000"/>
          <w:sz w:val="24"/>
          <w:u w:val="single"/>
        </w:rPr>
        <w:t>Section 3.1(c)</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149" w:name="docxtextref482"/>
      <w:bookmarkEnd w:id="149"/>
      <w:r>
        <w:rPr>
          <w:rFonts w:ascii="Times New Roman" w:hAnsi="Times New Roman"/>
          <w:color w:val="000000"/>
          <w:sz w:val="24"/>
        </w:rPr>
        <w:t xml:space="preserve">(b) Except as provided in </w:t>
      </w:r>
      <w:r>
        <w:rPr>
          <w:rFonts w:ascii="Times New Roman" w:hAnsi="Times New Roman"/>
          <w:color w:val="000000"/>
          <w:sz w:val="24"/>
          <w:u w:val="single"/>
        </w:rPr>
        <w:t>Section 2.2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15.2(a)</w:t>
      </w:r>
      <w:r>
        <w:rPr>
          <w:rFonts w:ascii="Times New Roman" w:hAnsi="Times New Roman"/>
          <w:color w:val="000000"/>
          <w:sz w:val="24"/>
        </w:rPr>
        <w:t>, this Agreement may not be amended or modified except with the consent of the Managing Member. Notwithstanding the preceding sentence, (i)</w:t>
      </w:r>
      <w:r>
        <w:rPr>
          <w:rFonts w:ascii="Times New Roman" w:hAnsi="Times New Roman"/>
          <w:color w:val="000000"/>
          <w:sz w:val="20"/>
        </w:rPr>
        <w:t xml:space="preserve"> </w:t>
      </w:r>
      <w:r>
        <w:rPr>
          <w:rFonts w:ascii="Times New Roman" w:hAnsi="Times New Roman"/>
          <w:color w:val="000000"/>
          <w:sz w:val="24"/>
        </w:rPr>
        <w:t xml:space="preserve">no consent or approval shall be required for the Company to admit a Permitted Transferee as a Member following an Exempt Transfer completed in compliance with this Agreement, and (ii) the Continuing Member Representative must also consent to or approve any amendments or modifications to </w:t>
      </w:r>
      <w:r>
        <w:rPr>
          <w:rFonts w:ascii="Times New Roman" w:hAnsi="Times New Roman"/>
          <w:color w:val="000000"/>
          <w:sz w:val="24"/>
          <w:u w:val="single"/>
        </w:rPr>
        <w:t>Article IV</w:t>
      </w:r>
      <w:r>
        <w:rPr>
          <w:rFonts w:ascii="Times New Roman" w:hAnsi="Times New Roman"/>
          <w:color w:val="000000"/>
          <w:sz w:val="24"/>
        </w:rPr>
        <w:t xml:space="preserve">, </w:t>
      </w:r>
      <w:r>
        <w:rPr>
          <w:rFonts w:ascii="Times New Roman" w:hAnsi="Times New Roman"/>
          <w:color w:val="000000"/>
          <w:sz w:val="24"/>
          <w:u w:val="single"/>
        </w:rPr>
        <w:t>Section 6.1</w:t>
      </w:r>
      <w:r>
        <w:rPr>
          <w:rFonts w:ascii="Times New Roman" w:hAnsi="Times New Roman"/>
          <w:color w:val="000000"/>
          <w:sz w:val="24"/>
        </w:rPr>
        <w:t xml:space="preserve">, </w:t>
      </w:r>
      <w:r>
        <w:rPr>
          <w:rFonts w:ascii="Times New Roman" w:hAnsi="Times New Roman"/>
          <w:color w:val="000000"/>
          <w:sz w:val="24"/>
          <w:u w:val="single"/>
        </w:rPr>
        <w:t>Section 9.1</w:t>
      </w:r>
      <w:r>
        <w:rPr>
          <w:rFonts w:ascii="Times New Roman" w:hAnsi="Times New Roman"/>
          <w:color w:val="000000"/>
          <w:sz w:val="24"/>
        </w:rPr>
        <w:t xml:space="preserve">, </w:t>
      </w:r>
      <w:r>
        <w:rPr>
          <w:rFonts w:ascii="Times New Roman" w:hAnsi="Times New Roman"/>
          <w:color w:val="000000"/>
          <w:sz w:val="24"/>
          <w:u w:val="single"/>
        </w:rPr>
        <w:t>Article XII</w:t>
      </w:r>
      <w:r>
        <w:rPr>
          <w:rFonts w:ascii="Times New Roman" w:hAnsi="Times New Roman"/>
          <w:color w:val="000000"/>
          <w:sz w:val="24"/>
        </w:rPr>
        <w:t xml:space="preserve">, </w:t>
      </w:r>
      <w:r>
        <w:rPr>
          <w:rFonts w:ascii="Times New Roman" w:hAnsi="Times New Roman"/>
          <w:color w:val="000000"/>
          <w:sz w:val="24"/>
          <w:u w:val="single"/>
        </w:rPr>
        <w:t>Section 13.2</w:t>
      </w:r>
      <w:r>
        <w:rPr>
          <w:rFonts w:ascii="Times New Roman" w:hAnsi="Times New Roman"/>
          <w:color w:val="000000"/>
          <w:sz w:val="24"/>
        </w:rPr>
        <w:t xml:space="preserve">, this </w:t>
      </w:r>
      <w:r>
        <w:rPr>
          <w:rFonts w:ascii="Times New Roman" w:hAnsi="Times New Roman"/>
          <w:color w:val="000000"/>
          <w:sz w:val="24"/>
          <w:u w:val="single"/>
        </w:rPr>
        <w:t>Section 15.2</w:t>
      </w:r>
      <w:r>
        <w:rPr>
          <w:rFonts w:ascii="Times New Roman" w:hAnsi="Times New Roman"/>
          <w:color w:val="000000"/>
          <w:sz w:val="20"/>
        </w:rPr>
        <w:t xml:space="preserve"> </w:t>
      </w:r>
      <w:r>
        <w:rPr>
          <w:rFonts w:ascii="Times New Roman" w:hAnsi="Times New Roman"/>
          <w:color w:val="000000"/>
          <w:sz w:val="24"/>
        </w:rPr>
        <w:t xml:space="preserve">or related definitions or any other amendments or modifications that affect the rights granted to Continuing Members in such sections in any material respect, including, without limitation, changes to the number of shares of Class A Common Stock issued upon an Exchange, either through an amendment to the definition of “Exchange Rate” or otherwise, or that otherwise increases the obligations or decreases the benefits to the Continuing Members. Notwithstanding the foregoing, any amendment which would materially and adversely affect the rights or duties of a Member on a discriminatory and non-pro rata basis shall require the consent of such Member, other than those actions set forth in </w:t>
      </w:r>
      <w:r>
        <w:rPr>
          <w:rFonts w:ascii="Times New Roman" w:hAnsi="Times New Roman"/>
          <w:color w:val="000000"/>
          <w:sz w:val="24"/>
          <w:u w:val="single"/>
        </w:rPr>
        <w:t>Section 15.2(a)</w:t>
      </w:r>
      <w:r>
        <w:rPr>
          <w:rFonts w:ascii="Times New Roman" w:hAnsi="Times New Roman"/>
          <w:color w:val="000000"/>
          <w:sz w:val="20"/>
        </w:rPr>
        <w:t xml:space="preserve"> </w:t>
      </w:r>
      <w:r>
        <w:rPr>
          <w:rFonts w:ascii="Times New Roman" w:hAnsi="Times New Roman"/>
          <w:color w:val="000000"/>
          <w:sz w:val="24"/>
        </w:rPr>
        <w:t xml:space="preserve">above. In addition, the amendment of any specific approval, consent, voting right, or transfer rights of a specified Member shall require the approval of such Member,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such Member holds the number of Units, as applicable, required to exercise such rights. Any amendment or modification effected in accordance with this </w:t>
      </w:r>
      <w:r>
        <w:rPr>
          <w:rFonts w:ascii="Times New Roman" w:hAnsi="Times New Roman"/>
          <w:color w:val="000000"/>
          <w:sz w:val="24"/>
          <w:u w:val="single"/>
        </w:rPr>
        <w:t>Section 15.2(b)</w:t>
      </w:r>
      <w:r>
        <w:rPr>
          <w:rFonts w:ascii="Times New Roman" w:hAnsi="Times New Roman"/>
          <w:color w:val="000000"/>
          <w:sz w:val="20"/>
        </w:rPr>
        <w:t xml:space="preserve"> </w:t>
      </w:r>
      <w:r>
        <w:rPr>
          <w:rFonts w:ascii="Times New Roman" w:hAnsi="Times New Roman"/>
          <w:color w:val="000000"/>
          <w:sz w:val="24"/>
        </w:rPr>
        <w:t>shall be effective, in accordance with its terms, with respect to the rights and obligations of and binding upon all Members. For the avoidance of doubt, without any action or requirement of consent by any Member, the Company shall update the books and records of the Company to remove a Member’s name therefrom once such Member no longer holds any Equity Securities, following which such Person shall cease to be a “Member” or have any rights or obligations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15.3 </w:t>
      </w:r>
      <w:r>
        <w:rPr>
          <w:rFonts w:ascii="Times New Roman" w:hAnsi="Times New Roman"/>
          <w:color w:val="000000"/>
          <w:sz w:val="24"/>
          <w:u w:val="single"/>
        </w:rPr>
        <w:t>Title to Company Assets</w:t>
      </w:r>
      <w:r>
        <w:rPr>
          <w:rFonts w:ascii="Times New Roman" w:hAnsi="Times New Roman"/>
          <w:color w:val="000000"/>
          <w:sz w:val="24"/>
        </w:rPr>
        <w:t>. The Company assets shall be deemed to be owned by the Company as an entity, and no holder of Units, individually or collectively, shall have any ownership interest in such Company assets or any portion thereof. The Managing Member hereby declares and warrants that any Company assets for which legal title is held in its name or the name of any nominee shall be held in trust by the Managing Member or such nominee for the use and benefit of the Company in accordance with the provisions of this Agreement. All Company assets shall be recorded as the property of the Company on its books and records, irrespective of the name in which legal title to such Company assets is held.</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15.4 </w:t>
      </w:r>
      <w:r>
        <w:rPr>
          <w:rFonts w:ascii="Times New Roman" w:hAnsi="Times New Roman"/>
          <w:color w:val="000000"/>
          <w:sz w:val="24"/>
          <w:u w:val="single"/>
        </w:rPr>
        <w:t>Addresses and Notices</w:t>
      </w:r>
      <w:r>
        <w:rPr>
          <w:rFonts w:ascii="Times New Roman" w:hAnsi="Times New Roman"/>
          <w:color w:val="000000"/>
          <w:sz w:val="24"/>
        </w:rPr>
        <w:t>. Any notice provided for in this Agreement will be in writing and will be either personally delivered, or received by certified mail, return receipt requested, sent by reputable overnight courier service (charges prepaid) or electronic mail to the Company at the address set forth below and to any other recipient and to any holder of Units at such address as indicated by the Company’s records, or at such address or to the attention of such other person as the recipient party has specified by prior written notice to the sending party. Notices will be deemed to have been given hereunder when delivered personally or sent by electronic mail (provided confirmation of transmission is received), three days after deposit in the U.S. mail and one day after deposit with a reputable overnight courier service. The Company’s address is:</w:t>
      </w:r>
    </w:p>
    <w:p>
      <w:pPr>
        <w:pStyle w:val="TextBody"/>
        <w:bidi w:val="0"/>
        <w:jc w:val="left"/>
        <w:rPr>
          <w:rFonts w:ascii="Times New Roman" w:hAnsi="Times New Roman"/>
          <w:sz w:val="20"/>
        </w:rPr>
      </w:pPr>
      <w:r>
        <w:rPr>
          <w:rFonts w:ascii="Times New Roman" w:hAnsi="Times New Roman"/>
          <w:color w:val="000000"/>
          <w:sz w:val="24"/>
          <w:u w:val="single"/>
        </w:rPr>
        <w:t>To the Company</w:t>
      </w:r>
      <w:r>
        <w:rPr>
          <w:rFonts w:ascii="Times New Roman" w:hAnsi="Times New Roman"/>
          <w:color w:val="000000"/>
          <w:sz w:val="24"/>
        </w:rPr>
        <w:t>:</w:t>
        <w:br/>
        <w:br/>
        <w:t>Rani Therapeutics, LLC</w:t>
      </w:r>
    </w:p>
    <w:p>
      <w:pPr>
        <w:pStyle w:val="TextBody"/>
        <w:bidi w:val="0"/>
        <w:jc w:val="left"/>
        <w:rPr>
          <w:rFonts w:ascii="Times New Roman" w:hAnsi="Times New Roman"/>
          <w:color w:val="000000"/>
          <w:sz w:val="24"/>
        </w:rPr>
      </w:pPr>
      <w:r>
        <w:rPr>
          <w:rFonts w:ascii="Times New Roman" w:hAnsi="Times New Roman"/>
          <w:color w:val="000000"/>
          <w:sz w:val="24"/>
        </w:rPr>
        <w:t>2051 Ringwood Avenue</w:t>
      </w:r>
    </w:p>
    <w:p>
      <w:pPr>
        <w:pStyle w:val="TextBody"/>
        <w:bidi w:val="0"/>
        <w:jc w:val="left"/>
        <w:rPr>
          <w:rFonts w:ascii="Times New Roman" w:hAnsi="Times New Roman"/>
          <w:color w:val="000000"/>
          <w:sz w:val="24"/>
        </w:rPr>
      </w:pPr>
      <w:r>
        <w:rPr>
          <w:rFonts w:ascii="Times New Roman" w:hAnsi="Times New Roman"/>
          <w:color w:val="000000"/>
          <w:sz w:val="24"/>
        </w:rPr>
        <w:t>San Jose, CA 95131</w:t>
      </w:r>
    </w:p>
    <w:p>
      <w:pPr>
        <w:pStyle w:val="TextBody"/>
        <w:bidi w:val="0"/>
        <w:jc w:val="left"/>
        <w:rPr>
          <w:rFonts w:ascii="Times New Roman" w:hAnsi="Times New Roman"/>
          <w:color w:val="000000"/>
          <w:sz w:val="24"/>
        </w:rPr>
      </w:pPr>
      <w:r>
        <w:rPr>
          <w:rFonts w:ascii="Times New Roman" w:hAnsi="Times New Roman"/>
          <w:color w:val="000000"/>
          <w:sz w:val="24"/>
        </w:rPr>
        <w:t>Email Address: svai@ranitherapeutics.com</w:t>
      </w:r>
    </w:p>
    <w:p>
      <w:pPr>
        <w:pStyle w:val="TextBody"/>
        <w:bidi w:val="0"/>
        <w:jc w:val="left"/>
        <w:rPr>
          <w:rFonts w:ascii="Times New Roman" w:hAnsi="Times New Roman"/>
          <w:sz w:val="20"/>
        </w:rPr>
      </w:pPr>
      <w:r>
        <w:rPr>
          <w:rFonts w:ascii="Times New Roman" w:hAnsi="Times New Roman"/>
          <w:color w:val="000000"/>
          <w:sz w:val="24"/>
        </w:rPr>
        <w:t>Attention: Chief Financial Officer</w:t>
        <w:br/>
        <w:br/>
      </w:r>
      <w:r>
        <w:rPr>
          <w:rFonts w:ascii="Times New Roman" w:hAnsi="Times New Roman"/>
          <w:color w:val="000000"/>
          <w:sz w:val="24"/>
          <w:u w:val="single"/>
        </w:rPr>
        <w:t>To the Managing Member</w:t>
      </w:r>
      <w:r>
        <w:rPr>
          <w:rFonts w:ascii="Times New Roman" w:hAnsi="Times New Roman"/>
          <w:color w:val="000000"/>
          <w:sz w:val="24"/>
        </w:rPr>
        <w:t>:</w:t>
        <w:br/>
        <w:br/>
        <w:t>Rani Therapeutics Holdings, Inc.</w:t>
      </w:r>
    </w:p>
    <w:p>
      <w:pPr>
        <w:pStyle w:val="TextBody"/>
        <w:bidi w:val="0"/>
        <w:jc w:val="left"/>
        <w:rPr>
          <w:rFonts w:ascii="Times New Roman" w:hAnsi="Times New Roman"/>
          <w:color w:val="000000"/>
          <w:sz w:val="24"/>
        </w:rPr>
      </w:pPr>
      <w:r>
        <w:rPr>
          <w:rFonts w:ascii="Times New Roman" w:hAnsi="Times New Roman"/>
          <w:color w:val="000000"/>
          <w:sz w:val="24"/>
        </w:rPr>
        <w:t>2051 Ringwood Avenue</w:t>
      </w:r>
    </w:p>
    <w:p>
      <w:pPr>
        <w:pStyle w:val="TextBody"/>
        <w:bidi w:val="0"/>
        <w:jc w:val="left"/>
        <w:rPr>
          <w:rFonts w:ascii="Times New Roman" w:hAnsi="Times New Roman"/>
          <w:color w:val="000000"/>
          <w:sz w:val="24"/>
        </w:rPr>
      </w:pPr>
      <w:r>
        <w:rPr>
          <w:rFonts w:ascii="Times New Roman" w:hAnsi="Times New Roman"/>
          <w:color w:val="000000"/>
          <w:sz w:val="24"/>
        </w:rPr>
        <w:t>San Jose, CA 95131</w:t>
      </w:r>
    </w:p>
    <w:p>
      <w:pPr>
        <w:pStyle w:val="TextBody"/>
        <w:bidi w:val="0"/>
        <w:jc w:val="left"/>
        <w:rPr>
          <w:rFonts w:ascii="Times New Roman" w:hAnsi="Times New Roman"/>
          <w:color w:val="000000"/>
          <w:sz w:val="24"/>
        </w:rPr>
      </w:pPr>
      <w:r>
        <w:rPr>
          <w:rFonts w:ascii="Times New Roman" w:hAnsi="Times New Roman"/>
          <w:color w:val="000000"/>
          <w:sz w:val="24"/>
        </w:rPr>
        <w:t>Email Address: svai@ranitherapeutics.com</w:t>
      </w:r>
    </w:p>
    <w:p>
      <w:pPr>
        <w:pStyle w:val="TextBody"/>
        <w:bidi w:val="0"/>
        <w:jc w:val="left"/>
        <w:rPr>
          <w:rFonts w:ascii="Times New Roman" w:hAnsi="Times New Roman"/>
          <w:color w:val="000000"/>
          <w:sz w:val="24"/>
        </w:rPr>
      </w:pPr>
      <w:r>
        <w:rPr>
          <w:rFonts w:ascii="Times New Roman" w:hAnsi="Times New Roman"/>
          <w:color w:val="000000"/>
          <w:sz w:val="24"/>
        </w:rPr>
        <w:t xml:space="preserve">Attention: Chief Financial Officer </w:t>
        <w:br/>
        <w:br/>
        <w:t>in each case, with a copy (which shall not constitute written notice) to:</w:t>
        <w:br/>
        <w:br/>
        <w:t>Cooley LLP</w:t>
      </w:r>
    </w:p>
    <w:p>
      <w:pPr>
        <w:pStyle w:val="TextBody"/>
        <w:bidi w:val="0"/>
        <w:jc w:val="left"/>
        <w:rPr>
          <w:rFonts w:ascii="Times New Roman" w:hAnsi="Times New Roman"/>
          <w:color w:val="000000"/>
          <w:sz w:val="24"/>
        </w:rPr>
      </w:pPr>
      <w:r>
        <w:rPr>
          <w:rFonts w:ascii="Times New Roman" w:hAnsi="Times New Roman"/>
          <w:color w:val="000000"/>
          <w:sz w:val="24"/>
        </w:rPr>
        <w:t>3175 Hanover Street</w:t>
      </w:r>
    </w:p>
    <w:p>
      <w:pPr>
        <w:pStyle w:val="TextBody"/>
        <w:bidi w:val="0"/>
        <w:jc w:val="left"/>
        <w:rPr>
          <w:rFonts w:ascii="Times New Roman" w:hAnsi="Times New Roman"/>
          <w:sz w:val="20"/>
        </w:rPr>
      </w:pPr>
      <w:r>
        <w:rPr>
          <w:rFonts w:ascii="Times New Roman" w:hAnsi="Times New Roman"/>
          <w:color w:val="000000"/>
          <w:sz w:val="24"/>
        </w:rPr>
        <w:t>Palo Alto, CA 94304-1130</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Email Address: jseidenfeld@cooley.com</w:t>
      </w:r>
    </w:p>
    <w:p>
      <w:pPr>
        <w:pStyle w:val="TextBody"/>
        <w:bidi w:val="0"/>
        <w:jc w:val="left"/>
        <w:rPr>
          <w:rFonts w:ascii="Times New Roman" w:hAnsi="Times New Roman"/>
          <w:color w:val="000000"/>
          <w:sz w:val="24"/>
        </w:rPr>
      </w:pPr>
      <w:r>
        <w:rPr>
          <w:rFonts w:ascii="Times New Roman" w:hAnsi="Times New Roman"/>
          <w:color w:val="000000"/>
          <w:sz w:val="24"/>
        </w:rPr>
        <w:t>Attention: Josh Seidenfeld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15.5 </w:t>
      </w:r>
      <w:r>
        <w:rPr>
          <w:rFonts w:ascii="Times New Roman" w:hAnsi="Times New Roman"/>
          <w:color w:val="000000"/>
          <w:sz w:val="24"/>
          <w:u w:val="single"/>
        </w:rPr>
        <w:t>Binding Effect</w:t>
      </w:r>
      <w:r>
        <w:rPr>
          <w:rFonts w:ascii="Times New Roman" w:hAnsi="Times New Roman"/>
          <w:color w:val="000000"/>
          <w:sz w:val="24"/>
        </w:rPr>
        <w:t>. This Agreement shall be binding upon and inure to the benefit of the parties hereto and their heirs, executors, administrators, successors, legal representatives and permitted assigns.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15.6 </w:t>
      </w:r>
      <w:r>
        <w:rPr>
          <w:rFonts w:ascii="Times New Roman" w:hAnsi="Times New Roman"/>
          <w:color w:val="000000"/>
          <w:sz w:val="24"/>
          <w:u w:val="single"/>
        </w:rPr>
        <w:t>Creditors</w:t>
      </w:r>
      <w:r>
        <w:rPr>
          <w:rFonts w:ascii="Times New Roman" w:hAnsi="Times New Roman"/>
          <w:color w:val="000000"/>
          <w:sz w:val="24"/>
        </w:rPr>
        <w:t>.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Company Profits, Losses, Distributions, capital or property other than as a secured creditor.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15.7 </w:t>
      </w:r>
      <w:r>
        <w:rPr>
          <w:rFonts w:ascii="Times New Roman" w:hAnsi="Times New Roman"/>
          <w:color w:val="000000"/>
          <w:sz w:val="24"/>
          <w:u w:val="single"/>
        </w:rPr>
        <w:t>Waiver</w:t>
      </w:r>
      <w:r>
        <w:rPr>
          <w:rFonts w:ascii="Times New Roman" w:hAnsi="Times New Roman"/>
          <w:color w:val="000000"/>
          <w:sz w:val="24"/>
        </w:rPr>
        <w:t>. No failure by any party to insist upon the strict performance of any covenant, duty, agreement or condition of this Agreement or to exercise any right or remedy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consequent upon a breach thereof shall constitute a waiver of any such breach or any other covenant, duty, agreement or condition.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15.8 </w:t>
      </w:r>
      <w:r>
        <w:rPr>
          <w:rFonts w:ascii="Times New Roman" w:hAnsi="Times New Roman"/>
          <w:color w:val="000000"/>
          <w:sz w:val="24"/>
          <w:u w:val="single"/>
        </w:rPr>
        <w:t>Counterparts</w:t>
      </w:r>
      <w:r>
        <w:rPr>
          <w:rFonts w:ascii="Times New Roman" w:hAnsi="Times New Roman"/>
          <w:color w:val="000000"/>
          <w:sz w:val="24"/>
        </w:rPr>
        <w:t>. This Agreement may be executed in separate counterparts, each of which will be an original and all of which together shall constitute one and the same agreement binding on all the parties hereto. Counterparts may be delivered via facsimile, electronic mail (including pdf or any electronic signature complying with the U.S. federal ESIGN Act of 2000, the Uniform Electronic Transactions Act or other applicable law) or other transmission method and any counterpart so delivered shall be deemed to have been duly and validly delivered and be valid and effective for all purposes.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15.9 </w:t>
      </w:r>
      <w:r>
        <w:rPr>
          <w:rFonts w:ascii="Times New Roman" w:hAnsi="Times New Roman"/>
          <w:color w:val="000000"/>
          <w:sz w:val="24"/>
          <w:u w:val="single"/>
        </w:rPr>
        <w:t>Applicable Law; Waiver of Jury Trial</w:t>
      </w:r>
      <w:r>
        <w:rPr>
          <w:rFonts w:ascii="Times New Roman" w:hAnsi="Times New Roman"/>
          <w:color w:val="000000"/>
          <w:sz w:val="24"/>
        </w:rPr>
        <w:t xml:space="preserve">. This Agreement shall be governed by, and construed in accordance with, the laws of the State of California, without giving effect to any choice of law or conflict of law rules or provisions (whether of the State of California or any other jurisdiction) that would cause the application of the laws of any jurisdiction other than the State of California. Any dispute relating hereto shall be heard in the state or federal courts of California, and the parties agree to exclusive jurisdiction and venue therein and waive, to the fullest extent permitted by law, any objection based on venue or </w:t>
      </w:r>
      <w:r>
        <w:rPr>
          <w:rFonts w:ascii="Times New Roman" w:hAnsi="Times New Roman"/>
          <w:i/>
          <w:color w:val="000000"/>
          <w:sz w:val="24"/>
        </w:rPr>
        <w:t>forum non conveniens</w:t>
      </w:r>
      <w:r>
        <w:rPr>
          <w:rFonts w:ascii="Times New Roman" w:hAnsi="Times New Roman"/>
          <w:color w:val="000000"/>
          <w:sz w:val="20"/>
        </w:rPr>
        <w:t xml:space="preserve"> </w:t>
      </w:r>
      <w:r>
        <w:rPr>
          <w:rFonts w:ascii="Times New Roman" w:hAnsi="Times New Roman"/>
          <w:color w:val="000000"/>
          <w:sz w:val="24"/>
        </w:rPr>
        <w:t xml:space="preserve">with respect to any action instituted therein. The parties hereto hereby consent to service being made through the notice procedures set forth in </w:t>
      </w:r>
      <w:r>
        <w:rPr>
          <w:rFonts w:ascii="Times New Roman" w:hAnsi="Times New Roman"/>
          <w:color w:val="000000"/>
          <w:sz w:val="24"/>
          <w:u w:val="single"/>
        </w:rPr>
        <w:t>Section 15.4</w:t>
      </w:r>
      <w:r>
        <w:rPr>
          <w:rFonts w:ascii="Times New Roman" w:hAnsi="Times New Roman"/>
          <w:color w:val="000000"/>
          <w:sz w:val="20"/>
        </w:rPr>
        <w:t xml:space="preserve"> </w:t>
      </w:r>
      <w:r>
        <w:rPr>
          <w:rFonts w:ascii="Times New Roman" w:hAnsi="Times New Roman"/>
          <w:color w:val="000000"/>
          <w:sz w:val="24"/>
        </w:rPr>
        <w:t>and irrevocably submit to the jurisdiction of the aforesaid courts. THE PARTIES HERETO HEREBY IRREVOCABLY WAIVE, TO THE FULLEST EXTENT PERMITTED BY LAW, ANY AND ALL RIGHT TO TRIAL BY JURY IN ANY LEGAL PROCEEDING ARISING OUT OF OR RELATED TO THIS AGREEMENT OR THE TRANSACTIONS CONTEMPLATED HEREBY.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15.10 </w:t>
      </w:r>
      <w:r>
        <w:rPr>
          <w:rFonts w:ascii="Times New Roman" w:hAnsi="Times New Roman"/>
          <w:color w:val="000000"/>
          <w:sz w:val="24"/>
          <w:u w:val="single"/>
        </w:rPr>
        <w:t>Severability</w:t>
      </w:r>
      <w:r>
        <w:rPr>
          <w:rFonts w:ascii="Times New Roman" w:hAnsi="Times New Roman"/>
          <w:color w:val="000000"/>
          <w:sz w:val="24"/>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15.11 </w:t>
      </w:r>
      <w:r>
        <w:rPr>
          <w:rFonts w:ascii="Times New Roman" w:hAnsi="Times New Roman"/>
          <w:color w:val="000000"/>
          <w:sz w:val="24"/>
          <w:u w:val="single"/>
        </w:rPr>
        <w:t>Further Action</w:t>
      </w:r>
      <w:r>
        <w:rPr>
          <w:rFonts w:ascii="Times New Roman" w:hAnsi="Times New Roman"/>
          <w:color w:val="000000"/>
          <w:sz w:val="24"/>
        </w:rPr>
        <w:t>. The parties shall use commercially reasonable efforts to execute and deliver all documents, provide all information and take or refrain from taking such actions as may be necessary or appropriate to achieve the purposes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15.12 </w:t>
      </w:r>
      <w:r>
        <w:rPr>
          <w:rFonts w:ascii="Times New Roman" w:hAnsi="Times New Roman"/>
          <w:color w:val="000000"/>
          <w:sz w:val="24"/>
          <w:u w:val="single"/>
        </w:rPr>
        <w:t>Delivery by Facsimile</w:t>
      </w:r>
      <w:r>
        <w:rPr>
          <w:rFonts w:ascii="Times New Roman" w:hAnsi="Times New Roman"/>
          <w:color w:val="000000"/>
          <w:sz w:val="24"/>
        </w:rPr>
        <w:t>. This Agreement and any signed agreement or instrument entered into in connection with this Agreement or contemplated hereby, and any amendments hereto or thereto, to the extent signed and delivered by means of a facsimile machine or electronic transmission (i.e., in portable document format),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to deliver a signature or the fact that any signature or agreement or instrument was transmitted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communicated through the use of a facsimile machine or electronic transmission as a defense to the formation of a contract and each such party forever waives any such defense.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15.13 </w:t>
      </w:r>
      <w:r>
        <w:rPr>
          <w:rFonts w:ascii="Times New Roman" w:hAnsi="Times New Roman"/>
          <w:color w:val="000000"/>
          <w:sz w:val="24"/>
          <w:u w:val="single"/>
        </w:rPr>
        <w:t>Offset</w:t>
      </w:r>
      <w:r>
        <w:rPr>
          <w:rFonts w:ascii="Times New Roman" w:hAnsi="Times New Roman"/>
          <w:color w:val="000000"/>
          <w:sz w:val="24"/>
        </w:rPr>
        <w:t>. Whenever the Company is to pay any sum to any holder of Units or any Affiliate or related person thereof, any undisputed amounts that such holder of Units or such Affiliate or related person owes to the Company (such lack of dispute to be evidenced by written confirmation of such by such holder of Units or related person thereof) may be deducted from that sum before payment.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15.14 </w:t>
      </w:r>
      <w:r>
        <w:rPr>
          <w:rFonts w:ascii="Times New Roman" w:hAnsi="Times New Roman"/>
          <w:color w:val="000000"/>
          <w:sz w:val="24"/>
          <w:u w:val="single"/>
        </w:rPr>
        <w:t>Entire Agreement</w:t>
      </w:r>
      <w:r>
        <w:rPr>
          <w:rFonts w:ascii="Times New Roman" w:hAnsi="Times New Roman"/>
          <w:color w:val="000000"/>
          <w:sz w:val="24"/>
        </w:rPr>
        <w:t>This Agreement, those documents expressly referred to herein and other documents of even date herewith embody the complete agreement and understanding among the parties and supersede and preempt any prior understandings, agreements or representations by or among the parties, written or oral (including the Prior Agreement), which may have related to the subject matter hereof in any way.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15.15 </w:t>
      </w:r>
      <w:r>
        <w:rPr>
          <w:rFonts w:ascii="Times New Roman" w:hAnsi="Times New Roman"/>
          <w:color w:val="000000"/>
          <w:sz w:val="24"/>
          <w:u w:val="single"/>
        </w:rPr>
        <w:t>Remedies</w:t>
      </w:r>
      <w:r>
        <w:rPr>
          <w:rFonts w:ascii="Times New Roman" w:hAnsi="Times New Roman"/>
          <w:color w:val="000000"/>
          <w:sz w:val="24"/>
        </w:rPr>
        <w:t>. Each holder of Units shall have all rights and remedies set forth in this Agreement and all rights and remedies which such Person has been granted at any time under any other agreement or contract and all of the rights which such Person has under any law. Any Person having any rights under any provision of this Agreement or any other agreements contemplated hereby shall be entitled to seek to enforce such rights specifically (without posting a bond or other security), to recover damages by reason of any breach of any provision of this Agreement and to exercise all other rights granted by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15.16 </w:t>
      </w:r>
      <w:r>
        <w:rPr>
          <w:rFonts w:ascii="Times New Roman" w:hAnsi="Times New Roman"/>
          <w:color w:val="000000"/>
          <w:sz w:val="24"/>
          <w:u w:val="single"/>
        </w:rPr>
        <w:t>Descriptive Headings; Interpretation</w:t>
      </w:r>
      <w:r>
        <w:rPr>
          <w:rFonts w:ascii="Times New Roman" w:hAnsi="Times New Roman"/>
          <w:color w:val="000000"/>
          <w:sz w:val="24"/>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Wherever required by the context, references to a Fiscal Year shall refer to a portion thereof. The use of the words “or,” “either” and “any” shall not be exclusive. The parties hereto have participated jointly in the negotiation and drafting of this Agreement. In the event an ambiguity or question of intent or interpretation arises, to the fullest extent permitted by law,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15.17 </w:t>
      </w:r>
      <w:r>
        <w:rPr>
          <w:rFonts w:ascii="Times New Roman" w:hAnsi="Times New Roman"/>
          <w:color w:val="000000"/>
          <w:sz w:val="24"/>
          <w:u w:val="single"/>
        </w:rPr>
        <w:t>Spousal Consent</w:t>
      </w:r>
      <w:r>
        <w:rPr>
          <w:rFonts w:ascii="Times New Roman" w:hAnsi="Times New Roman"/>
          <w:color w:val="000000"/>
          <w:sz w:val="24"/>
        </w:rPr>
        <w:t>. Each Member who is married severally represents that true and complete copies of this Agreement and all documents to be executed by such Member hereunder have been furnished to his or her spouse; represents and warrants to the Company and to the other Members that such spouse has read this Agreement and all related documents applicable to such Member, is familiar with each of their terms, and has agreed to be bound to the obligations of such Member hereunder and thereunder.</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 * * *</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IN WITNESS WHEREOF, </w:t>
      </w:r>
      <w:r>
        <w:rPr>
          <w:rFonts w:ascii="Times New Roman" w:hAnsi="Times New Roman"/>
          <w:color w:val="000000"/>
          <w:sz w:val="24"/>
        </w:rPr>
        <w:t>the undersigned have executed this Sixth Amended and Restated Limited Liability Company Agreement as of the date first written above.</w:t>
      </w:r>
    </w:p>
    <w:p>
      <w:pPr>
        <w:pStyle w:val="TextBody"/>
        <w:bidi w:val="0"/>
        <w:jc w:val="left"/>
        <w:rPr/>
      </w:pPr>
      <w:r>
        <w:rPr/>
        <w:t> </w:t>
      </w:r>
    </w:p>
    <w:tbl>
      <w:tblPr>
        <w:tblW w:w="4890" w:type="dxa"/>
        <w:jc w:val="left"/>
        <w:tblInd w:w="0" w:type="dxa"/>
        <w:tblLayout w:type="fixed"/>
        <w:tblCellMar>
          <w:top w:w="28" w:type="dxa"/>
          <w:left w:w="28" w:type="dxa"/>
          <w:bottom w:w="28" w:type="dxa"/>
          <w:right w:w="28" w:type="dxa"/>
        </w:tblCellMar>
      </w:tblPr>
      <w:tblGrid>
        <w:gridCol w:w="663"/>
        <w:gridCol w:w="4227"/>
      </w:tblGrid>
      <w:tr>
        <w:trPr/>
        <w:tc>
          <w:tcPr>
            <w:tcW w:w="663" w:type="dxa"/>
            <w:tcBorders/>
            <w:vAlign w:val="center"/>
          </w:tcPr>
          <w:p>
            <w:pPr>
              <w:pStyle w:val="TableContents"/>
              <w:bidi w:val="0"/>
              <w:spacing w:before="0" w:after="283"/>
              <w:jc w:val="left"/>
              <w:rPr>
                <w:sz w:val="4"/>
                <w:szCs w:val="4"/>
              </w:rPr>
            </w:pPr>
            <w:r>
              <w:rPr>
                <w:sz w:val="4"/>
                <w:szCs w:val="4"/>
              </w:rPr>
            </w:r>
          </w:p>
        </w:tc>
        <w:tc>
          <w:tcPr>
            <w:tcW w:w="4227" w:type="dxa"/>
            <w:tcBorders/>
            <w:vAlign w:val="center"/>
          </w:tcPr>
          <w:p>
            <w:pPr>
              <w:pStyle w:val="TableContents"/>
              <w:bidi w:val="0"/>
              <w:spacing w:before="0" w:after="283"/>
              <w:jc w:val="left"/>
              <w:rPr>
                <w:sz w:val="4"/>
                <w:szCs w:val="4"/>
              </w:rPr>
            </w:pPr>
            <w:r>
              <w:rPr>
                <w:sz w:val="4"/>
                <w:szCs w:val="4"/>
              </w:rPr>
            </w:r>
          </w:p>
        </w:tc>
      </w:tr>
      <w:tr>
        <w:trPr/>
        <w:tc>
          <w:tcPr>
            <w:tcW w:w="48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RANI THERAPEUTICS HOLDINGS, INC.</w:t>
            </w:r>
            <w:r>
              <w:rPr>
                <w:rFonts w:ascii="Times New Roman" w:hAnsi="Times New Roman"/>
                <w:color w:val="000000"/>
                <w:sz w:val="24"/>
              </w:rPr>
              <w:t xml:space="preserve">, </w:t>
            </w:r>
          </w:p>
        </w:tc>
      </w:tr>
      <w:tr>
        <w:trPr/>
        <w:tc>
          <w:tcPr>
            <w:tcW w:w="48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4227"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42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Talat Imran</w:t>
            </w:r>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42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IN WITNESS WHEREOF, </w:t>
      </w:r>
      <w:r>
        <w:rPr>
          <w:rFonts w:ascii="Times New Roman" w:hAnsi="Times New Roman"/>
          <w:color w:val="000000"/>
          <w:sz w:val="24"/>
        </w:rPr>
        <w:t>the undersigned have executed this Sixth Amended and Restated Limited Liability Company Agreement as of the date first written above.</w:t>
      </w:r>
    </w:p>
    <w:p>
      <w:pPr>
        <w:pStyle w:val="TextBody"/>
        <w:bidi w:val="0"/>
        <w:spacing w:before="0" w:after="240"/>
        <w:jc w:val="both"/>
        <w:rPr/>
      </w:pPr>
      <w:r>
        <w:rPr/>
        <w:t> </w:t>
      </w:r>
    </w:p>
    <w:tbl>
      <w:tblPr>
        <w:tblW w:w="2460" w:type="dxa"/>
        <w:jc w:val="left"/>
        <w:tblInd w:w="0" w:type="dxa"/>
        <w:tblLayout w:type="fixed"/>
        <w:tblCellMar>
          <w:top w:w="28" w:type="dxa"/>
          <w:left w:w="28" w:type="dxa"/>
          <w:bottom w:w="28" w:type="dxa"/>
          <w:right w:w="28" w:type="dxa"/>
        </w:tblCellMar>
      </w:tblPr>
      <w:tblGrid>
        <w:gridCol w:w="1671"/>
        <w:gridCol w:w="789"/>
      </w:tblGrid>
      <w:tr>
        <w:trPr/>
        <w:tc>
          <w:tcPr>
            <w:tcW w:w="167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4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MEMBER:</w:t>
            </w:r>
          </w:p>
        </w:tc>
      </w:tr>
      <w:tr>
        <w:trPr/>
        <w:tc>
          <w:tcPr>
            <w:tcW w:w="1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INCUBE LABS, LLC</w:t>
            </w:r>
          </w:p>
        </w:tc>
      </w:tr>
      <w:tr>
        <w:trPr/>
        <w:tc>
          <w:tcPr>
            <w:tcW w:w="1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7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Mir Imran</w:t>
            </w:r>
          </w:p>
        </w:tc>
      </w:tr>
      <w:tr>
        <w:trPr/>
        <w:tc>
          <w:tcPr>
            <w:tcW w:w="24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President</w:t>
            </w:r>
          </w:p>
        </w:tc>
      </w:tr>
      <w:tr>
        <w:trPr/>
        <w:tc>
          <w:tcPr>
            <w:tcW w:w="1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bookmarkStart w:id="150" w:name="exhibita"/>
      <w:bookmarkEnd w:id="150"/>
      <w:r>
        <w:rPr>
          <w:rFonts w:ascii="Times New Roman" w:hAnsi="Times New Roman"/>
          <w:b/>
          <w:color w:val="000000"/>
          <w:sz w:val="24"/>
        </w:rPr>
        <w:t>EXHIBIT A</w:t>
        <w:br/>
      </w:r>
      <w:r>
        <w:rPr>
          <w:rFonts w:ascii="Times New Roman" w:hAnsi="Times New Roman"/>
          <w:color w:val="000000"/>
          <w:sz w:val="24"/>
        </w:rPr>
        <w:br/>
        <w:t>[FORM OF]</w:t>
        <w:br/>
        <w:t>ELECTION OF EXCHANGE</w:t>
      </w:r>
    </w:p>
    <w:p>
      <w:pPr>
        <w:pStyle w:val="TextBody"/>
        <w:bidi w:val="0"/>
        <w:jc w:val="left"/>
        <w:rPr>
          <w:rFonts w:ascii="Times New Roman" w:hAnsi="Times New Roman"/>
          <w:color w:val="000000"/>
          <w:sz w:val="24"/>
        </w:rPr>
      </w:pPr>
      <w:r>
        <w:rPr>
          <w:rFonts w:ascii="Times New Roman" w:hAnsi="Times New Roman"/>
          <w:color w:val="000000"/>
          <w:sz w:val="24"/>
        </w:rPr>
        <w:t>Rani Therapeutics Holdings, Inc.</w:t>
        <w:br/>
        <w:t>2051 Ringwood Avenue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San Jose, CA 95131</w:t>
        <w:br/>
        <w:br/>
        <w:t>Email Address: [svai@ranitherapeutics.com]</w:t>
        <w:br/>
        <w:t>Attention: [Chief Financial Officer]</w:t>
      </w:r>
    </w:p>
    <w:p>
      <w:pPr>
        <w:pStyle w:val="TextBody"/>
        <w:bidi w:val="0"/>
        <w:jc w:val="left"/>
        <w:rPr>
          <w:rFonts w:ascii="Times New Roman" w:hAnsi="Times New Roman"/>
          <w:color w:val="000000"/>
          <w:sz w:val="24"/>
        </w:rPr>
      </w:pPr>
      <w:r>
        <w:rPr>
          <w:rFonts w:ascii="Times New Roman" w:hAnsi="Times New Roman"/>
          <w:color w:val="000000"/>
          <w:sz w:val="24"/>
        </w:rPr>
        <w:t>Rani Therapeutics, LLC</w:t>
        <w:br/>
        <w:t>2051 Ringwood Avenue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San Jose, CA 95131</w:t>
        <w:br/>
        <w:br/>
        <w:t>Email Address: [svai@ranitherapeutics.com]</w:t>
        <w:br/>
        <w:t>Attention: [Chief Financial Officer]</w:t>
      </w:r>
    </w:p>
    <w:p>
      <w:pPr>
        <w:pStyle w:val="TextBody"/>
        <w:bidi w:val="0"/>
        <w:spacing w:before="0" w:after="240"/>
        <w:jc w:val="both"/>
        <w:rPr>
          <w:rFonts w:ascii="Times New Roman" w:hAnsi="Times New Roman"/>
          <w:sz w:val="20"/>
        </w:rPr>
      </w:pPr>
      <w:r>
        <w:rPr>
          <w:rFonts w:ascii="Times New Roman" w:hAnsi="Times New Roman"/>
          <w:color w:val="000000"/>
          <w:sz w:val="24"/>
        </w:rPr>
        <w:t>Reference is hereby made to the Sixth Amended and Restated Limited Liability Company Agreement of Rani Therapeutics, LLC, a California limited liability company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dated as of December 31, 2025 (as amended from time to time, the “</w:t>
      </w:r>
      <w:r>
        <w:rPr>
          <w:rFonts w:ascii="Times New Roman" w:hAnsi="Times New Roman"/>
          <w:b/>
          <w:color w:val="000000"/>
          <w:sz w:val="24"/>
        </w:rPr>
        <w:t>LLC Agreement</w:t>
      </w:r>
      <w:r>
        <w:rPr>
          <w:rFonts w:ascii="Times New Roman" w:hAnsi="Times New Roman"/>
          <w:color w:val="000000"/>
          <w:sz w:val="20"/>
        </w:rPr>
        <w:t>”</w:t>
      </w:r>
      <w:r>
        <w:rPr>
          <w:rFonts w:ascii="Times New Roman" w:hAnsi="Times New Roman"/>
          <w:color w:val="000000"/>
          <w:sz w:val="24"/>
        </w:rPr>
        <w:t>), among Rani Therapeutics Holdings, Inc., a Delaware corporation (“</w:t>
      </w:r>
      <w:r>
        <w:rPr>
          <w:rFonts w:ascii="Times New Roman" w:hAnsi="Times New Roman"/>
          <w:b/>
          <w:color w:val="000000"/>
          <w:sz w:val="24"/>
        </w:rPr>
        <w:t>PubCo</w:t>
      </w:r>
      <w:r>
        <w:rPr>
          <w:rFonts w:ascii="Times New Roman" w:hAnsi="Times New Roman"/>
          <w:color w:val="000000"/>
          <w:sz w:val="20"/>
        </w:rPr>
        <w:t>”</w:t>
      </w:r>
      <w:r>
        <w:rPr>
          <w:rFonts w:ascii="Times New Roman" w:hAnsi="Times New Roman"/>
          <w:color w:val="000000"/>
          <w:sz w:val="24"/>
        </w:rPr>
        <w:t>), the Company, and the Members from time to time party thereto (each, a “</w:t>
      </w:r>
      <w:r>
        <w:rPr>
          <w:rFonts w:ascii="Times New Roman" w:hAnsi="Times New Roman"/>
          <w:b/>
          <w:color w:val="000000"/>
          <w:sz w:val="24"/>
        </w:rPr>
        <w:t>Holder</w:t>
      </w:r>
      <w:r>
        <w:rPr>
          <w:rFonts w:ascii="Times New Roman" w:hAnsi="Times New Roman"/>
          <w:color w:val="000000"/>
          <w:sz w:val="20"/>
        </w:rPr>
        <w:t>”</w:t>
      </w:r>
      <w:r>
        <w:rPr>
          <w:rFonts w:ascii="Times New Roman" w:hAnsi="Times New Roman"/>
          <w:color w:val="000000"/>
          <w:sz w:val="24"/>
        </w:rPr>
        <w:t>). Capitalized terms used but not defined herein shall have the meanings given to them in the LLC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Effective as of the Exchange Date as determined in accordance with the LLC Agreement, the undersigned Member hereby transfers and surrenders to the Company the number of Class A Common Units set forth below and an equal number of shares of Paired Voting Stock held by such Member in exchange for the issuance to the undersigned Member of that number of shares of Class A Common Stock equal to the number of Class A Common Units so exchanged (to be issued in its name as set forth below), or, at the sole election of the Managing Member, a Cash Exchange Payment to the account set forth below, in each case in accordance with the LLC Agreement. The undersigned hereby acknowledges that the Exchange of Class A Common Units shall include the cancellation of an equal number of outstanding shares of Paired Voting Stock held by the undersigned that have been surrendered in such Exchange.</w:t>
      </w:r>
    </w:p>
    <w:tbl>
      <w:tblPr>
        <w:tblW w:w="3987" w:type="dxa"/>
        <w:jc w:val="left"/>
        <w:tblInd w:w="0" w:type="dxa"/>
        <w:tblLayout w:type="fixed"/>
        <w:tblCellMar>
          <w:top w:w="28" w:type="dxa"/>
          <w:left w:w="28" w:type="dxa"/>
          <w:bottom w:w="28" w:type="dxa"/>
          <w:right w:w="28" w:type="dxa"/>
        </w:tblCellMar>
      </w:tblPr>
      <w:tblGrid>
        <w:gridCol w:w="3796"/>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Legal Name of Undersigned Member: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tbl>
      <w:tblPr>
        <w:tblW w:w="5344" w:type="dxa"/>
        <w:jc w:val="left"/>
        <w:tblInd w:w="0" w:type="dxa"/>
        <w:tblLayout w:type="fixed"/>
        <w:tblCellMar>
          <w:top w:w="28" w:type="dxa"/>
          <w:left w:w="28" w:type="dxa"/>
          <w:bottom w:w="28" w:type="dxa"/>
          <w:right w:w="28" w:type="dxa"/>
        </w:tblCellMar>
      </w:tblPr>
      <w:tblGrid>
        <w:gridCol w:w="4630"/>
        <w:gridCol w:w="560"/>
        <w:gridCol w:w="154"/>
      </w:tblGrid>
      <w:tr>
        <w:trPr/>
        <w:tc>
          <w:tcPr>
            <w:tcW w:w="463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Address:</w:t>
            </w:r>
          </w:p>
        </w:tc>
        <w:tc>
          <w:tcPr>
            <w:tcW w:w="71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r>
      <w:tr>
        <w:trPr/>
        <w:tc>
          <w:tcPr>
            <w:tcW w:w="5190" w:type="dxa"/>
            <w:gridSpan w:val="2"/>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Number of Class A Common Units to be Exchanged:</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845" w:type="dxa"/>
        <w:jc w:val="left"/>
        <w:tblInd w:w="0" w:type="dxa"/>
        <w:tblLayout w:type="fixed"/>
        <w:tblCellMar>
          <w:top w:w="28" w:type="dxa"/>
          <w:left w:w="28" w:type="dxa"/>
          <w:bottom w:w="28" w:type="dxa"/>
          <w:right w:w="28" w:type="dxa"/>
        </w:tblCellMar>
      </w:tblPr>
      <w:tblGrid>
        <w:gridCol w:w="3691"/>
        <w:gridCol w:w="154"/>
      </w:tblGrid>
      <w:tr>
        <w:trPr/>
        <w:tc>
          <w:tcPr>
            <w:tcW w:w="3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Cash Exchange Payment instructions:</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both"/>
        <w:rPr>
          <w:rFonts w:ascii="Times New Roman" w:hAnsi="Times New Roman"/>
          <w:sz w:val="20"/>
        </w:rPr>
      </w:pPr>
      <w:r>
        <w:rPr>
          <w:rFonts w:ascii="Times New Roman" w:hAnsi="Times New Roman"/>
          <w:color w:val="000000"/>
          <w:sz w:val="24"/>
        </w:rPr>
        <w:t>If the undersigned Member desires the shares of Class A Common Stock be settled through the facilities of The Depositary Trust Company (“</w:t>
      </w:r>
      <w:r>
        <w:rPr>
          <w:rFonts w:ascii="Times New Roman" w:hAnsi="Times New Roman"/>
          <w:b/>
          <w:color w:val="000000"/>
          <w:sz w:val="24"/>
        </w:rPr>
        <w:t>DTC</w:t>
      </w:r>
      <w:r>
        <w:rPr>
          <w:rFonts w:ascii="Times New Roman" w:hAnsi="Times New Roman"/>
          <w:color w:val="000000"/>
          <w:sz w:val="20"/>
        </w:rPr>
        <w:t>”</w:t>
      </w:r>
      <w:r>
        <w:rPr>
          <w:rFonts w:ascii="Times New Roman" w:hAnsi="Times New Roman"/>
          <w:color w:val="000000"/>
          <w:sz w:val="24"/>
        </w:rPr>
        <w:t>), please indicate the account of the DTC participant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PubCo elects to certificate the shares of Class A Common Stock issued to the Member, please indicate the following:</w:t>
      </w:r>
    </w:p>
    <w:tbl>
      <w:tblPr>
        <w:tblW w:w="3852" w:type="dxa"/>
        <w:jc w:val="left"/>
        <w:tblInd w:w="0" w:type="dxa"/>
        <w:tblLayout w:type="fixed"/>
        <w:tblCellMar>
          <w:top w:w="28" w:type="dxa"/>
          <w:left w:w="28" w:type="dxa"/>
          <w:bottom w:w="28" w:type="dxa"/>
          <w:right w:w="28" w:type="dxa"/>
        </w:tblCellMar>
      </w:tblPr>
      <w:tblGrid>
        <w:gridCol w:w="3661"/>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Legal Name for Certificate Delivery: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tbl>
      <w:tblPr>
        <w:tblW w:w="3462" w:type="dxa"/>
        <w:jc w:val="left"/>
        <w:tblInd w:w="0" w:type="dxa"/>
        <w:tblLayout w:type="fixed"/>
        <w:tblCellMar>
          <w:top w:w="28" w:type="dxa"/>
          <w:left w:w="28" w:type="dxa"/>
          <w:bottom w:w="28" w:type="dxa"/>
          <w:right w:w="28" w:type="dxa"/>
        </w:tblCellMar>
      </w:tblPr>
      <w:tblGrid>
        <w:gridCol w:w="3271"/>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Address for Certificate Delivery: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both"/>
              <w:rPr/>
            </w:pPr>
            <w:r>
              <w:rPr/>
              <w:t> </w:t>
            </w:r>
          </w:p>
        </w:tc>
      </w:tr>
    </w:tbl>
    <w:p>
      <w:pPr>
        <w:pStyle w:val="TextBody"/>
        <w:bidi w:val="0"/>
        <w:spacing w:before="240" w:after="240"/>
        <w:jc w:val="both"/>
        <w:rPr>
          <w:rFonts w:ascii="Times New Roman" w:hAnsi="Times New Roman"/>
          <w:sz w:val="20"/>
        </w:rPr>
      </w:pPr>
      <w:r>
        <w:rPr>
          <w:rFonts w:ascii="Times New Roman" w:hAnsi="Times New Roman"/>
          <w:color w:val="000000"/>
          <w:sz w:val="24"/>
        </w:rPr>
        <w:t>The undersigned hereby represents and warrants that (i) the undersigned has full legal capacity to execute and deliver this Election of Exchange and to perform the undersigned’s obligations hereunder; (ii) this Election of Exchange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 (iii) no consent, approval, authorization, order, registration or qualification of any third party or with any court or governmental agency or body having jurisdiction over the undersigned, the Class A Common Units, the Paired Voting Stock or shares of Class A Common Stock subject to this Election of Exchange is required to be obtained by the undersigned for the transfer of such Class A Common Units, Paired Voting Stock or shares of Class A Common Stock to the Company (or PubCo, as applicable); (iv) the undersigned has complied with any qualifications or filings required under applicable securities laws; (v) the undersigned is the owner of the number of Class A Common Units and Paired Voting Stock the undersigned is electing to Exchange pursuant to this Exchange Notice, and that such Class A Common Units and Paired Voting Stock are not subject to any liens or restrictions on transfer (other than restrictions imposed by the Agreement, the charter and governing documents of PubCo and applicable Law); (vi) the undersigned is an accredited investor as such term is defined in Rule 501 of Regulation D under the Securities Act of 1933, as amended; (vii) the undersigned is either not currently in possession of material non-public information concerning PubCo or its securities or will not be in possession of such material non-public information at the time the shares of Class A common stock are sold in any public sale and (viii) the undersigned has consulted with the undersigned’s personal tax advisor regarding the tax consequences to the undersigned of this Election of Exchange and acknowledges that neither PubCo nor the Company is making any representations or warranties regarding the tax treatment of this Election of Exchange.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hereby irrevocably constitutes and appoints any officer of PubCo, as applicable, as the attorney of the undersigned, with full power of substitution and resubstitution in the premises, solely to do any and all things and to take any and all actions necessary to effect the Exchange elected hereby.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undersigned, by authority duly given, has caused this Election of Exchange to be executed and delivered by the undersigned or by its duly authorized attorney.</w:t>
      </w:r>
    </w:p>
    <w:tbl>
      <w:tblPr>
        <w:tblW w:w="856" w:type="dxa"/>
        <w:jc w:val="left"/>
        <w:tblInd w:w="0" w:type="dxa"/>
        <w:tblLayout w:type="fixed"/>
        <w:tblCellMar>
          <w:top w:w="28" w:type="dxa"/>
          <w:left w:w="28" w:type="dxa"/>
          <w:bottom w:w="28" w:type="dxa"/>
          <w:right w:w="28" w:type="dxa"/>
        </w:tblCellMar>
      </w:tblPr>
      <w:tblGrid>
        <w:gridCol w:w="856"/>
      </w:tblGrid>
      <w:tr>
        <w:trPr/>
        <w:tc>
          <w:tcPr>
            <w:tcW w:w="856" w:type="dxa"/>
            <w:tcBorders/>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Dated: </w:t>
            </w:r>
          </w:p>
        </w:tc>
      </w:tr>
    </w:tbl>
    <w:p>
      <w:pPr>
        <w:pStyle w:val="TextBody"/>
        <w:bidi w:val="0"/>
        <w:spacing w:before="0" w:after="48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151" w:name="rani-ex10_12.htm"/>
      <w:bookmarkStart w:id="152" w:name="ksraniex10_12"/>
      <w:bookmarkEnd w:id="151"/>
      <w:bookmarkEnd w:id="152"/>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NON-EMPLOYEE DIRECTOR COMPENSATION POLICY</w:t>
      </w:r>
    </w:p>
    <w:p>
      <w:pPr>
        <w:pStyle w:val="TextBody"/>
        <w:bidi w:val="0"/>
        <w:spacing w:before="240" w:after="283"/>
        <w:jc w:val="left"/>
        <w:rPr>
          <w:rFonts w:ascii="Times New Roman" w:hAnsi="Times New Roman"/>
          <w:sz w:val="20"/>
        </w:rPr>
      </w:pPr>
      <w:r>
        <w:rPr>
          <w:rFonts w:ascii="Times New Roman" w:hAnsi="Times New Roman"/>
          <w:color w:val="000000"/>
          <w:sz w:val="20"/>
        </w:rPr>
        <w:t>Each member of the Board of Directors (the “</w:t>
      </w:r>
      <w:r>
        <w:rPr>
          <w:rFonts w:ascii="Times New Roman" w:hAnsi="Times New Roman"/>
          <w:b/>
          <w:i/>
          <w:color w:val="000000"/>
          <w:sz w:val="20"/>
        </w:rPr>
        <w:t>Board</w:t>
      </w:r>
      <w:r>
        <w:rPr>
          <w:rFonts w:ascii="Times New Roman" w:hAnsi="Times New Roman"/>
          <w:color w:val="000000"/>
          <w:sz w:val="20"/>
        </w:rPr>
        <w:t>”) who is not also serving as an employee of or consultant to Rani Therapeutics Holdings, Inc. (the “</w:t>
      </w:r>
      <w:r>
        <w:rPr>
          <w:rFonts w:ascii="Times New Roman" w:hAnsi="Times New Roman"/>
          <w:b/>
          <w:i/>
          <w:color w:val="000000"/>
          <w:sz w:val="20"/>
        </w:rPr>
        <w:t>Company</w:t>
      </w:r>
      <w:r>
        <w:rPr>
          <w:rFonts w:ascii="Times New Roman" w:hAnsi="Times New Roman"/>
          <w:color w:val="000000"/>
          <w:sz w:val="20"/>
        </w:rPr>
        <w:t>”) or any of its subsidiaries (each such member, an “</w:t>
      </w:r>
      <w:r>
        <w:rPr>
          <w:rFonts w:ascii="Times New Roman" w:hAnsi="Times New Roman"/>
          <w:b/>
          <w:i/>
          <w:color w:val="000000"/>
          <w:sz w:val="20"/>
        </w:rPr>
        <w:t>Eligible Director</w:t>
      </w:r>
      <w:r>
        <w:rPr>
          <w:rFonts w:ascii="Times New Roman" w:hAnsi="Times New Roman"/>
          <w:color w:val="000000"/>
          <w:sz w:val="20"/>
        </w:rPr>
        <w:t>”) will receive the compensation described in this Non-Employee Director Compensation Policy for his or her Board service upon and following the date of the underwriting agreement between the Company and the underwriters managing the initial public offering of the Company’s Class A common stock (the “</w:t>
      </w:r>
      <w:r>
        <w:rPr>
          <w:rFonts w:ascii="Times New Roman" w:hAnsi="Times New Roman"/>
          <w:b/>
          <w:i/>
          <w:color w:val="000000"/>
          <w:sz w:val="20"/>
        </w:rPr>
        <w:t>Common Stock</w:t>
      </w:r>
      <w:r>
        <w:rPr>
          <w:rFonts w:ascii="Times New Roman" w:hAnsi="Times New Roman"/>
          <w:color w:val="000000"/>
          <w:sz w:val="20"/>
        </w:rPr>
        <w:t>”), pursuant to which the Common Stock is priced in such initial public offering (the “</w:t>
      </w:r>
      <w:r>
        <w:rPr>
          <w:rFonts w:ascii="Times New Roman" w:hAnsi="Times New Roman"/>
          <w:b/>
          <w:i/>
          <w:color w:val="000000"/>
          <w:sz w:val="20"/>
        </w:rPr>
        <w:t>Effective Date</w:t>
      </w:r>
      <w:r>
        <w:rPr>
          <w:rFonts w:ascii="Times New Roman" w:hAnsi="Times New Roman"/>
          <w:color w:val="000000"/>
          <w:sz w:val="20"/>
        </w:rPr>
        <w:t>”).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 or the Compensation Committee of the Board.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Annual Cash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 All annual cash fees are vested upon payment.</w:t>
      </w:r>
    </w:p>
    <w:p>
      <w:pPr>
        <w:pStyle w:val="TextBody"/>
        <w:bidi w:val="0"/>
        <w:spacing w:before="120" w:after="283"/>
        <w:jc w:val="left"/>
        <w:rPr/>
      </w:pPr>
      <w:r>
        <w:rPr/>
        <w:t> </w:t>
      </w:r>
    </w:p>
    <w:p>
      <w:pPr>
        <w:pStyle w:val="TextBody"/>
        <w:bidi w:val="0"/>
        <w:spacing w:before="120" w:after="160"/>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Annual Board Service Retainer</w:t>
      </w: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a. All Eligible Directors: $45,000</w:t>
      </w:r>
    </w:p>
    <w:p>
      <w:pPr>
        <w:pStyle w:val="TextBody"/>
        <w:bidi w:val="0"/>
        <w:jc w:val="left"/>
        <w:rPr>
          <w:rFonts w:ascii="Times New Roman" w:hAnsi="Times New Roman"/>
          <w:color w:val="000000"/>
          <w:sz w:val="20"/>
        </w:rPr>
      </w:pPr>
      <w:r>
        <w:rPr>
          <w:rFonts w:ascii="Times New Roman" w:hAnsi="Times New Roman"/>
          <w:color w:val="000000"/>
          <w:sz w:val="20"/>
        </w:rPr>
        <w:t>b. Executive Chair and/or Independent Lead of the Board Service Retainer (in addition to Eligible Director Service Retainer): $35,000</w:t>
      </w:r>
    </w:p>
    <w:p>
      <w:pPr>
        <w:pStyle w:val="TextBody"/>
        <w:bidi w:val="0"/>
        <w:spacing w:before="120" w:after="160"/>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Annual Committee Chair Service Retainer</w:t>
      </w: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a. Chair of the Audit Committee: $20,000</w:t>
      </w:r>
    </w:p>
    <w:p>
      <w:pPr>
        <w:pStyle w:val="TextBody"/>
        <w:bidi w:val="0"/>
        <w:jc w:val="left"/>
        <w:rPr>
          <w:rFonts w:ascii="Times New Roman" w:hAnsi="Times New Roman"/>
          <w:color w:val="000000"/>
          <w:sz w:val="20"/>
        </w:rPr>
      </w:pPr>
      <w:r>
        <w:rPr>
          <w:rFonts w:ascii="Times New Roman" w:hAnsi="Times New Roman"/>
          <w:color w:val="000000"/>
          <w:sz w:val="20"/>
        </w:rPr>
        <w:t>b. Chair of the Compensation Committee: $15,000</w:t>
      </w:r>
    </w:p>
    <w:p>
      <w:pPr>
        <w:pStyle w:val="TextBody"/>
        <w:bidi w:val="0"/>
        <w:jc w:val="left"/>
        <w:rPr>
          <w:rFonts w:ascii="Times New Roman" w:hAnsi="Times New Roman"/>
          <w:color w:val="000000"/>
          <w:sz w:val="20"/>
        </w:rPr>
      </w:pPr>
      <w:r>
        <w:rPr>
          <w:rFonts w:ascii="Times New Roman" w:hAnsi="Times New Roman"/>
          <w:color w:val="000000"/>
          <w:sz w:val="20"/>
        </w:rPr>
        <w:t>c. Chair of the Nominating and Corporate Governance Committee: $10,000</w:t>
      </w:r>
    </w:p>
    <w:p>
      <w:pPr>
        <w:pStyle w:val="TextBody"/>
        <w:bidi w:val="0"/>
        <w:spacing w:before="120" w:after="160"/>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Annual Committee Member Service Retainer (not applicable to Committee Chairs)</w:t>
      </w: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a. Member of the Audit Committee: $7,500</w:t>
      </w:r>
    </w:p>
    <w:p>
      <w:pPr>
        <w:pStyle w:val="TextBody"/>
        <w:bidi w:val="0"/>
        <w:jc w:val="left"/>
        <w:rPr>
          <w:rFonts w:ascii="Times New Roman" w:hAnsi="Times New Roman"/>
          <w:color w:val="000000"/>
          <w:sz w:val="20"/>
        </w:rPr>
      </w:pPr>
      <w:r>
        <w:rPr>
          <w:rFonts w:ascii="Times New Roman" w:hAnsi="Times New Roman"/>
          <w:color w:val="000000"/>
          <w:sz w:val="20"/>
        </w:rPr>
        <w:t>b. Member of the Compensation Committee: $5,000</w:t>
      </w:r>
    </w:p>
    <w:p>
      <w:pPr>
        <w:pStyle w:val="TextBody"/>
        <w:bidi w:val="0"/>
        <w:jc w:val="left"/>
        <w:rPr>
          <w:rFonts w:ascii="Times New Roman" w:hAnsi="Times New Roman"/>
          <w:color w:val="000000"/>
          <w:sz w:val="20"/>
        </w:rPr>
      </w:pPr>
      <w:r>
        <w:rPr>
          <w:rFonts w:ascii="Times New Roman" w:hAnsi="Times New Roman"/>
          <w:color w:val="000000"/>
          <w:sz w:val="20"/>
        </w:rPr>
        <w:t>c. Member of the Nominating and Corporate Governance Committee: $4,000</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reimburse Eligible Directors for ordinary, necessary and reasonable out-of-pocket travel expenses to cover in-person attendance at and participation in Board and committee meetings; provided, that the Eligible Director timely submit to the Company appropriate documentation substantiating such expenses in accordance with the Company’s travel and expense policy, as in effect from time to time.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Equity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The equity compensation set forth below will be granted under the Company’s 2021 Equity Incentive Plan (the “</w:t>
      </w:r>
      <w:r>
        <w:rPr>
          <w:rFonts w:ascii="Times New Roman" w:hAnsi="Times New Roman"/>
          <w:b/>
          <w:i/>
          <w:color w:val="000000"/>
          <w:sz w:val="20"/>
        </w:rPr>
        <w:t>Plan</w:t>
      </w:r>
      <w:r>
        <w:rPr>
          <w:rFonts w:ascii="Times New Roman" w:hAnsi="Times New Roman"/>
          <w:color w:val="000000"/>
          <w:sz w:val="20"/>
        </w:rPr>
        <w:t>”), subject to the approval of the Plan by the Company’s stockholders. All stock options granted under this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Initial Grants</w:t>
      </w:r>
      <w:r>
        <w:rPr>
          <w:rFonts w:ascii="Times New Roman" w:hAnsi="Times New Roman"/>
          <w:color w:val="000000"/>
          <w:sz w:val="20"/>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or the Compensation Committee of the Board, granted a stock option to purchase 100,000 shares of Common Stock (the “</w:t>
      </w:r>
      <w:r>
        <w:rPr>
          <w:rFonts w:ascii="Times New Roman" w:hAnsi="Times New Roman"/>
          <w:b/>
          <w:i/>
          <w:color w:val="000000"/>
          <w:sz w:val="20"/>
        </w:rPr>
        <w:t>Initial Grant</w:t>
      </w:r>
      <w:r>
        <w:rPr>
          <w:rFonts w:ascii="Times New Roman" w:hAnsi="Times New Roman"/>
          <w:color w:val="000000"/>
          <w:sz w:val="20"/>
        </w:rPr>
        <w:t>”). The shares subject to each Initial Grant will vest over a three-year period, with one-third of the shares subject to the Initial Grant vesting on the first anniversary of the grant date and 1/36</w:t>
      </w:r>
      <w:r>
        <w:rPr>
          <w:rFonts w:ascii="Times New Roman" w:hAnsi="Times New Roman"/>
          <w:color w:val="000000"/>
          <w:sz w:val="13"/>
        </w:rPr>
        <w:t>th</w:t>
      </w:r>
      <w:r>
        <w:rPr>
          <w:rFonts w:ascii="Times New Roman" w:hAnsi="Times New Roman"/>
          <w:color w:val="000000"/>
          <w:sz w:val="20"/>
        </w:rPr>
        <w:t xml:space="preserve"> of the shares subject to the Initial Grant vesting in equal monthly installments thereafter, such that the option is fully vested on the third anniversary of the date of grant, subject to the Eligible Director’s Continuous Service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defined in the Plan) through each such vesting date, and will vest in full upon a Change in Control (as defined in the Plan), subject to the Eligible Director’s Continuous Service (as defined in the Plan) through such date.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Annual Grants</w:t>
      </w:r>
      <w:r>
        <w:rPr>
          <w:rFonts w:ascii="Times New Roman" w:hAnsi="Times New Roman"/>
          <w:color w:val="000000"/>
          <w:sz w:val="20"/>
        </w:rPr>
        <w:t>: On the date of each annual stockholder meeting of the Company held after the Effective Date, each Eligible Director who continues to serve as a non-employee member of the Board following such stockholder meeting (excluding any Eligible Director who is first appointed or elected by the Board at such meeting) will be automatically, and without further action by the Board or the Compensation Committee of the Board, granted a stock option to purchase 50,000 shares of Common Stock (the “</w:t>
      </w:r>
      <w:r>
        <w:rPr>
          <w:rFonts w:ascii="Times New Roman" w:hAnsi="Times New Roman"/>
          <w:b/>
          <w:i/>
          <w:color w:val="000000"/>
          <w:sz w:val="20"/>
        </w:rPr>
        <w:t>Annual Grant</w:t>
      </w:r>
      <w:r>
        <w:rPr>
          <w:rFonts w:ascii="Times New Roman" w:hAnsi="Times New Roman"/>
          <w:color w:val="000000"/>
          <w:sz w:val="20"/>
        </w:rPr>
        <w:t>”). The shares subject to the Annual Grant will vest in full on the first anniversary of the date of grant, subject to the Eligible Director’s Continuous Service (as defined in the Plan) through each such vesting date; provided, that the Annual Grant will in any case be fully vested on the date of Company’s next annual stockholder meeting, subject to the Eligible Director’s Continuous Service (as defined in the Plan) through such vesting date; provided, further, that the Annual Grant will vest in full upon a Change in Control (as defined in the Plan), subject to the Eligible Director’s Continuous Service (as defined in the Plan) through such date. With respect to an Eligible Director who, following the Effective Date, was first elected or appointed to the Board on a date other than the date of the Company’s annual stockholder meeting, upon the Company’s first annual stockholder meeting following such Eligible Director’s first joining the Board, such Eligible Director’s first Annual Grant will be pro-rated to reflect the time between such Eligible Director’s election or appointment date and the date of such first annual stockholder meeting.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Non-Employee Director Compensation Limit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 foregoing, the aggregate value of all compensation granted or paid, as applicable, to any individual for service as a Non-Employee Director (as defined in the Plan) shall in no event exceed the limits set forth in Section 3(d) of the Plan.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53" w:name="rani-ex10_27.htm"/>
      <w:bookmarkStart w:id="154" w:name="ksraniex10_27"/>
      <w:bookmarkEnd w:id="153"/>
      <w:bookmarkEnd w:id="154"/>
      <w:r>
        <w:rPr>
          <w:rFonts w:ascii="Times New Roman" w:hAnsi="Times New Roman"/>
          <w:b/>
          <w:color w:val="000000"/>
          <w:sz w:val="20"/>
        </w:rPr>
        <w:t>Exhibit 10.27</w:t>
      </w:r>
      <w:r>
        <w:br w:type="page"/>
      </w:r>
    </w:p>
    <w:p>
      <w:pPr>
        <w:pStyle w:val="TextBody"/>
        <w:bidi w:val="0"/>
        <w:jc w:val="left"/>
        <w:rPr/>
      </w:pPr>
      <w:r>
        <w:rPr/>
        <w:t> </w:t>
      </w:r>
    </w:p>
    <w:p>
      <w:pPr>
        <w:pStyle w:val="TextBody"/>
        <w:bidi w:val="0"/>
        <w:spacing w:before="0" w:after="240"/>
        <w:jc w:val="center"/>
        <w:rPr>
          <w:rFonts w:ascii="Times New Roman" w:hAnsi="Times New Roman"/>
          <w:color w:val="000000"/>
          <w:sz w:val="20"/>
          <w:u w:val="single"/>
        </w:rPr>
      </w:pPr>
      <w:r>
        <w:rPr>
          <w:rFonts w:ascii="Times New Roman" w:hAnsi="Times New Roman"/>
          <w:color w:val="000000"/>
          <w:sz w:val="20"/>
          <w:u w:val="single"/>
        </w:rPr>
        <w:t>FORM OF KEY EMPLOYEE RETENTION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Key Employee Retention Agreement (“Agreement”) is entered into between the undersigned individual (“Employee”) and Rani Therapeutics, LLC (“Company”). Employee is only eligible to receive the consideration set forth in this Agreement if Employee signs this Agreement within five (5) calendar days after the date Employee receives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Employee is employed by the Company in a critical capacity;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 Employee’s services are essential to the conduct of the business of the Company during this critical phase;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WHEREAS, the Company and the Employee desire to provide the Employee with an incentive to remain employed by the Company during this critical phase;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in consideration of the foregoing premises and the undertakings herein contained and for other good and valuable consideration, the receipt and sufficiency of which is hereby acknowledged, the parties hereto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0"/>
          <w:u w:val="single"/>
        </w:rPr>
        <w:t>Payment Timing</w:t>
      </w:r>
      <w:r>
        <w:rPr>
          <w:rFonts w:ascii="Times New Roman" w:hAnsi="Times New Roman"/>
          <w:color w:val="000000"/>
          <w:sz w:val="20"/>
        </w:rPr>
        <w:t xml:space="preserve">. Employee is eligible to earn a Retention Payment (as defined below), which shall be paid in equal installments on a bi-weekly basis beginning on July 15, 2025 through August 31, 2025 (the “Payment Period”);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in order to earn such Retention Payment, Employee must: (i) meet the Conditions for Payment provided in Paragraph 3; and (ii) execute this Agreement within five (5) calendar days after receipt from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0"/>
          <w:u w:val="single"/>
        </w:rPr>
        <w:t>Retention Payment</w:t>
      </w:r>
      <w:r>
        <w:rPr>
          <w:rFonts w:ascii="Times New Roman" w:hAnsi="Times New Roman"/>
          <w:color w:val="000000"/>
          <w:sz w:val="20"/>
        </w:rPr>
        <w:t xml:space="preserve">. Subject to the terms and conditions of this Agreement, Company will pay Employee a “Retention Payment” equal to a total of $ (which is the equivalent of four (4) months of Employee’s base salary). As set forth in Paragraph 1, the Retention Payment will be paid in two equal installments, less applicable deductions and withholdings, over the Payment Period.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0"/>
          <w:u w:val="single"/>
        </w:rPr>
        <w:t>Conditions for Payment</w:t>
      </w:r>
      <w:r>
        <w:rPr>
          <w:rFonts w:ascii="Times New Roman" w:hAnsi="Times New Roman"/>
          <w:color w:val="000000"/>
          <w:sz w:val="20"/>
        </w:rPr>
        <w:t>. The Retention Payment shall be paid provided: (a) Employee remains continuously employed by the Company in good standing through October 15, 2025 (the “Retention Date”); and (b) Employee provides, throughout the Payment Period, adequate support to the Company on a range of activities relating to evaluation of strategic alternatives to promote long term success of the Company and shareholder value. Employee will only earn the Retention Payment if Employee remains continuously employed by the Company through the Retention Date. If, before the Retention Date, Employee is terminated by the Company without Cause (as defined below), Employee will remain eligible to receive the Retention Payment in its entirety, provided that: (a) Employee continues to comply with obligations under all agreements entered into between Employee and the Company; and (b) Employee signs a release of claims in favor of the Company in connection with Employee’s separation from the Company. In such circumstances, any remainder of the Retention Payment will be paid to Employee no later than thirty (30) days following Employee’s employment termination date (provided the release is valid by such date). If Employee resigns for any reason prior to the Retention Date, or Employee is terminated for Cause prior to the Retention Date, Employee will not earn any portion of the Retention Payment and Employee will be required to repay to the Company, within thirty (30) days after Employee’s employment termination, the full gross amount of the Retention Payment that has been paid.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0"/>
          <w:u w:val="single"/>
        </w:rPr>
        <w:t>Definition of Cause</w:t>
      </w:r>
      <w:r>
        <w:rPr>
          <w:rFonts w:ascii="Times New Roman" w:hAnsi="Times New Roman"/>
          <w:color w:val="000000"/>
          <w:sz w:val="20"/>
        </w:rPr>
        <w:t xml:space="preserve">. For purposes of this Agreement, “Cause” shall have the meaning ascribed to such term in any written employment agreement, offer letter or similar agreement between Employee and the </w:t>
      </w:r>
    </w:p>
    <w:p>
      <w:pPr>
        <w:pStyle w:val="TextBody"/>
        <w:bidi w:val="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0"/>
        </w:rPr>
        <w:t>Company, and, in the absence of such agreement, shall have the meaning set forth in the Company’s Equity Plan.</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0"/>
          <w:u w:val="single"/>
        </w:rPr>
        <w:t>[RESERVED]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0"/>
          <w:u w:val="single"/>
        </w:rPr>
        <w:t>Applicable Law and General Provisions</w:t>
      </w:r>
      <w:r>
        <w:rPr>
          <w:rFonts w:ascii="Times New Roman" w:hAnsi="Times New Roman"/>
          <w:color w:val="000000"/>
          <w:sz w:val="20"/>
        </w:rPr>
        <w:t xml:space="preserve">. This Agreement shall be interpreted under the law of California. This Agreement sets forth the entire agreement between the parties with respect to its subject matter. Employee is not relying on any other agreements or oral representations not fully addressed in this Agreement. Any prior agreements between or directly involving Employee and Company with respect to this subject matter are superseded by this Agreement. The headings in this Agreement are provided for reference only and shall not affect the substance of this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exchange for Employee’s promises and fulfillment of the conditions contained in this Agreement, Company promises to provide the benefits set forth in this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______________________________________________</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By: ______________________________________________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Company Signature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Name Printed: _______________________________________</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smallCaps/>
          <w:color w:val="000000"/>
          <w:sz w:val="20"/>
        </w:rPr>
      </w:pPr>
      <w:r>
        <w:rPr>
          <w:rFonts w:ascii="Times New Roman" w:hAnsi="Times New Roman"/>
          <w:b/>
          <w:smallCaps/>
          <w:color w:val="000000"/>
          <w:sz w:val="20"/>
        </w:rPr>
        <w:t>Understood, Accepted and Agreed To:</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______________________________________________</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By: ______________________________________________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Employee’s Signature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Name Printed: _______________________________________</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pPr>
      <w:bookmarkStart w:id="155" w:name="rani-ex19_1.htm"/>
      <w:bookmarkStart w:id="156" w:name="ksraniex19_1"/>
      <w:bookmarkEnd w:id="155"/>
      <w:bookmarkEnd w:id="156"/>
      <w:r>
        <w:rPr/>
        <w:drawing>
          <wp:inline distT="0" distB="0" distL="0" distR="0">
            <wp:extent cx="1714500" cy="914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67"/>
                    <a:stretch>
                      <a:fillRect/>
                    </a:stretch>
                  </pic:blipFill>
                  <pic:spPr bwMode="auto">
                    <a:xfrm>
                      <a:off x="0" y="0"/>
                      <a:ext cx="1714500" cy="914400"/>
                    </a:xfrm>
                    <a:prstGeom prst="rect">
                      <a:avLst/>
                    </a:prstGeom>
                  </pic:spPr>
                </pic:pic>
              </a:graphicData>
            </a:graphic>
          </wp:inline>
        </w:drawing>
      </w:r>
      <w:r>
        <w:br w:type="page"/>
      </w:r>
    </w:p>
    <w:p>
      <w:pPr>
        <w:pStyle w:val="TextBody"/>
        <w:bidi w:val="0"/>
        <w:jc w:val="left"/>
        <w:rPr/>
      </w:pPr>
      <w:r>
        <w:rPr/>
        <w:t> </w:t>
      </w:r>
    </w:p>
    <w:p>
      <w:pPr>
        <w:pStyle w:val="TextBody"/>
        <w:bidi w:val="0"/>
        <w:spacing w:before="0" w:after="240"/>
        <w:jc w:val="center"/>
        <w:rPr>
          <w:rFonts w:ascii="Arial" w:hAnsi="Arial"/>
          <w:b/>
          <w:caps/>
          <w:color w:val="000000"/>
          <w:sz w:val="20"/>
        </w:rPr>
      </w:pPr>
      <w:r>
        <w:rPr>
          <w:rFonts w:ascii="Arial" w:hAnsi="Arial"/>
          <w:b/>
          <w:caps/>
          <w:color w:val="000000"/>
          <w:sz w:val="20"/>
        </w:rPr>
        <w:t>INSIDER TRADING POLICY</w:t>
      </w:r>
    </w:p>
    <w:p>
      <w:pPr>
        <w:pStyle w:val="TextBody"/>
        <w:pBdr>
          <w:bottom w:val="single" w:sz="4" w:space="1" w:color="000000"/>
        </w:pBdr>
        <w:bidi w:val="0"/>
        <w:spacing w:before="0" w:after="240"/>
        <w:jc w:val="center"/>
        <w:rPr>
          <w:rFonts w:ascii="Times New Roman" w:hAnsi="Times New Roman"/>
          <w:sz w:val="20"/>
        </w:rPr>
      </w:pPr>
      <w:r>
        <w:rPr>
          <w:rFonts w:ascii="Arial" w:hAnsi="Arial"/>
          <w:b/>
          <w:caps/>
          <w:color w:val="000000"/>
          <w:sz w:val="20"/>
        </w:rPr>
        <w:br/>
      </w:r>
      <w:r>
        <w:rPr>
          <w:rFonts w:ascii="Times New Roman" w:hAnsi="Times New Roman"/>
          <w:caps/>
          <w:color w:val="000000"/>
          <w:sz w:val="20"/>
        </w:rPr>
        <w:t> </w:t>
      </w:r>
    </w:p>
    <w:p>
      <w:pPr>
        <w:pStyle w:val="Heading1"/>
        <w:bidi w:val="0"/>
        <w:spacing w:before="0" w:after="240"/>
        <w:jc w:val="both"/>
        <w:rPr>
          <w:rFonts w:ascii="Arial" w:hAnsi="Arial"/>
          <w:smallCaps/>
          <w:color w:val="000000"/>
          <w:sz w:val="20"/>
        </w:rPr>
      </w:pPr>
      <w:r>
        <w:rPr>
          <w:rFonts w:ascii="Arial" w:hAnsi="Arial"/>
          <w:smallCaps/>
          <w:color w:val="000000"/>
          <w:sz w:val="20"/>
        </w:rPr>
        <w:t>Introduction</w:t>
      </w:r>
    </w:p>
    <w:p>
      <w:pPr>
        <w:pStyle w:val="TextBody"/>
        <w:bidi w:val="0"/>
        <w:spacing w:before="0" w:after="240"/>
        <w:jc w:val="both"/>
        <w:rPr>
          <w:rFonts w:ascii="Times New Roman" w:hAnsi="Times New Roman"/>
          <w:sz w:val="20"/>
        </w:rPr>
      </w:pPr>
      <w:r>
        <w:rPr>
          <w:rFonts w:ascii="Arial" w:hAnsi="Arial"/>
          <w:color w:val="000000"/>
          <w:sz w:val="20"/>
        </w:rPr>
        <w:t>This policy determines acceptable transactions in the securities of Rani Therapeutics Holdings, Inc. (the “</w:t>
      </w:r>
      <w:r>
        <w:rPr>
          <w:rFonts w:ascii="Arial" w:hAnsi="Arial"/>
          <w:b/>
          <w:i/>
          <w:color w:val="000000"/>
          <w:sz w:val="20"/>
        </w:rPr>
        <w:t>Company</w:t>
      </w:r>
      <w:r>
        <w:rPr>
          <w:rFonts w:ascii="Times New Roman" w:hAnsi="Times New Roman"/>
          <w:color w:val="000000"/>
          <w:sz w:val="20"/>
        </w:rPr>
        <w:t xml:space="preserve">” </w:t>
      </w:r>
      <w:r>
        <w:rPr>
          <w:rFonts w:ascii="Arial" w:hAnsi="Arial"/>
          <w:color w:val="000000"/>
          <w:sz w:val="20"/>
        </w:rPr>
        <w:t>or “</w:t>
      </w:r>
      <w:r>
        <w:rPr>
          <w:rFonts w:ascii="Arial" w:hAnsi="Arial"/>
          <w:b/>
          <w:i/>
          <w:color w:val="000000"/>
          <w:sz w:val="20"/>
        </w:rPr>
        <w:t>Rani</w:t>
      </w:r>
      <w:r>
        <w:rPr>
          <w:rFonts w:ascii="Times New Roman" w:hAnsi="Times New Roman"/>
          <w:color w:val="000000"/>
          <w:sz w:val="20"/>
        </w:rPr>
        <w:t>”</w:t>
      </w:r>
      <w:r>
        <w:rPr>
          <w:rFonts w:ascii="Arial" w:hAnsi="Arial"/>
          <w:color w:val="000000"/>
          <w:sz w:val="20"/>
        </w:rPr>
        <w:t>) by our employees, directors and consultants. During the course of your employment, directorship or consultancy with the Company, you may receive important information that is not yet publicly available (“</w:t>
      </w:r>
      <w:r>
        <w:rPr>
          <w:rFonts w:ascii="Arial" w:hAnsi="Arial"/>
          <w:b/>
          <w:i/>
          <w:color w:val="000000"/>
          <w:sz w:val="20"/>
        </w:rPr>
        <w:t>inside information</w:t>
      </w:r>
      <w:r>
        <w:rPr>
          <w:rFonts w:ascii="Times New Roman" w:hAnsi="Times New Roman"/>
          <w:color w:val="000000"/>
          <w:sz w:val="20"/>
        </w:rPr>
        <w:t>”</w:t>
      </w:r>
      <w:r>
        <w:rPr>
          <w:rFonts w:ascii="Arial" w:hAnsi="Arial"/>
          <w:color w:val="000000"/>
          <w:sz w:val="20"/>
        </w:rPr>
        <w:t>), about the Company or about other publicly-traded companies with which the Company has business dealings. Because of your access to this inside information, you may be in a position to profit financially by buying or selling, or in some other way dealing, in the Company’s stock, or stock of another publicly-traded company, or to disclose such information to a third party who does so profit (a “</w:t>
      </w:r>
      <w:r>
        <w:rPr>
          <w:rFonts w:ascii="Arial" w:hAnsi="Arial"/>
          <w:b/>
          <w:i/>
          <w:color w:val="000000"/>
          <w:sz w:val="20"/>
        </w:rPr>
        <w:t>tippee</w:t>
      </w:r>
      <w:r>
        <w:rPr>
          <w:rFonts w:ascii="Times New Roman" w:hAnsi="Times New Roman"/>
          <w:color w:val="000000"/>
          <w:sz w:val="20"/>
        </w:rPr>
        <w:t>”</w:t>
      </w:r>
      <w:r>
        <w:rPr>
          <w:rFonts w:ascii="Arial" w:hAnsi="Arial"/>
          <w:color w:val="000000"/>
          <w:sz w:val="20"/>
        </w:rPr>
        <w:t>).</w:t>
      </w:r>
    </w:p>
    <w:p>
      <w:pPr>
        <w:pStyle w:val="Heading1"/>
        <w:bidi w:val="0"/>
        <w:spacing w:before="0" w:after="240"/>
        <w:jc w:val="both"/>
        <w:rPr>
          <w:rFonts w:ascii="Arial" w:hAnsi="Arial"/>
          <w:smallCaps/>
          <w:color w:val="000000"/>
          <w:sz w:val="20"/>
        </w:rPr>
      </w:pPr>
      <w:r>
        <w:rPr>
          <w:rFonts w:ascii="Arial" w:hAnsi="Arial"/>
          <w:smallCaps/>
          <w:color w:val="000000"/>
          <w:sz w:val="20"/>
        </w:rPr>
        <w:t>Insider Trading Policy</w:t>
      </w:r>
    </w:p>
    <w:p>
      <w:pPr>
        <w:pStyle w:val="Heading2"/>
        <w:bidi w:val="0"/>
        <w:spacing w:before="0" w:after="240"/>
        <w:jc w:val="both"/>
        <w:rPr>
          <w:rFonts w:ascii="Arial" w:hAnsi="Arial"/>
          <w:color w:val="000000"/>
          <w:sz w:val="20"/>
        </w:rPr>
      </w:pPr>
      <w:r>
        <w:rPr>
          <w:rFonts w:ascii="Arial" w:hAnsi="Arial"/>
          <w:color w:val="000000"/>
          <w:sz w:val="20"/>
        </w:rPr>
        <w:t>Securities Transactions</w:t>
      </w:r>
    </w:p>
    <w:p>
      <w:pPr>
        <w:pStyle w:val="TextBody"/>
        <w:bidi w:val="0"/>
        <w:spacing w:before="0" w:after="240"/>
        <w:jc w:val="both"/>
        <w:rPr>
          <w:rFonts w:ascii="Times New Roman" w:hAnsi="Times New Roman"/>
          <w:sz w:val="20"/>
        </w:rPr>
      </w:pPr>
      <w:r>
        <w:rPr>
          <w:rFonts w:ascii="Arial" w:hAnsi="Arial"/>
          <w:color w:val="000000"/>
          <w:sz w:val="20"/>
        </w:rPr>
        <w:t xml:space="preserve">Use of inside information by someone for personal gain, or to pass on, or “tip,” the inside information to someone who uses it for personal gain, is illegal, regardless of the quantity of shares, and is therefore prohibited. You can be held liable both for your own transactions and for transactions effected by a tippee, or even a tippee of a tippee. Furthermore, it is important that the appearance of insider trading in securities be avoided. The only exception is that transactions directly with the Company, </w:t>
      </w:r>
      <w:r>
        <w:rPr>
          <w:rFonts w:ascii="Arial" w:hAnsi="Arial"/>
          <w:i/>
          <w:color w:val="000000"/>
          <w:sz w:val="20"/>
        </w:rPr>
        <w:t>e.g.</w:t>
      </w:r>
      <w:r>
        <w:rPr>
          <w:rFonts w:ascii="Arial" w:hAnsi="Arial"/>
          <w:color w:val="000000"/>
          <w:sz w:val="20"/>
        </w:rPr>
        <w:t>, option exercises for cash or purchases under the Company’s employee stock purchase plan, are permitted. However, the subsequent sale (including the sale of shares in a cashless exercise program) or other disposition of such stock is fully subject to these restrictions.</w:t>
      </w:r>
    </w:p>
    <w:p>
      <w:pPr>
        <w:pStyle w:val="Heading2"/>
        <w:bidi w:val="0"/>
        <w:spacing w:before="0" w:after="240"/>
        <w:jc w:val="both"/>
        <w:rPr>
          <w:rFonts w:ascii="Arial" w:hAnsi="Arial"/>
          <w:color w:val="000000"/>
          <w:sz w:val="20"/>
        </w:rPr>
      </w:pPr>
      <w:r>
        <w:rPr>
          <w:rFonts w:ascii="Arial" w:hAnsi="Arial"/>
          <w:color w:val="000000"/>
          <w:sz w:val="20"/>
        </w:rPr>
        <w:t>Inside Information</w:t>
      </w:r>
    </w:p>
    <w:p>
      <w:pPr>
        <w:pStyle w:val="TextBody"/>
        <w:bidi w:val="0"/>
        <w:spacing w:before="0" w:after="240"/>
        <w:jc w:val="both"/>
        <w:rPr>
          <w:rFonts w:ascii="Times New Roman" w:hAnsi="Times New Roman"/>
          <w:sz w:val="20"/>
        </w:rPr>
      </w:pPr>
      <w:r>
        <w:rPr>
          <w:rFonts w:ascii="Arial" w:hAnsi="Arial"/>
          <w:color w:val="000000"/>
          <w:sz w:val="20"/>
        </w:rPr>
        <w:t>As a practical matter, it is sometimes difficult to determine whether you possess inside information. The key to determining whether nonpublic information you possess about a public company is inside information is whether dissemination of the information would likely affect the market price of the company’s stock or would likely be considered important, or “material,” by investors who are considering trading in that company’s stock. Certainly, if the information makes you want to trade, it would probably have the same effect on others. Remember, both positive and negative information can be material. If you possess inside information, you may not trade in a company’s stock, advise anyone else to do so or communicate the information to anyone else until you know that the information has been publicly disseminated. This policy also applies to all family members and other household members of those covered by this policy and all companies controlled by those covered by this policy. You may never recommend to another person that he or she buy, hold or sell our stock.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 “</w:t>
      </w:r>
      <w:r>
        <w:rPr>
          <w:rFonts w:ascii="Arial" w:hAnsi="Arial"/>
          <w:b/>
          <w:i/>
          <w:color w:val="000000"/>
          <w:sz w:val="20"/>
        </w:rPr>
        <w:t>Trading</w:t>
      </w:r>
      <w:r>
        <w:rPr>
          <w:rFonts w:ascii="Times New Roman" w:hAnsi="Times New Roman"/>
          <w:color w:val="000000"/>
          <w:sz w:val="20"/>
        </w:rPr>
        <w:t xml:space="preserve">” </w:t>
      </w:r>
      <w:r>
        <w:rPr>
          <w:rFonts w:ascii="Arial" w:hAnsi="Arial"/>
          <w:color w:val="000000"/>
          <w:sz w:val="20"/>
        </w:rPr>
        <w:t>includes engaging in short sales, transactions in put or call options, hedging transactions and other inherently speculative transactions.</w:t>
      </w:r>
    </w:p>
    <w:p>
      <w:pPr>
        <w:pStyle w:val="TextBody"/>
        <w:bidi w:val="0"/>
        <w:spacing w:before="0" w:after="240"/>
        <w:jc w:val="both"/>
        <w:rPr>
          <w:rFonts w:ascii="Times New Roman" w:hAnsi="Times New Roman"/>
          <w:sz w:val="20"/>
        </w:rPr>
      </w:pPr>
      <w:r>
        <w:rPr>
          <w:rFonts w:ascii="Arial" w:hAnsi="Arial"/>
          <w:color w:val="000000"/>
          <w:sz w:val="20"/>
        </w:rPr>
        <w:t>You may not participate in “chat rooms” or other electronic discussion groups or contribute to blogs, bulletin boards or social media forums on the Internet concerning the activities of Rani or other companies</w:t>
      </w:r>
      <w:r>
        <w:rPr>
          <w:rFonts w:ascii="Times New Roman" w:hAnsi="Times New Roman"/>
          <w:color w:val="000000"/>
          <w:sz w:val="20"/>
        </w:rPr>
        <w:t xml:space="preserve"> </w:t>
      </w:r>
    </w:p>
    <w:p>
      <w:pPr>
        <w:pStyle w:val="TextBody"/>
        <w:bidi w:val="0"/>
        <w:jc w:val="center"/>
        <w:rPr>
          <w:rFonts w:ascii="Arial" w:hAnsi="Arial"/>
          <w:caps/>
          <w:color w:val="000000"/>
          <w:sz w:val="20"/>
        </w:rPr>
      </w:pPr>
      <w:r>
        <w:rPr>
          <w:rFonts w:ascii="Arial" w:hAnsi="Arial"/>
          <w:caps/>
          <w:color w:val="000000"/>
          <w:sz w:val="20"/>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with which Rani does business, even if you do so anonymously, unless doing so is part of your job responsibilities and you have explicit authorization from the Company’s Chief Financial Officer.</w:t>
      </w:r>
    </w:p>
    <w:p>
      <w:pPr>
        <w:pStyle w:val="TextBody"/>
        <w:bidi w:val="0"/>
        <w:spacing w:before="0" w:after="240"/>
        <w:jc w:val="both"/>
        <w:rPr>
          <w:rFonts w:ascii="Arial" w:hAnsi="Arial"/>
          <w:color w:val="000000"/>
          <w:sz w:val="20"/>
        </w:rPr>
      </w:pPr>
      <w:r>
        <w:rPr>
          <w:rFonts w:ascii="Arial" w:hAnsi="Arial"/>
          <w:color w:val="000000"/>
          <w:sz w:val="20"/>
        </w:rPr>
        <w:t>Although by no means an all-inclusive list, information about the following items may be considered to be inside information until it is publicly disseminated:</w:t>
      </w:r>
    </w:p>
    <w:p>
      <w:pPr>
        <w:pStyle w:val="TextBody"/>
        <w:bidi w:val="0"/>
        <w:spacing w:before="0" w:after="240"/>
        <w:jc w:val="both"/>
        <w:rPr>
          <w:rFonts w:ascii="Arial" w:hAnsi="Arial"/>
          <w:color w:val="000000"/>
          <w:sz w:val="20"/>
        </w:rPr>
      </w:pPr>
      <w:r>
        <w:rPr>
          <w:rFonts w:ascii="Arial" w:hAnsi="Arial"/>
          <w:color w:val="000000"/>
          <w:sz w:val="20"/>
        </w:rPr>
        <w:t>(a) financial results or forecasts;</w:t>
      </w:r>
    </w:p>
    <w:p>
      <w:pPr>
        <w:pStyle w:val="TextBody"/>
        <w:bidi w:val="0"/>
        <w:spacing w:before="0" w:after="240"/>
        <w:jc w:val="both"/>
        <w:rPr>
          <w:rFonts w:ascii="Arial" w:hAnsi="Arial"/>
          <w:color w:val="000000"/>
          <w:sz w:val="20"/>
        </w:rPr>
      </w:pPr>
      <w:r>
        <w:rPr>
          <w:rFonts w:ascii="Arial" w:hAnsi="Arial"/>
          <w:color w:val="000000"/>
          <w:sz w:val="20"/>
        </w:rPr>
        <w:t>(b) major new products or processes;</w:t>
      </w:r>
    </w:p>
    <w:p>
      <w:pPr>
        <w:pStyle w:val="TextBody"/>
        <w:bidi w:val="0"/>
        <w:spacing w:before="0" w:after="240"/>
        <w:jc w:val="both"/>
        <w:rPr>
          <w:rFonts w:ascii="Arial" w:hAnsi="Arial"/>
          <w:color w:val="000000"/>
          <w:sz w:val="20"/>
        </w:rPr>
      </w:pPr>
      <w:r>
        <w:rPr>
          <w:rFonts w:ascii="Arial" w:hAnsi="Arial"/>
          <w:color w:val="000000"/>
          <w:sz w:val="20"/>
        </w:rPr>
        <w:t>(c) acquisitions or dispositions of assets, divisions, companies, etc.;</w:t>
      </w:r>
    </w:p>
    <w:p>
      <w:pPr>
        <w:pStyle w:val="TextBody"/>
        <w:bidi w:val="0"/>
        <w:spacing w:before="0" w:after="240"/>
        <w:jc w:val="both"/>
        <w:rPr>
          <w:rFonts w:ascii="Arial" w:hAnsi="Arial"/>
          <w:color w:val="000000"/>
          <w:sz w:val="20"/>
        </w:rPr>
      </w:pPr>
      <w:r>
        <w:rPr>
          <w:rFonts w:ascii="Arial" w:hAnsi="Arial"/>
          <w:color w:val="000000"/>
          <w:sz w:val="20"/>
        </w:rPr>
        <w:t>(d) pending public or private sales of debt or equity securities;</w:t>
      </w:r>
    </w:p>
    <w:p>
      <w:pPr>
        <w:pStyle w:val="TextBody"/>
        <w:bidi w:val="0"/>
        <w:spacing w:before="0" w:after="240"/>
        <w:jc w:val="both"/>
        <w:rPr>
          <w:rFonts w:ascii="Arial" w:hAnsi="Arial"/>
          <w:color w:val="000000"/>
          <w:sz w:val="20"/>
        </w:rPr>
      </w:pPr>
      <w:r>
        <w:rPr>
          <w:rFonts w:ascii="Arial" w:hAnsi="Arial"/>
          <w:color w:val="000000"/>
          <w:sz w:val="20"/>
        </w:rPr>
        <w:t>(e) major contract awards or cancellations;</w:t>
      </w:r>
    </w:p>
    <w:p>
      <w:pPr>
        <w:pStyle w:val="TextBody"/>
        <w:bidi w:val="0"/>
        <w:spacing w:before="0" w:after="240"/>
        <w:jc w:val="both"/>
        <w:rPr>
          <w:rFonts w:ascii="Arial" w:hAnsi="Arial"/>
          <w:color w:val="000000"/>
          <w:sz w:val="20"/>
        </w:rPr>
      </w:pPr>
      <w:r>
        <w:rPr>
          <w:rFonts w:ascii="Arial" w:hAnsi="Arial"/>
          <w:color w:val="000000"/>
          <w:sz w:val="20"/>
        </w:rPr>
        <w:t>(f) scientific, clinical or regulatory results;</w:t>
      </w:r>
    </w:p>
    <w:p>
      <w:pPr>
        <w:pStyle w:val="TextBody"/>
        <w:bidi w:val="0"/>
        <w:spacing w:before="0" w:after="240"/>
        <w:jc w:val="both"/>
        <w:rPr>
          <w:rFonts w:ascii="Arial" w:hAnsi="Arial"/>
          <w:color w:val="000000"/>
          <w:sz w:val="20"/>
        </w:rPr>
      </w:pPr>
      <w:r>
        <w:rPr>
          <w:rFonts w:ascii="Arial" w:hAnsi="Arial"/>
          <w:color w:val="000000"/>
          <w:sz w:val="20"/>
        </w:rPr>
        <w:t>(g) top management or control changes;</w:t>
      </w:r>
    </w:p>
    <w:p>
      <w:pPr>
        <w:pStyle w:val="TextBody"/>
        <w:bidi w:val="0"/>
        <w:spacing w:before="0" w:after="240"/>
        <w:jc w:val="both"/>
        <w:rPr>
          <w:rFonts w:ascii="Arial" w:hAnsi="Arial"/>
          <w:color w:val="000000"/>
          <w:sz w:val="20"/>
        </w:rPr>
      </w:pPr>
      <w:r>
        <w:rPr>
          <w:rFonts w:ascii="Arial" w:hAnsi="Arial"/>
          <w:color w:val="000000"/>
          <w:sz w:val="20"/>
        </w:rPr>
        <w:t>(h) possible tender offers or proxy fights;</w:t>
      </w:r>
    </w:p>
    <w:p>
      <w:pPr>
        <w:pStyle w:val="TextBody"/>
        <w:bidi w:val="0"/>
        <w:spacing w:before="0" w:after="240"/>
        <w:jc w:val="both"/>
        <w:rPr>
          <w:rFonts w:ascii="Arial" w:hAnsi="Arial"/>
          <w:color w:val="000000"/>
          <w:sz w:val="20"/>
        </w:rPr>
      </w:pPr>
      <w:r>
        <w:rPr>
          <w:rFonts w:ascii="Arial" w:hAnsi="Arial"/>
          <w:color w:val="000000"/>
          <w:sz w:val="20"/>
        </w:rPr>
        <w:t>(i) significant writeoffs;</w:t>
      </w:r>
    </w:p>
    <w:p>
      <w:pPr>
        <w:pStyle w:val="TextBody"/>
        <w:bidi w:val="0"/>
        <w:spacing w:before="0" w:after="240"/>
        <w:jc w:val="both"/>
        <w:rPr>
          <w:rFonts w:ascii="Arial" w:hAnsi="Arial"/>
          <w:color w:val="000000"/>
          <w:sz w:val="20"/>
        </w:rPr>
      </w:pPr>
      <w:r>
        <w:rPr>
          <w:rFonts w:ascii="Arial" w:hAnsi="Arial"/>
          <w:color w:val="000000"/>
          <w:sz w:val="20"/>
        </w:rPr>
        <w:t>(j) significant litigation;</w:t>
      </w:r>
    </w:p>
    <w:p>
      <w:pPr>
        <w:pStyle w:val="TextBody"/>
        <w:bidi w:val="0"/>
        <w:spacing w:before="0" w:after="240"/>
        <w:jc w:val="both"/>
        <w:rPr>
          <w:rFonts w:ascii="Arial" w:hAnsi="Arial"/>
          <w:color w:val="000000"/>
          <w:sz w:val="20"/>
        </w:rPr>
      </w:pPr>
      <w:r>
        <w:rPr>
          <w:rFonts w:ascii="Arial" w:hAnsi="Arial"/>
          <w:color w:val="000000"/>
          <w:sz w:val="20"/>
        </w:rPr>
        <w:t>(k) impending bankruptcy;</w:t>
      </w:r>
    </w:p>
    <w:p>
      <w:pPr>
        <w:pStyle w:val="TextBody"/>
        <w:bidi w:val="0"/>
        <w:spacing w:before="0" w:after="240"/>
        <w:jc w:val="both"/>
        <w:rPr>
          <w:rFonts w:ascii="Arial" w:hAnsi="Arial"/>
          <w:color w:val="000000"/>
          <w:sz w:val="20"/>
        </w:rPr>
      </w:pPr>
      <w:r>
        <w:rPr>
          <w:rFonts w:ascii="Arial" w:hAnsi="Arial"/>
          <w:color w:val="000000"/>
          <w:sz w:val="20"/>
        </w:rPr>
        <w:t>(l) gain or loss of a significant license agreement or other contracts with customers or suppliers;</w:t>
      </w:r>
    </w:p>
    <w:p>
      <w:pPr>
        <w:pStyle w:val="TextBody"/>
        <w:bidi w:val="0"/>
        <w:spacing w:before="0" w:after="240"/>
        <w:jc w:val="both"/>
        <w:rPr>
          <w:rFonts w:ascii="Arial" w:hAnsi="Arial"/>
          <w:color w:val="000000"/>
          <w:sz w:val="20"/>
        </w:rPr>
      </w:pPr>
      <w:r>
        <w:rPr>
          <w:rFonts w:ascii="Arial" w:hAnsi="Arial"/>
          <w:color w:val="000000"/>
          <w:sz w:val="20"/>
        </w:rPr>
        <w:t>(m) pricing changes or discount policies;</w:t>
      </w:r>
    </w:p>
    <w:p>
      <w:pPr>
        <w:pStyle w:val="TextBody"/>
        <w:bidi w:val="0"/>
        <w:spacing w:before="0" w:after="240"/>
        <w:jc w:val="both"/>
        <w:rPr>
          <w:rFonts w:ascii="Arial" w:hAnsi="Arial"/>
          <w:color w:val="000000"/>
          <w:sz w:val="20"/>
        </w:rPr>
      </w:pPr>
      <w:r>
        <w:rPr>
          <w:rFonts w:ascii="Arial" w:hAnsi="Arial"/>
          <w:color w:val="000000"/>
          <w:sz w:val="20"/>
        </w:rPr>
        <w:t>(n) corporate partner relationships; and</w:t>
      </w:r>
    </w:p>
    <w:p>
      <w:pPr>
        <w:pStyle w:val="TextBody"/>
        <w:bidi w:val="0"/>
        <w:spacing w:before="0" w:after="240"/>
        <w:jc w:val="both"/>
        <w:rPr>
          <w:rFonts w:ascii="Arial" w:hAnsi="Arial"/>
          <w:color w:val="000000"/>
          <w:sz w:val="20"/>
        </w:rPr>
      </w:pPr>
      <w:r>
        <w:rPr>
          <w:rFonts w:ascii="Arial" w:hAnsi="Arial"/>
          <w:color w:val="000000"/>
          <w:sz w:val="20"/>
        </w:rPr>
        <w:t>(o) notice of issuance of patents;</w:t>
      </w:r>
    </w:p>
    <w:p>
      <w:pPr>
        <w:pStyle w:val="TextBody"/>
        <w:bidi w:val="0"/>
        <w:spacing w:before="0" w:after="240"/>
        <w:jc w:val="both"/>
        <w:rPr>
          <w:rFonts w:ascii="Arial" w:hAnsi="Arial"/>
          <w:color w:val="000000"/>
          <w:sz w:val="20"/>
        </w:rPr>
      </w:pPr>
      <w:r>
        <w:rPr>
          <w:rFonts w:ascii="Arial" w:hAnsi="Arial"/>
          <w:color w:val="000000"/>
          <w:sz w:val="20"/>
        </w:rPr>
        <w:t>(p) declaration of stock splits, dividends or changes in dividend policy.</w:t>
      </w:r>
    </w:p>
    <w:p>
      <w:pPr>
        <w:pStyle w:val="TextBody"/>
        <w:bidi w:val="0"/>
        <w:spacing w:before="0" w:after="240"/>
        <w:jc w:val="both"/>
        <w:rPr>
          <w:rFonts w:ascii="Arial" w:hAnsi="Arial"/>
          <w:color w:val="000000"/>
          <w:sz w:val="20"/>
        </w:rPr>
      </w:pPr>
      <w:r>
        <w:rPr>
          <w:rFonts w:ascii="Arial" w:hAnsi="Arial"/>
          <w:color w:val="000000"/>
          <w:sz w:val="20"/>
        </w:rPr>
        <w:t>For information to be considered publicly disseminated, it must be widely disclosed through a press release or SEC filing, and a sufficient amount of time must have passed to allow the information to be fully disclosed. Generally speaking, information will be considered publicly disseminated after two full trading days have elapsed since the date of public disclosure of the information. For example, if an announcement of inside information of which you were aware was made prior to trading on Wednesday, then you may execute a transaction in the Company’s securities on Friday.</w:t>
      </w:r>
    </w:p>
    <w:p>
      <w:pPr>
        <w:pStyle w:val="Heading1"/>
        <w:bidi w:val="0"/>
        <w:spacing w:before="0" w:after="240"/>
        <w:jc w:val="both"/>
        <w:rPr>
          <w:rFonts w:ascii="Arial" w:hAnsi="Arial"/>
          <w:smallCaps/>
          <w:color w:val="000000"/>
          <w:sz w:val="20"/>
        </w:rPr>
      </w:pPr>
      <w:r>
        <w:rPr>
          <w:rFonts w:ascii="Arial" w:hAnsi="Arial"/>
          <w:smallCaps/>
          <w:color w:val="000000"/>
          <w:sz w:val="20"/>
        </w:rPr>
        <w:t>Stock Trading by Directors, Employees and Consultants</w:t>
      </w:r>
    </w:p>
    <w:p>
      <w:pPr>
        <w:pStyle w:val="TextBody"/>
        <w:bidi w:val="0"/>
        <w:spacing w:before="0" w:after="240"/>
        <w:jc w:val="both"/>
        <w:rPr>
          <w:rFonts w:ascii="Arial" w:hAnsi="Arial"/>
          <w:color w:val="000000"/>
          <w:sz w:val="20"/>
        </w:rPr>
      </w:pPr>
      <w:r>
        <w:rPr>
          <w:rFonts w:ascii="Arial" w:hAnsi="Arial"/>
          <w:color w:val="000000"/>
          <w:sz w:val="20"/>
        </w:rPr>
        <w:t>We require that all directors, employees and consultants limit their transactions in the Company’s stock to defined time periods following public dissemination of quarterly and annual financial results and notify, and receive approval from, the Company’s Chief Financial Officer prior to engaging in transactions in the Company’s stock and observe other restrictions designed to minimize the risk of apparent or actual insider trading.</w:t>
      </w:r>
    </w:p>
    <w:p>
      <w:pPr>
        <w:pStyle w:val="TextBody"/>
        <w:bidi w:val="0"/>
        <w:jc w:val="center"/>
        <w:rPr>
          <w:rFonts w:ascii="Arial" w:hAnsi="Arial"/>
          <w:caps/>
          <w:color w:val="000000"/>
          <w:sz w:val="20"/>
        </w:rPr>
      </w:pPr>
      <w:r>
        <w:rPr>
          <w:rFonts w:ascii="Arial" w:hAnsi="Arial"/>
          <w:caps/>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Arial" w:hAnsi="Arial"/>
          <w:color w:val="000000"/>
          <w:sz w:val="20"/>
        </w:rPr>
      </w:pPr>
      <w:r>
        <w:rPr>
          <w:rFonts w:ascii="Arial" w:hAnsi="Arial"/>
          <w:color w:val="000000"/>
          <w:sz w:val="20"/>
        </w:rPr>
        <w:t>Covered Insiders</w:t>
      </w:r>
    </w:p>
    <w:p>
      <w:pPr>
        <w:pStyle w:val="TextBody"/>
        <w:bidi w:val="0"/>
        <w:spacing w:before="0" w:after="240"/>
        <w:jc w:val="both"/>
        <w:rPr>
          <w:rFonts w:ascii="Arial" w:hAnsi="Arial"/>
          <w:color w:val="000000"/>
          <w:sz w:val="20"/>
        </w:rPr>
      </w:pPr>
      <w:r>
        <w:rPr>
          <w:rFonts w:ascii="Arial" w:hAnsi="Arial"/>
          <w:color w:val="000000"/>
          <w:sz w:val="20"/>
        </w:rPr>
        <w:t>The provisions outlined in this stock trading policy apply to all directors, employees and consultants of the Company. Generally, any entities or family members or others whose trading activities are controlled or influenced by any of such persons should be considered to be subject to the same restrictions. Persons subject to this policy are reminded that although this policy is not applicable to third-parties such as investment funds and partnerships engaged in the investment of securities in the ordinary course of business that such person may be deemed to control or influence, federal securities laws prohibiting insider trading remain applicable, and such persons are advised to seek separate counsel if the trading activities of such third-party would, if this policy were applicable, otherwise violate this policy.</w:t>
      </w:r>
    </w:p>
    <w:p>
      <w:pPr>
        <w:pStyle w:val="Heading2"/>
        <w:bidi w:val="0"/>
        <w:spacing w:before="0" w:after="240"/>
        <w:jc w:val="both"/>
        <w:rPr>
          <w:rFonts w:ascii="Arial" w:hAnsi="Arial"/>
          <w:color w:val="000000"/>
          <w:sz w:val="20"/>
        </w:rPr>
      </w:pPr>
      <w:r>
        <w:rPr>
          <w:rFonts w:ascii="Arial" w:hAnsi="Arial"/>
          <w:color w:val="000000"/>
          <w:sz w:val="20"/>
        </w:rPr>
        <w:t>Window Period</w:t>
      </w:r>
    </w:p>
    <w:p>
      <w:pPr>
        <w:pStyle w:val="TextBody"/>
        <w:bidi w:val="0"/>
        <w:spacing w:before="0" w:after="240"/>
        <w:jc w:val="both"/>
        <w:rPr>
          <w:rFonts w:ascii="Times New Roman" w:hAnsi="Times New Roman"/>
          <w:sz w:val="20"/>
        </w:rPr>
      </w:pPr>
      <w:r>
        <w:rPr>
          <w:rFonts w:ascii="Arial" w:hAnsi="Arial"/>
          <w:color w:val="000000"/>
          <w:sz w:val="20"/>
        </w:rPr>
        <w:t>Generally, except as set forth in this policy, all directors, employees and consultants may buy or sell securities of the Company at any time other than during a blackout period (as defined below). From time to time, the Company’s (i) Chief Executive Officer and/or (ii) Chief Financial Officer, may require that directors, employees and consultants suspend trading in the Company’s securities because there exists undisclosed information that would make trades by the Company’s directors, employees and consultants inappropriate. The period during which trading is suspended is referred to in this policy as a “</w:t>
      </w:r>
      <w:r>
        <w:rPr>
          <w:rFonts w:ascii="Arial" w:hAnsi="Arial"/>
          <w:b/>
          <w:i/>
          <w:color w:val="000000"/>
          <w:sz w:val="20"/>
        </w:rPr>
        <w:t>blackout period</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It is important to note that the fact that the Company is in a blackout period should be considered inside information. Any directors, employees or consultants who believe that special circumstances require him or her to trade during the blackout period should consult with the Company’s Chief Financial Officer who will consult with the Company’s outside counsel. Permission to trade during a blackout period will be granted only where the circumstances are extenuating and there appears to be no significant risk that the trade may subsequently be questioned.</w:t>
      </w:r>
    </w:p>
    <w:p>
      <w:pPr>
        <w:pStyle w:val="Heading2"/>
        <w:bidi w:val="0"/>
        <w:spacing w:before="0" w:after="240"/>
        <w:jc w:val="both"/>
        <w:rPr>
          <w:rFonts w:ascii="Arial" w:hAnsi="Arial"/>
          <w:color w:val="000000"/>
          <w:sz w:val="20"/>
        </w:rPr>
      </w:pPr>
      <w:r>
        <w:rPr>
          <w:rFonts w:ascii="Arial" w:hAnsi="Arial"/>
          <w:color w:val="000000"/>
          <w:sz w:val="20"/>
        </w:rPr>
        <w:t>Exceptions to Window Period</w:t>
      </w:r>
    </w:p>
    <w:p>
      <w:pPr>
        <w:pStyle w:val="TextBody"/>
        <w:bidi w:val="0"/>
        <w:spacing w:before="0" w:after="240"/>
        <w:jc w:val="both"/>
        <w:rPr>
          <w:rFonts w:ascii="Arial" w:hAnsi="Arial"/>
          <w:b/>
          <w:color w:val="000000"/>
          <w:sz w:val="20"/>
        </w:rPr>
      </w:pPr>
      <w:r>
        <w:rPr>
          <w:rFonts w:ascii="Arial" w:hAnsi="Arial"/>
          <w:b/>
          <w:color w:val="000000"/>
          <w:sz w:val="20"/>
        </w:rPr>
        <w:t>1.</w:t>
      </w:r>
    </w:p>
    <w:p>
      <w:pPr>
        <w:pStyle w:val="TextBody"/>
        <w:bidi w:val="0"/>
        <w:spacing w:before="0" w:after="240"/>
        <w:jc w:val="both"/>
        <w:rPr/>
      </w:pPr>
      <w:r>
        <w:rPr>
          <w:rFonts w:ascii="Arial" w:hAnsi="Arial"/>
          <w:b/>
          <w:color w:val="000000"/>
          <w:sz w:val="20"/>
        </w:rPr>
        <w:t>ESPP/Option Exercises</w:t>
      </w:r>
      <w:r>
        <w:rPr>
          <w:rFonts w:ascii="Arial" w:hAnsi="Arial"/>
          <w:color w:val="000000"/>
          <w:sz w:val="20"/>
        </w:rPr>
        <w:t>. Employees who are eligible to do so may purchase stock under the Company’s Employee Stock Purchase Plan (“</w:t>
      </w:r>
      <w:r>
        <w:rPr>
          <w:rFonts w:ascii="Arial" w:hAnsi="Arial"/>
          <w:b/>
          <w:i/>
          <w:color w:val="000000"/>
          <w:sz w:val="20"/>
        </w:rPr>
        <w:t>ESPP</w:t>
      </w:r>
      <w:r>
        <w:rPr>
          <w:color w:val="000000"/>
        </w:rPr>
        <w:t>”</w:t>
      </w:r>
      <w:r>
        <w:rPr>
          <w:rFonts w:ascii="Arial" w:hAnsi="Arial"/>
          <w:color w:val="000000"/>
          <w:sz w:val="20"/>
        </w:rPr>
        <w:t>) on periodic designated dates in accordance with the ESPP without restriction to any particular period. Directors, employees and consultants may exercise options for cash granted under the Company’s stock option plans without restriction to any particular period. However, the subsequent sale of the stock (including sales of stock in a cashless exercise, but not forfeitures of stock to the Company) acquired upon the exercise of options or pursuant to the ESPP is subject to all provisions of this policy.</w:t>
      </w:r>
    </w:p>
    <w:p>
      <w:pPr>
        <w:pStyle w:val="TextBody"/>
        <w:bidi w:val="0"/>
        <w:spacing w:before="0" w:after="240"/>
        <w:jc w:val="both"/>
        <w:rPr>
          <w:rFonts w:ascii="Arial" w:hAnsi="Arial"/>
          <w:b/>
          <w:color w:val="000000"/>
          <w:sz w:val="20"/>
        </w:rPr>
      </w:pPr>
      <w:r>
        <w:rPr>
          <w:rFonts w:ascii="Arial" w:hAnsi="Arial"/>
          <w:b/>
          <w:color w:val="000000"/>
          <w:sz w:val="20"/>
        </w:rPr>
        <w:t>2.</w:t>
      </w:r>
    </w:p>
    <w:p>
      <w:pPr>
        <w:pStyle w:val="TextBody"/>
        <w:bidi w:val="0"/>
        <w:spacing w:before="0" w:after="240"/>
        <w:jc w:val="both"/>
        <w:rPr/>
      </w:pPr>
      <w:r>
        <w:rPr>
          <w:rFonts w:ascii="Arial" w:hAnsi="Arial"/>
          <w:b/>
          <w:color w:val="000000"/>
          <w:sz w:val="20"/>
        </w:rPr>
        <w:t>10b5-1 Automatic Trading Programs</w:t>
      </w:r>
      <w:r>
        <w:rPr>
          <w:rFonts w:ascii="Arial" w:hAnsi="Arial"/>
          <w:color w:val="000000"/>
          <w:sz w:val="20"/>
        </w:rPr>
        <w:t>. In addition, purchases or sales of the Company’s securities made pursuant to, and in compliance with, a written plan established by a director or executive officer or other member of management that meets the requirements of Rule 10b5-1 under the Securities Exchange Act of 1934, as amended (the “</w:t>
      </w:r>
      <w:r>
        <w:rPr>
          <w:rFonts w:ascii="Arial" w:hAnsi="Arial"/>
          <w:b/>
          <w:i/>
          <w:color w:val="000000"/>
          <w:sz w:val="20"/>
        </w:rPr>
        <w:t>Exchange Act</w:t>
      </w:r>
      <w:r>
        <w:rPr>
          <w:color w:val="000000"/>
        </w:rPr>
        <w:t>”</w:t>
      </w:r>
      <w:r>
        <w:rPr>
          <w:rFonts w:ascii="Arial" w:hAnsi="Arial"/>
          <w:color w:val="000000"/>
          <w:sz w:val="20"/>
        </w:rPr>
        <w:t>) (a “</w:t>
      </w:r>
      <w:r>
        <w:rPr>
          <w:rFonts w:ascii="Arial" w:hAnsi="Arial"/>
          <w:b/>
          <w:i/>
          <w:color w:val="000000"/>
          <w:sz w:val="20"/>
        </w:rPr>
        <w:t>Trading Plan</w:t>
      </w:r>
      <w:r>
        <w:rPr>
          <w:color w:val="000000"/>
        </w:rPr>
        <w:t>”</w:t>
      </w:r>
      <w:r>
        <w:rPr>
          <w:rFonts w:ascii="Arial" w:hAnsi="Arial"/>
          <w:color w:val="000000"/>
          <w:sz w:val="20"/>
        </w:rPr>
        <w:t>) may be made without restriction to any particular period provided that (i) the Trading Plan was established in good faith, in compliance with the requirements of Rule 10b5-1, at the time when such individual was not in possession of inside information about the Company and the Company had not imposed any trading blackout period, (ii) the Trading Plan was reviewed by the Company prior to establishment, solely to confirm compliance with this policy and the securities laws. The Company must be notified of the establishment of any such Trading Plan, any amendments to such Trading Plan and the termination of such Trading Plan.</w:t>
      </w:r>
    </w:p>
    <w:p>
      <w:pPr>
        <w:pStyle w:val="Heading2"/>
        <w:bidi w:val="0"/>
        <w:spacing w:before="0" w:after="240"/>
        <w:jc w:val="both"/>
        <w:rPr>
          <w:rFonts w:ascii="Arial" w:hAnsi="Arial"/>
          <w:color w:val="000000"/>
          <w:sz w:val="20"/>
        </w:rPr>
      </w:pPr>
      <w:r>
        <w:rPr>
          <w:rFonts w:ascii="Arial" w:hAnsi="Arial"/>
          <w:color w:val="000000"/>
          <w:sz w:val="20"/>
        </w:rPr>
        <w:t>Pre-Clearance and Advance Notice of Transactions</w:t>
      </w:r>
    </w:p>
    <w:p>
      <w:pPr>
        <w:pStyle w:val="TextBody"/>
        <w:bidi w:val="0"/>
        <w:spacing w:before="0" w:after="240"/>
        <w:jc w:val="both"/>
        <w:rPr>
          <w:rFonts w:ascii="Times New Roman" w:hAnsi="Times New Roman"/>
          <w:sz w:val="20"/>
        </w:rPr>
      </w:pPr>
      <w:r>
        <w:rPr>
          <w:rFonts w:ascii="Arial" w:hAnsi="Arial"/>
          <w:color w:val="000000"/>
          <w:sz w:val="20"/>
        </w:rPr>
        <w:t>In addition to the requirements of above, directors and executive officers may not engage in any transaction in the Company’s securities, including any purchase or sale in the open market, loan, pledge, hedge or other transfer of beneficial ownership. Officers and directors must first obtain pre-clearance of the transaction from the Company’s Chief Financial Officer (the “</w:t>
      </w:r>
      <w:r>
        <w:rPr>
          <w:rFonts w:ascii="Arial" w:hAnsi="Arial"/>
          <w:b/>
          <w:i/>
          <w:color w:val="000000"/>
          <w:sz w:val="20"/>
        </w:rPr>
        <w:t>Clearing Officer</w:t>
      </w:r>
      <w:r>
        <w:rPr>
          <w:rFonts w:ascii="Times New Roman" w:hAnsi="Times New Roman"/>
          <w:color w:val="000000"/>
          <w:sz w:val="20"/>
        </w:rPr>
        <w:t>”</w:t>
      </w:r>
      <w:r>
        <w:rPr>
          <w:rFonts w:ascii="Arial" w:hAnsi="Arial"/>
          <w:color w:val="000000"/>
          <w:sz w:val="20"/>
        </w:rPr>
        <w:t>) at least two business days in advance of the proposed transaction. The Clearing Officer will then determine whether the transaction may proceed and, if so, will direct the Compliance Coordinator (as identified in the Company’s Section 16 Compliance Program) to assist in complying with the reporting requirements under Section 16(a) of the</w:t>
      </w:r>
      <w:r>
        <w:rPr>
          <w:rFonts w:ascii="Times New Roman" w:hAnsi="Times New Roman"/>
          <w:color w:val="000000"/>
          <w:sz w:val="20"/>
        </w:rPr>
        <w:t xml:space="preserve"> </w:t>
      </w:r>
    </w:p>
    <w:p>
      <w:pPr>
        <w:pStyle w:val="TextBody"/>
        <w:bidi w:val="0"/>
        <w:jc w:val="center"/>
        <w:rPr>
          <w:rFonts w:ascii="Arial" w:hAnsi="Arial"/>
          <w:caps/>
          <w:color w:val="000000"/>
          <w:sz w:val="20"/>
        </w:rPr>
      </w:pPr>
      <w:r>
        <w:rPr>
          <w:rFonts w:ascii="Arial" w:hAnsi="Arial"/>
          <w:caps/>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Exchange Act, if any. Pre-cleared transactions not completed within five business days shall require new pre-clearance under the provisions of this paragraph. The Company may, at its discretion, shorten such period of time.</w:t>
      </w:r>
    </w:p>
    <w:p>
      <w:pPr>
        <w:pStyle w:val="TextBody"/>
        <w:bidi w:val="0"/>
        <w:spacing w:before="0" w:after="240"/>
        <w:jc w:val="both"/>
        <w:rPr>
          <w:rFonts w:ascii="Arial" w:hAnsi="Arial"/>
          <w:color w:val="000000"/>
          <w:sz w:val="20"/>
        </w:rPr>
      </w:pPr>
      <w:r>
        <w:rPr>
          <w:rFonts w:ascii="Arial" w:hAnsi="Arial"/>
          <w:color w:val="000000"/>
          <w:sz w:val="20"/>
        </w:rPr>
        <w:t>Advance notice of gifts or an intent to exercise an outstanding stock option shall be given to a Clearing Officer. To the extent possible, advance notice of upcoming transactions to be effected pursuant to an established Trading Plan shall also be given to a Clearing Officer. Upon completion of any transaction, the directors, employees or consultants must immediately notify the Compliance Coordinator and any other individuals identified in Section 3 of the Company’s Section 16 Compliance Program so that the Company may assist in any Section 16 reporting obligations.</w:t>
      </w:r>
    </w:p>
    <w:p>
      <w:pPr>
        <w:pStyle w:val="Heading2"/>
        <w:bidi w:val="0"/>
        <w:spacing w:before="0" w:after="240"/>
        <w:jc w:val="both"/>
        <w:rPr>
          <w:rFonts w:ascii="Arial" w:hAnsi="Arial"/>
          <w:color w:val="000000"/>
          <w:sz w:val="20"/>
        </w:rPr>
      </w:pPr>
      <w:r>
        <w:rPr>
          <w:rFonts w:ascii="Arial" w:hAnsi="Arial"/>
          <w:color w:val="000000"/>
          <w:sz w:val="20"/>
        </w:rPr>
        <w:t>Prohibition of Speculative or Short-Term Trading</w:t>
      </w:r>
    </w:p>
    <w:p>
      <w:pPr>
        <w:pStyle w:val="TextBody"/>
        <w:bidi w:val="0"/>
        <w:spacing w:before="0" w:after="240"/>
        <w:jc w:val="both"/>
        <w:rPr>
          <w:rFonts w:ascii="Arial" w:hAnsi="Arial"/>
          <w:color w:val="000000"/>
          <w:sz w:val="20"/>
        </w:rPr>
      </w:pPr>
      <w:r>
        <w:rPr>
          <w:rFonts w:ascii="Arial" w:hAnsi="Arial"/>
          <w:color w:val="000000"/>
          <w:sz w:val="20"/>
        </w:rPr>
        <w:t>No director, employee or consultant to Rani may engage in short sales, transactions in put or call options, hedging transactions, margin accounts, pledges, or other inherently speculative transactions with respect to the Company’s stock at any time.</w:t>
      </w:r>
    </w:p>
    <w:p>
      <w:pPr>
        <w:pStyle w:val="Heading2"/>
        <w:bidi w:val="0"/>
        <w:spacing w:before="0" w:after="240"/>
        <w:jc w:val="both"/>
        <w:rPr>
          <w:rFonts w:ascii="Arial" w:hAnsi="Arial"/>
          <w:color w:val="000000"/>
          <w:sz w:val="20"/>
        </w:rPr>
      </w:pPr>
      <w:r>
        <w:rPr>
          <w:rFonts w:ascii="Arial" w:hAnsi="Arial"/>
          <w:color w:val="000000"/>
          <w:sz w:val="20"/>
        </w:rPr>
        <w:t>Short-Swing Trading/Control Stock/Section 16 Reports</w:t>
      </w:r>
    </w:p>
    <w:p>
      <w:pPr>
        <w:pStyle w:val="TextBody"/>
        <w:bidi w:val="0"/>
        <w:spacing w:before="0" w:after="240"/>
        <w:jc w:val="both"/>
        <w:rPr>
          <w:rFonts w:ascii="Arial" w:hAnsi="Arial"/>
          <w:color w:val="000000"/>
          <w:sz w:val="20"/>
        </w:rPr>
      </w:pPr>
      <w:r>
        <w:rPr>
          <w:rFonts w:ascii="Arial" w:hAnsi="Arial"/>
          <w:color w:val="000000"/>
          <w:sz w:val="20"/>
        </w:rPr>
        <w:t>Officers and directors subject to the reporting obligations 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which are enumerated and described in the Company’s Section 16 Compliance Program, and any notices of sale required by Rule 144.</w:t>
      </w:r>
    </w:p>
    <w:p>
      <w:pPr>
        <w:pStyle w:val="Heading1"/>
        <w:bidi w:val="0"/>
        <w:spacing w:before="0" w:after="240"/>
        <w:jc w:val="both"/>
        <w:rPr>
          <w:rFonts w:ascii="Arial" w:hAnsi="Arial"/>
          <w:smallCaps/>
          <w:color w:val="000000"/>
          <w:sz w:val="20"/>
        </w:rPr>
      </w:pPr>
      <w:r>
        <w:rPr>
          <w:rFonts w:ascii="Arial" w:hAnsi="Arial"/>
          <w:smallCaps/>
          <w:color w:val="000000"/>
          <w:sz w:val="20"/>
        </w:rPr>
        <w:t>Duration Of Policy’s Applicability</w:t>
      </w:r>
    </w:p>
    <w:p>
      <w:pPr>
        <w:pStyle w:val="TextBody"/>
        <w:bidi w:val="0"/>
        <w:spacing w:before="0" w:after="240"/>
        <w:jc w:val="both"/>
        <w:rPr>
          <w:rFonts w:ascii="Arial" w:hAnsi="Arial"/>
          <w:color w:val="000000"/>
          <w:sz w:val="20"/>
        </w:rPr>
      </w:pPr>
      <w:r>
        <w:rPr>
          <w:rFonts w:ascii="Arial" w:hAnsi="Arial"/>
          <w:color w:val="000000"/>
          <w:sz w:val="20"/>
        </w:rPr>
        <w:t>This policy continues to apply to your transactions in the Company’s stock or the stock of other public companies engaged in business transactions with the Company even after your employment, directorship or consultancy with the Company has terminated. If you are in possession of inside information when your relationship with the Company concludes, you may not trade in the Company’s stock or the stock of such other company until the information has been publicly disseminated or is no longer material.</w:t>
      </w:r>
    </w:p>
    <w:p>
      <w:pPr>
        <w:pStyle w:val="Heading1"/>
        <w:bidi w:val="0"/>
        <w:spacing w:before="0" w:after="240"/>
        <w:jc w:val="both"/>
        <w:rPr>
          <w:rFonts w:ascii="Arial" w:hAnsi="Arial"/>
          <w:smallCaps/>
          <w:color w:val="000000"/>
          <w:sz w:val="20"/>
        </w:rPr>
      </w:pPr>
      <w:r>
        <w:rPr>
          <w:rFonts w:ascii="Arial" w:hAnsi="Arial"/>
          <w:smallCaps/>
          <w:color w:val="000000"/>
          <w:sz w:val="20"/>
        </w:rPr>
        <w:t>Penalties</w:t>
      </w:r>
    </w:p>
    <w:p>
      <w:pPr>
        <w:pStyle w:val="TextBody"/>
        <w:bidi w:val="0"/>
        <w:spacing w:before="0" w:after="240"/>
        <w:jc w:val="both"/>
        <w:rPr>
          <w:rFonts w:ascii="Times New Roman" w:hAnsi="Times New Roman"/>
          <w:sz w:val="20"/>
        </w:rPr>
      </w:pPr>
      <w:r>
        <w:rPr>
          <w:rFonts w:ascii="Arial" w:hAnsi="Arial"/>
          <w:color w:val="000000"/>
          <w:sz w:val="20"/>
        </w:rPr>
        <w:t xml:space="preserve">Anyone who effects transactions in the Company’s stock or the stock of other public companies engaged in business transactions with the Company (or provides information to enable others to do so) on the basis of inside information is subject to both civil liability and criminal penalties, as well as disciplinary action by the Company. An employee, director or consultant who has questions about this policy should contact his or her own attorney or the Company’s Chief Financial Officer at svai@ranitherapeutics.com. Please also see Frequently Asked Questions attached hereto as </w:t>
      </w:r>
      <w:r>
        <w:rPr>
          <w:rFonts w:ascii="Arial" w:hAnsi="Arial"/>
          <w:b/>
          <w:smallCaps/>
          <w:color w:val="000000"/>
          <w:sz w:val="20"/>
        </w:rPr>
        <w:t>Exhibit A</w:t>
      </w:r>
      <w:r>
        <w:rPr>
          <w:rFonts w:ascii="Arial" w:hAnsi="Arial"/>
          <w:color w:val="000000"/>
          <w:sz w:val="20"/>
        </w:rPr>
        <w:t>.</w:t>
      </w:r>
    </w:p>
    <w:p>
      <w:pPr>
        <w:pStyle w:val="TextBody"/>
        <w:bidi w:val="0"/>
        <w:jc w:val="center"/>
        <w:rPr>
          <w:rFonts w:ascii="Arial" w:hAnsi="Arial"/>
          <w:caps/>
          <w:color w:val="000000"/>
          <w:sz w:val="20"/>
        </w:rPr>
      </w:pPr>
      <w:r>
        <w:rPr>
          <w:rFonts w:ascii="Arial" w:hAnsi="Arial"/>
          <w:caps/>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pPr>
      <w:r>
        <w:rPr/>
        <w:t> </w:t>
      </w:r>
    </w:p>
    <w:p>
      <w:pPr>
        <w:pStyle w:val="TextBody"/>
        <w:bidi w:val="0"/>
        <w:jc w:val="left"/>
        <w:rPr/>
      </w:pPr>
      <w:r>
        <w:rPr/>
        <w:t> </w:t>
      </w:r>
    </w:p>
    <w:p>
      <w:pPr>
        <w:pStyle w:val="Heading1"/>
        <w:bidi w:val="0"/>
        <w:spacing w:before="0" w:after="240"/>
        <w:jc w:val="center"/>
        <w:rPr>
          <w:rFonts w:ascii="Arial" w:hAnsi="Arial"/>
          <w:smallCaps/>
          <w:color w:val="000000"/>
          <w:sz w:val="20"/>
        </w:rPr>
      </w:pPr>
      <w:r>
        <w:rPr>
          <w:rFonts w:ascii="Arial" w:hAnsi="Arial"/>
          <w:smallCaps/>
          <w:color w:val="000000"/>
          <w:sz w:val="20"/>
        </w:rPr>
        <w:t>EXHIBIT A</w:t>
      </w:r>
    </w:p>
    <w:p>
      <w:pPr>
        <w:pStyle w:val="Heading1"/>
        <w:bidi w:val="0"/>
        <w:spacing w:before="0" w:after="240"/>
        <w:jc w:val="center"/>
        <w:rPr>
          <w:rFonts w:ascii="Arial" w:hAnsi="Arial"/>
          <w:smallCaps/>
          <w:color w:val="000000"/>
          <w:sz w:val="20"/>
        </w:rPr>
      </w:pPr>
      <w:r>
        <w:rPr>
          <w:rFonts w:ascii="Arial" w:hAnsi="Arial"/>
          <w:smallCaps/>
          <w:color w:val="000000"/>
          <w:sz w:val="20"/>
        </w:rPr>
        <w:t>Frequently Asked Questions</w:t>
      </w:r>
    </w:p>
    <w:p>
      <w:pPr>
        <w:pStyle w:val="TextBody"/>
        <w:bidi w:val="0"/>
        <w:spacing w:before="0" w:after="240"/>
        <w:jc w:val="both"/>
        <w:rPr>
          <w:rFonts w:ascii="Arial" w:hAnsi="Arial"/>
          <w:b/>
          <w:smallCaps/>
          <w:color w:val="000000"/>
          <w:sz w:val="20"/>
        </w:rPr>
      </w:pPr>
      <w:r>
        <w:rPr>
          <w:rFonts w:ascii="Arial" w:hAnsi="Arial"/>
          <w:b/>
          <w:smallCaps/>
          <w:color w:val="000000"/>
          <w:sz w:val="20"/>
        </w:rPr>
        <w:t>1.</w:t>
      </w:r>
    </w:p>
    <w:p>
      <w:pPr>
        <w:pStyle w:val="TextBody"/>
        <w:bidi w:val="0"/>
        <w:spacing w:before="0" w:after="240"/>
        <w:jc w:val="both"/>
        <w:rPr>
          <w:rFonts w:ascii="Arial" w:hAnsi="Arial"/>
          <w:b/>
          <w:color w:val="000000"/>
          <w:sz w:val="20"/>
        </w:rPr>
      </w:pPr>
      <w:r>
        <w:rPr>
          <w:rFonts w:ascii="Arial" w:hAnsi="Arial"/>
          <w:b/>
          <w:color w:val="000000"/>
          <w:sz w:val="20"/>
        </w:rPr>
        <w:t>What is insider trading?</w:t>
      </w:r>
    </w:p>
    <w:p>
      <w:pPr>
        <w:pStyle w:val="TextBody"/>
        <w:bidi w:val="0"/>
        <w:spacing w:before="0" w:after="240"/>
        <w:jc w:val="both"/>
        <w:rPr>
          <w:rFonts w:ascii="Arial" w:hAnsi="Arial"/>
          <w:color w:val="000000"/>
          <w:sz w:val="20"/>
        </w:rPr>
      </w:pPr>
      <w:r>
        <w:rPr>
          <w:rFonts w:ascii="Arial" w:hAnsi="Arial"/>
          <w:color w:val="000000"/>
          <w:sz w:val="20"/>
        </w:rPr>
        <w:t>A: Insider trading is the buying or selling of stocks, bonds, futures, or other securities by someone in possession of material, nonpublic information. Insider trading also includes trading in options (puts and calls) the price of which is linked to the underlying price of a company’s stock. It does not matter how many shares you buy or sell, or whether it has an effect on the stock price – if you have material, nonpublic information and you trade, you have broken the law.</w:t>
      </w:r>
    </w:p>
    <w:p>
      <w:pPr>
        <w:pStyle w:val="TextBody"/>
        <w:bidi w:val="0"/>
        <w:spacing w:before="0" w:after="240"/>
        <w:jc w:val="both"/>
        <w:rPr>
          <w:rFonts w:ascii="Arial" w:hAnsi="Arial"/>
          <w:b/>
          <w:smallCaps/>
          <w:color w:val="000000"/>
          <w:sz w:val="20"/>
        </w:rPr>
      </w:pPr>
      <w:r>
        <w:rPr>
          <w:rFonts w:ascii="Arial" w:hAnsi="Arial"/>
          <w:b/>
          <w:smallCaps/>
          <w:color w:val="000000"/>
          <w:sz w:val="20"/>
        </w:rPr>
        <w:t>2.</w:t>
      </w:r>
    </w:p>
    <w:p>
      <w:pPr>
        <w:pStyle w:val="TextBody"/>
        <w:bidi w:val="0"/>
        <w:spacing w:before="0" w:after="240"/>
        <w:jc w:val="both"/>
        <w:rPr>
          <w:rFonts w:ascii="Arial" w:hAnsi="Arial"/>
          <w:b/>
          <w:color w:val="000000"/>
          <w:sz w:val="20"/>
        </w:rPr>
      </w:pPr>
      <w:r>
        <w:rPr>
          <w:rFonts w:ascii="Arial" w:hAnsi="Arial"/>
          <w:b/>
          <w:color w:val="000000"/>
          <w:sz w:val="20"/>
        </w:rPr>
        <w:t>Why is insider trading illegal?</w:t>
      </w:r>
    </w:p>
    <w:p>
      <w:pPr>
        <w:pStyle w:val="TextBody"/>
        <w:bidi w:val="0"/>
        <w:spacing w:before="0" w:after="240"/>
        <w:jc w:val="both"/>
        <w:rPr>
          <w:rFonts w:ascii="Arial" w:hAnsi="Arial"/>
          <w:color w:val="000000"/>
          <w:sz w:val="20"/>
        </w:rPr>
      </w:pPr>
      <w:r>
        <w:rPr>
          <w:rFonts w:ascii="Arial" w:hAnsi="Arial"/>
          <w:color w:val="000000"/>
          <w:sz w:val="20"/>
        </w:rPr>
        <w:t>A: If company insiders are able to use their confidential knowledge to their financial advantage, other investors would not have confidence in the fairness and integrity of the marketplace. Requiring those who have such information to disclose (the information to the public) or abstain (from trading) ensures an even playing field.</w:t>
      </w:r>
    </w:p>
    <w:p>
      <w:pPr>
        <w:pStyle w:val="TextBody"/>
        <w:bidi w:val="0"/>
        <w:spacing w:before="0" w:after="240"/>
        <w:jc w:val="both"/>
        <w:rPr>
          <w:rFonts w:ascii="Arial" w:hAnsi="Arial"/>
          <w:b/>
          <w:smallCaps/>
          <w:color w:val="000000"/>
          <w:sz w:val="20"/>
        </w:rPr>
      </w:pPr>
      <w:r>
        <w:rPr>
          <w:rFonts w:ascii="Arial" w:hAnsi="Arial"/>
          <w:b/>
          <w:smallCaps/>
          <w:color w:val="000000"/>
          <w:sz w:val="20"/>
        </w:rPr>
        <w:t>3.</w:t>
      </w:r>
    </w:p>
    <w:p>
      <w:pPr>
        <w:pStyle w:val="TextBody"/>
        <w:bidi w:val="0"/>
        <w:spacing w:before="0" w:after="240"/>
        <w:jc w:val="both"/>
        <w:rPr>
          <w:rFonts w:ascii="Arial" w:hAnsi="Arial"/>
          <w:b/>
          <w:color w:val="000000"/>
          <w:sz w:val="20"/>
        </w:rPr>
      </w:pPr>
      <w:r>
        <w:rPr>
          <w:rFonts w:ascii="Arial" w:hAnsi="Arial"/>
          <w:b/>
          <w:color w:val="000000"/>
          <w:sz w:val="20"/>
        </w:rPr>
        <w:t>What is material, nonpublic information?</w:t>
      </w:r>
    </w:p>
    <w:p>
      <w:pPr>
        <w:pStyle w:val="TextBody"/>
        <w:bidi w:val="0"/>
        <w:spacing w:before="0" w:after="240"/>
        <w:jc w:val="both"/>
        <w:rPr>
          <w:rFonts w:ascii="Arial" w:hAnsi="Arial"/>
          <w:color w:val="000000"/>
          <w:sz w:val="20"/>
        </w:rPr>
      </w:pPr>
      <w:r>
        <w:rPr>
          <w:rFonts w:ascii="Arial" w:hAnsi="Arial"/>
          <w:color w:val="000000"/>
          <w:sz w:val="20"/>
        </w:rPr>
        <w:t>A: Information is material if it would influence a reasonable investor to buy or sell a stock, bond or other security. This could mean many things – financial results, potential mergers, major contracts, etc. Information is nonpublic if it has not yet been released and disseminated to the public.</w:t>
      </w:r>
    </w:p>
    <w:p>
      <w:pPr>
        <w:pStyle w:val="TextBody"/>
        <w:bidi w:val="0"/>
        <w:spacing w:before="0" w:after="240"/>
        <w:jc w:val="both"/>
        <w:rPr>
          <w:rFonts w:ascii="Arial" w:hAnsi="Arial"/>
          <w:b/>
          <w:smallCaps/>
          <w:color w:val="000000"/>
          <w:sz w:val="20"/>
        </w:rPr>
      </w:pPr>
      <w:r>
        <w:rPr>
          <w:rFonts w:ascii="Arial" w:hAnsi="Arial"/>
          <w:b/>
          <w:smallCaps/>
          <w:color w:val="000000"/>
          <w:sz w:val="20"/>
        </w:rPr>
        <w:t>4.</w:t>
      </w:r>
    </w:p>
    <w:p>
      <w:pPr>
        <w:pStyle w:val="TextBody"/>
        <w:bidi w:val="0"/>
        <w:spacing w:before="0" w:after="240"/>
        <w:jc w:val="both"/>
        <w:rPr>
          <w:rFonts w:ascii="Arial" w:hAnsi="Arial"/>
          <w:b/>
          <w:color w:val="000000"/>
          <w:sz w:val="20"/>
        </w:rPr>
      </w:pPr>
      <w:r>
        <w:rPr>
          <w:rFonts w:ascii="Arial" w:hAnsi="Arial"/>
          <w:b/>
          <w:color w:val="000000"/>
          <w:sz w:val="20"/>
        </w:rPr>
        <w:t>Who can be guilty of insider trading?</w:t>
      </w:r>
    </w:p>
    <w:p>
      <w:pPr>
        <w:pStyle w:val="TextBody"/>
        <w:bidi w:val="0"/>
        <w:spacing w:before="0" w:after="240"/>
        <w:jc w:val="both"/>
        <w:rPr>
          <w:rFonts w:ascii="Arial" w:hAnsi="Arial"/>
          <w:color w:val="000000"/>
          <w:sz w:val="20"/>
        </w:rPr>
      </w:pPr>
      <w:r>
        <w:rPr>
          <w:rFonts w:ascii="Arial" w:hAnsi="Arial"/>
          <w:color w:val="000000"/>
          <w:sz w:val="20"/>
        </w:rPr>
        <w:t>A: Anyone who buys or sells a security while in possession of material, nonpublic information. It does not matter if you are not an executive officer or director, or even if you do not work at Rani– if you know something material about the value of a security that not everyone else does, regardless of who you are, you can be found guilty of insider trading.</w:t>
      </w:r>
    </w:p>
    <w:p>
      <w:pPr>
        <w:pStyle w:val="TextBody"/>
        <w:bidi w:val="0"/>
        <w:spacing w:before="0" w:after="240"/>
        <w:jc w:val="both"/>
        <w:rPr>
          <w:rFonts w:ascii="Arial" w:hAnsi="Arial"/>
          <w:b/>
          <w:smallCaps/>
          <w:color w:val="000000"/>
          <w:sz w:val="20"/>
        </w:rPr>
      </w:pPr>
      <w:r>
        <w:rPr>
          <w:rFonts w:ascii="Arial" w:hAnsi="Arial"/>
          <w:b/>
          <w:smallCaps/>
          <w:color w:val="000000"/>
          <w:sz w:val="20"/>
        </w:rPr>
        <w:t>5.</w:t>
      </w:r>
    </w:p>
    <w:p>
      <w:pPr>
        <w:pStyle w:val="TextBody"/>
        <w:bidi w:val="0"/>
        <w:spacing w:before="0" w:after="240"/>
        <w:jc w:val="both"/>
        <w:rPr>
          <w:rFonts w:ascii="Arial" w:hAnsi="Arial"/>
          <w:b/>
          <w:color w:val="000000"/>
          <w:sz w:val="20"/>
        </w:rPr>
      </w:pPr>
      <w:r>
        <w:rPr>
          <w:rFonts w:ascii="Arial" w:hAnsi="Arial"/>
          <w:b/>
          <w:color w:val="000000"/>
          <w:sz w:val="20"/>
        </w:rPr>
        <w:t>Does Rani have an insider trading policy?</w:t>
      </w:r>
    </w:p>
    <w:p>
      <w:pPr>
        <w:pStyle w:val="TextBody"/>
        <w:bidi w:val="0"/>
        <w:spacing w:before="0" w:after="240"/>
        <w:jc w:val="both"/>
        <w:rPr>
          <w:rFonts w:ascii="Arial" w:hAnsi="Arial"/>
          <w:color w:val="000000"/>
          <w:sz w:val="20"/>
        </w:rPr>
      </w:pPr>
      <w:r>
        <w:rPr>
          <w:rFonts w:ascii="Arial" w:hAnsi="Arial"/>
          <w:color w:val="000000"/>
          <w:sz w:val="20"/>
        </w:rPr>
        <w:t>A: Yes.</w:t>
      </w:r>
    </w:p>
    <w:p>
      <w:pPr>
        <w:pStyle w:val="TextBody"/>
        <w:bidi w:val="0"/>
        <w:spacing w:before="0" w:after="240"/>
        <w:jc w:val="both"/>
        <w:rPr>
          <w:rFonts w:ascii="Arial" w:hAnsi="Arial"/>
          <w:b/>
          <w:smallCaps/>
          <w:color w:val="000000"/>
          <w:sz w:val="20"/>
        </w:rPr>
      </w:pPr>
      <w:r>
        <w:rPr>
          <w:rFonts w:ascii="Arial" w:hAnsi="Arial"/>
          <w:b/>
          <w:smallCaps/>
          <w:color w:val="000000"/>
          <w:sz w:val="20"/>
        </w:rPr>
        <w:t>6.</w:t>
      </w:r>
    </w:p>
    <w:p>
      <w:pPr>
        <w:pStyle w:val="TextBody"/>
        <w:bidi w:val="0"/>
        <w:spacing w:before="0" w:after="240"/>
        <w:jc w:val="both"/>
        <w:rPr>
          <w:rFonts w:ascii="Arial" w:hAnsi="Arial"/>
          <w:b/>
          <w:color w:val="000000"/>
          <w:sz w:val="20"/>
        </w:rPr>
      </w:pPr>
      <w:r>
        <w:rPr>
          <w:rFonts w:ascii="Arial" w:hAnsi="Arial"/>
          <w:b/>
          <w:color w:val="000000"/>
          <w:sz w:val="20"/>
        </w:rPr>
        <w:t>What if I work in a foreign office?</w:t>
      </w:r>
    </w:p>
    <w:p>
      <w:pPr>
        <w:pStyle w:val="TextBody"/>
        <w:bidi w:val="0"/>
        <w:spacing w:before="0" w:after="240"/>
        <w:jc w:val="both"/>
        <w:rPr>
          <w:rFonts w:ascii="Arial" w:hAnsi="Arial"/>
          <w:color w:val="000000"/>
          <w:sz w:val="20"/>
        </w:rPr>
      </w:pPr>
      <w:r>
        <w:rPr>
          <w:rFonts w:ascii="Arial" w:hAnsi="Arial"/>
          <w:color w:val="000000"/>
          <w:sz w:val="20"/>
        </w:rPr>
        <w:t>A: There is no difference. The policy and law apply to you. Because our common stock trades on a United States securities exchange, the insider trading laws of the U.S. apply. The U.S. Securities and Exchange Commission (the SEC) (a U.S. government agency in charge of investor protection) and the Financial Industry Regulatory Authority (FINRA) (a private regulator that oversees U.S. exchanges) routinely investigate trading in a company’s securities conducted by internationally-based individuals and firms. In addition, as a Rani employee, our policies apply to you no matter where in the world you work.</w:t>
      </w:r>
    </w:p>
    <w:p>
      <w:pPr>
        <w:pStyle w:val="TextBody"/>
        <w:bidi w:val="0"/>
        <w:spacing w:before="0" w:after="240"/>
        <w:jc w:val="both"/>
        <w:rPr>
          <w:rFonts w:ascii="Arial" w:hAnsi="Arial"/>
          <w:b/>
          <w:smallCaps/>
          <w:color w:val="000000"/>
          <w:sz w:val="20"/>
        </w:rPr>
      </w:pPr>
      <w:r>
        <w:rPr>
          <w:rFonts w:ascii="Arial" w:hAnsi="Arial"/>
          <w:b/>
          <w:smallCaps/>
          <w:color w:val="000000"/>
          <w:sz w:val="20"/>
        </w:rPr>
        <w:t>7.</w:t>
      </w:r>
    </w:p>
    <w:p>
      <w:pPr>
        <w:pStyle w:val="TextBody"/>
        <w:bidi w:val="0"/>
        <w:spacing w:before="0" w:after="240"/>
        <w:jc w:val="both"/>
        <w:rPr>
          <w:rFonts w:ascii="Arial" w:hAnsi="Arial"/>
          <w:b/>
          <w:color w:val="000000"/>
          <w:sz w:val="20"/>
        </w:rPr>
      </w:pPr>
      <w:r>
        <w:rPr>
          <w:rFonts w:ascii="Arial" w:hAnsi="Arial"/>
          <w:b/>
          <w:color w:val="000000"/>
          <w:sz w:val="20"/>
        </w:rPr>
        <w:t>What if I don’t buy or sell anything, but I tell someone else the information and they buy or sell?</w:t>
      </w:r>
    </w:p>
    <w:p>
      <w:pPr>
        <w:pStyle w:val="TextBody"/>
        <w:bidi w:val="0"/>
        <w:spacing w:before="0" w:after="240"/>
        <w:jc w:val="both"/>
        <w:rPr>
          <w:rFonts w:ascii="Times New Roman" w:hAnsi="Times New Roman"/>
          <w:sz w:val="20"/>
        </w:rPr>
      </w:pPr>
      <w:r>
        <w:rPr>
          <w:rFonts w:ascii="Arial" w:hAnsi="Arial"/>
          <w:color w:val="000000"/>
          <w:sz w:val="20"/>
        </w:rPr>
        <w:t>A: That is called “tipping.” You are the “tipper” and the other person is called the “tippee”. If the tippee buys or sells based on that material, nonpublic information, you might still be guilty of insider trading. In fact, if you tell family members who tell others and those people then trade on the information, those family members might be guilty of insider trading too. As a result, you may not discuss material, non-public information about Rani with anyone outside Rani, including spouses,</w:t>
      </w:r>
      <w:r>
        <w:rPr>
          <w:rFonts w:ascii="Times New Roman" w:hAnsi="Times New Roman"/>
          <w:color w:val="000000"/>
          <w:sz w:val="20"/>
        </w:rPr>
        <w:t xml:space="preserve"> </w:t>
      </w:r>
    </w:p>
    <w:p>
      <w:pPr>
        <w:pStyle w:val="TextBody"/>
        <w:bidi w:val="0"/>
        <w:jc w:val="center"/>
        <w:rPr>
          <w:rFonts w:ascii="Arial" w:hAnsi="Arial"/>
          <w:caps/>
          <w:color w:val="000000"/>
          <w:sz w:val="20"/>
        </w:rPr>
      </w:pPr>
      <w:r>
        <w:rPr>
          <w:rFonts w:ascii="Arial" w:hAnsi="Arial"/>
          <w:caps/>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family members, friends, or business associates. This includes anonymous discussion on the Internet about Rani or companies with which Rani does business.</w:t>
      </w:r>
    </w:p>
    <w:p>
      <w:pPr>
        <w:pStyle w:val="TextBody"/>
        <w:bidi w:val="0"/>
        <w:spacing w:before="0" w:after="240"/>
        <w:jc w:val="both"/>
        <w:rPr>
          <w:rFonts w:ascii="Arial" w:hAnsi="Arial"/>
          <w:b/>
          <w:smallCaps/>
          <w:color w:val="000000"/>
          <w:sz w:val="20"/>
        </w:rPr>
      </w:pPr>
      <w:r>
        <w:rPr>
          <w:rFonts w:ascii="Arial" w:hAnsi="Arial"/>
          <w:b/>
          <w:smallCaps/>
          <w:color w:val="000000"/>
          <w:sz w:val="20"/>
        </w:rPr>
        <w:t>8.</w:t>
      </w:r>
    </w:p>
    <w:p>
      <w:pPr>
        <w:pStyle w:val="TextBody"/>
        <w:bidi w:val="0"/>
        <w:spacing w:before="0" w:after="240"/>
        <w:jc w:val="both"/>
        <w:rPr>
          <w:rFonts w:ascii="Arial" w:hAnsi="Arial"/>
          <w:b/>
          <w:color w:val="000000"/>
          <w:sz w:val="20"/>
        </w:rPr>
      </w:pPr>
      <w:r>
        <w:rPr>
          <w:rFonts w:ascii="Arial" w:hAnsi="Arial"/>
          <w:b/>
          <w:color w:val="000000"/>
          <w:sz w:val="20"/>
        </w:rPr>
        <w:t>What if I don’t tell them the information itself, I just tell them whether they should buy or sell?</w:t>
      </w:r>
    </w:p>
    <w:p>
      <w:pPr>
        <w:pStyle w:val="TextBody"/>
        <w:bidi w:val="0"/>
        <w:spacing w:before="0" w:after="240"/>
        <w:jc w:val="both"/>
        <w:rPr>
          <w:rFonts w:ascii="Arial" w:hAnsi="Arial"/>
          <w:color w:val="000000"/>
          <w:sz w:val="20"/>
        </w:rPr>
      </w:pPr>
      <w:r>
        <w:rPr>
          <w:rFonts w:ascii="Arial" w:hAnsi="Arial"/>
          <w:color w:val="000000"/>
          <w:sz w:val="20"/>
        </w:rPr>
        <w:t>A: That is still tipping, and you can still be found guilty of insider trading. According to our policies, you may never recommend to another person that they buy, hold or sell our common stock or any derivative security related to our common stock.</w:t>
      </w:r>
    </w:p>
    <w:p>
      <w:pPr>
        <w:pStyle w:val="TextBody"/>
        <w:bidi w:val="0"/>
        <w:spacing w:before="0" w:after="240"/>
        <w:jc w:val="both"/>
        <w:rPr>
          <w:rFonts w:ascii="Arial" w:hAnsi="Arial"/>
          <w:b/>
          <w:smallCaps/>
          <w:color w:val="000000"/>
          <w:sz w:val="20"/>
        </w:rPr>
      </w:pPr>
      <w:r>
        <w:rPr>
          <w:rFonts w:ascii="Arial" w:hAnsi="Arial"/>
          <w:b/>
          <w:smallCaps/>
          <w:color w:val="000000"/>
          <w:sz w:val="20"/>
        </w:rPr>
        <w:t>9.</w:t>
      </w:r>
    </w:p>
    <w:p>
      <w:pPr>
        <w:pStyle w:val="TextBody"/>
        <w:bidi w:val="0"/>
        <w:spacing w:before="0" w:after="240"/>
        <w:jc w:val="both"/>
        <w:rPr>
          <w:rFonts w:ascii="Arial" w:hAnsi="Arial"/>
          <w:b/>
          <w:color w:val="000000"/>
          <w:sz w:val="20"/>
        </w:rPr>
      </w:pPr>
      <w:r>
        <w:rPr>
          <w:rFonts w:ascii="Arial" w:hAnsi="Arial"/>
          <w:b/>
          <w:color w:val="000000"/>
          <w:sz w:val="20"/>
        </w:rPr>
        <w:t>What are the penalties if I trade on inside information, or tip off someone else?</w:t>
      </w:r>
    </w:p>
    <w:p>
      <w:pPr>
        <w:pStyle w:val="TextBody"/>
        <w:bidi w:val="0"/>
        <w:spacing w:before="0" w:after="240"/>
        <w:jc w:val="both"/>
        <w:rPr>
          <w:rFonts w:ascii="Arial" w:hAnsi="Arial"/>
          <w:color w:val="000000"/>
          <w:sz w:val="20"/>
        </w:rPr>
      </w:pPr>
      <w:r>
        <w:rPr>
          <w:rFonts w:ascii="Arial" w:hAnsi="Arial"/>
          <w:color w:val="000000"/>
          <w:sz w:val="20"/>
        </w:rPr>
        <w:t>A: Anyone found liable in a civil case for trading on inside information may need to pay the U.S. government an amount equal to any profit made or any loss avoided and may also face a penalty of up to three times this amount. Persons found liable for tipping inside information, even if they did not trade themselves, may face a penalty of up to three times the amount of any profit gained or loss avoided by everyone in the chain of tippees. In addition, anyone convicted of criminal insider trading can face prison terms and additional fines.</w:t>
      </w:r>
    </w:p>
    <w:p>
      <w:pPr>
        <w:pStyle w:val="TextBody"/>
        <w:bidi w:val="0"/>
        <w:spacing w:before="0" w:after="240"/>
        <w:jc w:val="both"/>
        <w:rPr>
          <w:rFonts w:ascii="Arial" w:hAnsi="Arial"/>
          <w:b/>
          <w:smallCaps/>
          <w:color w:val="000000"/>
          <w:sz w:val="20"/>
        </w:rPr>
      </w:pPr>
      <w:r>
        <w:rPr>
          <w:rFonts w:ascii="Arial" w:hAnsi="Arial"/>
          <w:b/>
          <w:smallCaps/>
          <w:color w:val="000000"/>
          <w:sz w:val="20"/>
        </w:rPr>
        <w:t>10.</w:t>
      </w:r>
    </w:p>
    <w:p>
      <w:pPr>
        <w:pStyle w:val="TextBody"/>
        <w:bidi w:val="0"/>
        <w:spacing w:before="0" w:after="240"/>
        <w:jc w:val="both"/>
        <w:rPr>
          <w:rFonts w:ascii="Arial" w:hAnsi="Arial"/>
          <w:b/>
          <w:color w:val="000000"/>
          <w:sz w:val="20"/>
        </w:rPr>
      </w:pPr>
      <w:r>
        <w:rPr>
          <w:rFonts w:ascii="Arial" w:hAnsi="Arial"/>
          <w:b/>
          <w:color w:val="000000"/>
          <w:sz w:val="20"/>
        </w:rPr>
        <w:t>What is “loss avoided”?</w:t>
      </w:r>
    </w:p>
    <w:p>
      <w:pPr>
        <w:pStyle w:val="TextBody"/>
        <w:bidi w:val="0"/>
        <w:spacing w:before="0" w:after="240"/>
        <w:jc w:val="both"/>
        <w:rPr>
          <w:rFonts w:ascii="Arial" w:hAnsi="Arial"/>
          <w:color w:val="000000"/>
          <w:sz w:val="20"/>
        </w:rPr>
      </w:pPr>
      <w:r>
        <w:rPr>
          <w:rFonts w:ascii="Arial" w:hAnsi="Arial"/>
          <w:color w:val="000000"/>
          <w:sz w:val="20"/>
        </w:rPr>
        <w:t>A: If you sell a common stock or a related derivative security before the negative news is publicly announced, and as a result of the announcement the stock price declines, you have avoided the loss caused by the negative news.</w:t>
      </w:r>
    </w:p>
    <w:p>
      <w:pPr>
        <w:pStyle w:val="TextBody"/>
        <w:bidi w:val="0"/>
        <w:spacing w:before="0" w:after="240"/>
        <w:jc w:val="both"/>
        <w:rPr>
          <w:rFonts w:ascii="Arial" w:hAnsi="Arial"/>
          <w:b/>
          <w:smallCaps/>
          <w:color w:val="000000"/>
          <w:sz w:val="20"/>
        </w:rPr>
      </w:pPr>
      <w:r>
        <w:rPr>
          <w:rFonts w:ascii="Arial" w:hAnsi="Arial"/>
          <w:b/>
          <w:smallCaps/>
          <w:color w:val="000000"/>
          <w:sz w:val="20"/>
        </w:rPr>
        <w:t>11.</w:t>
      </w:r>
    </w:p>
    <w:p>
      <w:pPr>
        <w:pStyle w:val="TextBody"/>
        <w:bidi w:val="0"/>
        <w:spacing w:before="0" w:after="240"/>
        <w:jc w:val="both"/>
        <w:rPr>
          <w:rFonts w:ascii="Arial" w:hAnsi="Arial"/>
          <w:b/>
          <w:color w:val="000000"/>
          <w:sz w:val="20"/>
        </w:rPr>
      </w:pPr>
      <w:r>
        <w:rPr>
          <w:rFonts w:ascii="Arial" w:hAnsi="Arial"/>
          <w:b/>
          <w:color w:val="000000"/>
          <w:sz w:val="20"/>
        </w:rPr>
        <w:t>Am I restricted from trading securities of any companies except Rani (for example a customer or competitor of Rani)?</w:t>
      </w:r>
    </w:p>
    <w:p>
      <w:pPr>
        <w:pStyle w:val="TextBody"/>
        <w:bidi w:val="0"/>
        <w:spacing w:before="0" w:after="240"/>
        <w:jc w:val="both"/>
        <w:rPr>
          <w:rFonts w:ascii="Arial" w:hAnsi="Arial"/>
          <w:color w:val="000000"/>
          <w:sz w:val="20"/>
        </w:rPr>
      </w:pPr>
      <w:r>
        <w:rPr>
          <w:rFonts w:ascii="Arial" w:hAnsi="Arial"/>
          <w:color w:val="000000"/>
          <w:sz w:val="20"/>
        </w:rPr>
        <w:t>A: Yes. U.S. insider trading laws restrict everyone from trading in a company’s securities based on material nonpublic information about that company, regardless of whether the person is directly connected with that company. Therefore, if you obtain material nonpublic information about another company, you should not trade in that company’s securities. You should be particularly conscious of this restriction if, through your position at Rani, you sometimes obtain sensitive, material information about other companies and their business dealings with Rani.</w:t>
      </w:r>
    </w:p>
    <w:p>
      <w:pPr>
        <w:pStyle w:val="TextBody"/>
        <w:bidi w:val="0"/>
        <w:spacing w:before="0" w:after="240"/>
        <w:jc w:val="both"/>
        <w:rPr>
          <w:rFonts w:ascii="Arial" w:hAnsi="Arial"/>
          <w:b/>
          <w:smallCaps/>
          <w:color w:val="000000"/>
          <w:sz w:val="20"/>
        </w:rPr>
      </w:pPr>
      <w:r>
        <w:rPr>
          <w:rFonts w:ascii="Arial" w:hAnsi="Arial"/>
          <w:b/>
          <w:smallCaps/>
          <w:color w:val="000000"/>
          <w:sz w:val="20"/>
        </w:rPr>
        <w:t>12.</w:t>
      </w:r>
    </w:p>
    <w:p>
      <w:pPr>
        <w:pStyle w:val="TextBody"/>
        <w:bidi w:val="0"/>
        <w:spacing w:before="0" w:after="240"/>
        <w:jc w:val="both"/>
        <w:rPr>
          <w:rFonts w:ascii="Arial" w:hAnsi="Arial"/>
          <w:b/>
          <w:color w:val="000000"/>
          <w:sz w:val="20"/>
        </w:rPr>
      </w:pPr>
      <w:r>
        <w:rPr>
          <w:rFonts w:ascii="Arial" w:hAnsi="Arial"/>
          <w:b/>
          <w:color w:val="000000"/>
          <w:sz w:val="20"/>
        </w:rPr>
        <w:t>So if I do not trade Rani securities when I have material nonpublic information, and I don’t “tip” other people, I am in the clear, right?</w:t>
      </w:r>
    </w:p>
    <w:p>
      <w:pPr>
        <w:pStyle w:val="TextBody"/>
        <w:bidi w:val="0"/>
        <w:spacing w:before="0" w:after="240"/>
        <w:jc w:val="both"/>
        <w:rPr>
          <w:rFonts w:ascii="Arial" w:hAnsi="Arial"/>
          <w:color w:val="000000"/>
          <w:sz w:val="20"/>
        </w:rPr>
      </w:pPr>
      <w:r>
        <w:rPr>
          <w:rFonts w:ascii="Arial" w:hAnsi="Arial"/>
          <w:color w:val="000000"/>
          <w:sz w:val="20"/>
        </w:rPr>
        <w:t>A: Not necessarily. Even if you do not violate U.S. law, you may still violate our policies. Our policies are stricter than the law requires, so that we and our employees can avoid even the appearance of wrongdoing. Therefore, please review the entire policy carefully.</w:t>
      </w:r>
    </w:p>
    <w:p>
      <w:pPr>
        <w:pStyle w:val="TextBody"/>
        <w:bidi w:val="0"/>
        <w:spacing w:before="0" w:after="240"/>
        <w:jc w:val="both"/>
        <w:rPr>
          <w:rFonts w:ascii="Arial" w:hAnsi="Arial"/>
          <w:b/>
          <w:smallCaps/>
          <w:color w:val="000000"/>
          <w:sz w:val="20"/>
        </w:rPr>
      </w:pPr>
      <w:r>
        <w:rPr>
          <w:rFonts w:ascii="Arial" w:hAnsi="Arial"/>
          <w:b/>
          <w:smallCaps/>
          <w:color w:val="000000"/>
          <w:sz w:val="20"/>
        </w:rPr>
        <w:t>13.</w:t>
      </w:r>
    </w:p>
    <w:p>
      <w:pPr>
        <w:pStyle w:val="TextBody"/>
        <w:bidi w:val="0"/>
        <w:spacing w:before="0" w:after="240"/>
        <w:jc w:val="both"/>
        <w:rPr>
          <w:rFonts w:ascii="Arial" w:hAnsi="Arial"/>
          <w:b/>
          <w:color w:val="000000"/>
          <w:sz w:val="20"/>
        </w:rPr>
      </w:pPr>
      <w:r>
        <w:rPr>
          <w:rFonts w:ascii="Arial" w:hAnsi="Arial"/>
          <w:b/>
          <w:color w:val="000000"/>
          <w:sz w:val="20"/>
        </w:rPr>
        <w:t>If I am aware of new product or service developments that have not been announced to the public, do I possess material non-public information?</w:t>
      </w:r>
    </w:p>
    <w:p>
      <w:pPr>
        <w:pStyle w:val="TextBody"/>
        <w:bidi w:val="0"/>
        <w:spacing w:before="0" w:after="240"/>
        <w:jc w:val="both"/>
        <w:rPr>
          <w:rFonts w:ascii="Arial" w:hAnsi="Arial"/>
          <w:color w:val="000000"/>
          <w:sz w:val="20"/>
        </w:rPr>
      </w:pPr>
      <w:r>
        <w:rPr>
          <w:rFonts w:ascii="Arial" w:hAnsi="Arial"/>
          <w:color w:val="000000"/>
          <w:sz w:val="20"/>
        </w:rPr>
        <w:t>A: In most circumstances, Rani does not consider new product and service developments to be material information that would require the closing of the trading window with respect to those individuals that are aware of these developments. However, there are circumstances where a new product or service in development or issues with respect to current or past products or services could be so significant that it constitutes material non-public information. In these circumstances, you will be notified by email if the trading window is closed for you.</w:t>
      </w:r>
    </w:p>
    <w:p>
      <w:pPr>
        <w:pStyle w:val="TextBody"/>
        <w:bidi w:val="0"/>
        <w:spacing w:before="0" w:after="240"/>
        <w:jc w:val="both"/>
        <w:rPr>
          <w:rFonts w:ascii="Arial" w:hAnsi="Arial"/>
          <w:b/>
          <w:smallCaps/>
          <w:color w:val="000000"/>
          <w:sz w:val="20"/>
        </w:rPr>
      </w:pPr>
      <w:r>
        <w:rPr>
          <w:rFonts w:ascii="Arial" w:hAnsi="Arial"/>
          <w:b/>
          <w:smallCaps/>
          <w:color w:val="000000"/>
          <w:sz w:val="20"/>
        </w:rPr>
        <w:t>14.</w:t>
      </w:r>
    </w:p>
    <w:p>
      <w:pPr>
        <w:pStyle w:val="TextBody"/>
        <w:bidi w:val="0"/>
        <w:spacing w:before="0" w:after="240"/>
        <w:jc w:val="both"/>
        <w:rPr>
          <w:rFonts w:ascii="Arial" w:hAnsi="Arial"/>
          <w:b/>
          <w:color w:val="000000"/>
          <w:sz w:val="20"/>
        </w:rPr>
      </w:pPr>
      <w:r>
        <w:rPr>
          <w:rFonts w:ascii="Arial" w:hAnsi="Arial"/>
          <w:b/>
          <w:color w:val="000000"/>
          <w:sz w:val="20"/>
        </w:rPr>
        <w:t>So when can I buy or sell my Rani securities?</w:t>
      </w:r>
    </w:p>
    <w:p>
      <w:pPr>
        <w:pStyle w:val="TextBody"/>
        <w:bidi w:val="0"/>
        <w:spacing w:before="0" w:after="240"/>
        <w:jc w:val="both"/>
        <w:rPr>
          <w:rFonts w:ascii="Times New Roman" w:hAnsi="Times New Roman"/>
          <w:sz w:val="20"/>
        </w:rPr>
      </w:pPr>
      <w:r>
        <w:rPr>
          <w:rFonts w:ascii="Arial" w:hAnsi="Arial"/>
          <w:color w:val="000000"/>
          <w:sz w:val="20"/>
        </w:rPr>
        <w:t>A: According to our policies, if you have material, nonpublic information, you may not buy or sell our common stock until the third trading day after that information is released or announced to the</w:t>
      </w:r>
      <w:r>
        <w:rPr>
          <w:rFonts w:ascii="Times New Roman" w:hAnsi="Times New Roman"/>
          <w:color w:val="000000"/>
          <w:sz w:val="20"/>
        </w:rPr>
        <w:t xml:space="preserve"> </w:t>
      </w:r>
    </w:p>
    <w:p>
      <w:pPr>
        <w:pStyle w:val="TextBody"/>
        <w:bidi w:val="0"/>
        <w:jc w:val="center"/>
        <w:rPr>
          <w:rFonts w:ascii="Arial" w:hAnsi="Arial"/>
          <w:caps/>
          <w:color w:val="000000"/>
          <w:sz w:val="20"/>
        </w:rPr>
      </w:pPr>
      <w:r>
        <w:rPr>
          <w:rFonts w:ascii="Arial" w:hAnsi="Arial"/>
          <w:caps/>
          <w:color w:val="000000"/>
          <w:sz w:val="20"/>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 xml:space="preserve">public. At that point, the information is considered public. </w:t>
      </w:r>
      <w:r>
        <w:rPr>
          <w:rFonts w:ascii="Arial" w:hAnsi="Arial"/>
          <w:b/>
          <w:i/>
          <w:color w:val="000000"/>
          <w:sz w:val="20"/>
        </w:rPr>
        <w:t>Even if you do not have material, nonpublic information</w:t>
      </w:r>
      <w:r>
        <w:rPr>
          <w:rFonts w:ascii="Arial" w:hAnsi="Arial"/>
          <w:b/>
          <w:color w:val="000000"/>
          <w:sz w:val="20"/>
        </w:rPr>
        <w:t>, you may not trade in our common stock during any trading “blackout” period.</w:t>
      </w:r>
      <w:r>
        <w:rPr>
          <w:rFonts w:ascii="Times New Roman" w:hAnsi="Times New Roman"/>
          <w:color w:val="000000"/>
          <w:sz w:val="20"/>
        </w:rPr>
        <w:t xml:space="preserve"> </w:t>
      </w:r>
      <w:r>
        <w:rPr>
          <w:rFonts w:ascii="Arial" w:hAnsi="Arial"/>
          <w:color w:val="000000"/>
          <w:sz w:val="20"/>
        </w:rPr>
        <w:t>(A list of current blackout periods can be obtained from the Company’s Chief Financial Officer and additional trading blackout periods may be announced by email.)</w:t>
      </w:r>
    </w:p>
    <w:p>
      <w:pPr>
        <w:pStyle w:val="TextBody"/>
        <w:bidi w:val="0"/>
        <w:spacing w:before="0" w:after="240"/>
        <w:jc w:val="both"/>
        <w:rPr>
          <w:rFonts w:ascii="Arial" w:hAnsi="Arial"/>
          <w:b/>
          <w:smallCaps/>
          <w:color w:val="000000"/>
          <w:sz w:val="20"/>
        </w:rPr>
      </w:pPr>
      <w:r>
        <w:rPr>
          <w:rFonts w:ascii="Arial" w:hAnsi="Arial"/>
          <w:b/>
          <w:smallCaps/>
          <w:color w:val="000000"/>
          <w:sz w:val="20"/>
        </w:rPr>
        <w:t>15.</w:t>
      </w:r>
    </w:p>
    <w:p>
      <w:pPr>
        <w:pStyle w:val="TextBody"/>
        <w:bidi w:val="0"/>
        <w:spacing w:before="0" w:after="240"/>
        <w:jc w:val="both"/>
        <w:rPr>
          <w:rFonts w:ascii="Arial" w:hAnsi="Arial"/>
          <w:b/>
          <w:color w:val="000000"/>
          <w:sz w:val="20"/>
        </w:rPr>
      </w:pPr>
      <w:r>
        <w:rPr>
          <w:rFonts w:ascii="Arial" w:hAnsi="Arial"/>
          <w:b/>
          <w:color w:val="000000"/>
          <w:sz w:val="20"/>
        </w:rPr>
        <w:t>If I have an open order to buy or sell Rani securities on the date the trading window closes, my broker will cancel the open order and won’t execute the trade, right?</w:t>
      </w:r>
    </w:p>
    <w:p>
      <w:pPr>
        <w:pStyle w:val="TextBody"/>
        <w:bidi w:val="0"/>
        <w:spacing w:before="0" w:after="240"/>
        <w:jc w:val="both"/>
        <w:rPr>
          <w:rFonts w:ascii="Arial" w:hAnsi="Arial"/>
          <w:color w:val="000000"/>
          <w:sz w:val="20"/>
        </w:rPr>
      </w:pPr>
      <w:r>
        <w:rPr>
          <w:rFonts w:ascii="Arial" w:hAnsi="Arial"/>
          <w:color w:val="000000"/>
          <w:sz w:val="20"/>
        </w:rPr>
        <w:t>A: No. If you have any open orders at the time the trading window closes, it is your responsibility to cancel these orders with your broker. If you have an open order and it executes after the trading window closes, it is a violation of our insider trading policy and may also be a violation of the insider trading laws.</w:t>
      </w:r>
    </w:p>
    <w:p>
      <w:pPr>
        <w:pStyle w:val="TextBody"/>
        <w:bidi w:val="0"/>
        <w:spacing w:before="0" w:after="240"/>
        <w:jc w:val="both"/>
        <w:rPr>
          <w:rFonts w:ascii="Arial" w:hAnsi="Arial"/>
          <w:b/>
          <w:smallCaps/>
          <w:color w:val="000000"/>
          <w:sz w:val="20"/>
        </w:rPr>
      </w:pPr>
      <w:r>
        <w:rPr>
          <w:rFonts w:ascii="Arial" w:hAnsi="Arial"/>
          <w:b/>
          <w:smallCaps/>
          <w:color w:val="000000"/>
          <w:sz w:val="20"/>
        </w:rPr>
        <w:t>16.</w:t>
      </w:r>
    </w:p>
    <w:p>
      <w:pPr>
        <w:pStyle w:val="TextBody"/>
        <w:bidi w:val="0"/>
        <w:spacing w:before="0" w:after="240"/>
        <w:jc w:val="both"/>
        <w:rPr>
          <w:rFonts w:ascii="Arial" w:hAnsi="Arial"/>
          <w:b/>
          <w:color w:val="000000"/>
          <w:sz w:val="20"/>
        </w:rPr>
      </w:pPr>
      <w:r>
        <w:rPr>
          <w:rFonts w:ascii="Arial" w:hAnsi="Arial"/>
          <w:b/>
          <w:color w:val="000000"/>
          <w:sz w:val="20"/>
        </w:rPr>
        <w:t>Am I allowed to trade derivative securities of Rani? Or, short Rani common stock?</w:t>
      </w:r>
    </w:p>
    <w:p>
      <w:pPr>
        <w:pStyle w:val="TextBody"/>
        <w:bidi w:val="0"/>
        <w:spacing w:before="0" w:after="240"/>
        <w:jc w:val="both"/>
        <w:rPr>
          <w:rFonts w:ascii="Arial" w:hAnsi="Arial"/>
          <w:color w:val="000000"/>
          <w:sz w:val="20"/>
        </w:rPr>
      </w:pPr>
      <w:r>
        <w:rPr>
          <w:rFonts w:ascii="Arial" w:hAnsi="Arial"/>
          <w:color w:val="000000"/>
          <w:sz w:val="20"/>
        </w:rPr>
        <w:t>A: No. Under our policies, you may not trade in derivative securities related to our common stock, which includes, but is not limited to publicly-traded call and put options. In addition, under our policies, you may not engage in short selling of our common stock at any time.</w:t>
      </w:r>
    </w:p>
    <w:p>
      <w:pPr>
        <w:pStyle w:val="TextBody"/>
        <w:bidi w:val="0"/>
        <w:spacing w:before="0" w:after="240"/>
        <w:jc w:val="both"/>
        <w:rPr/>
      </w:pPr>
      <w:r>
        <w:rPr>
          <w:color w:val="000000"/>
        </w:rPr>
        <w:t>“</w:t>
      </w:r>
      <w:r>
        <w:rPr>
          <w:rFonts w:ascii="Arial" w:hAnsi="Arial"/>
          <w:b/>
          <w:i/>
          <w:color w:val="000000"/>
          <w:sz w:val="20"/>
        </w:rPr>
        <w:t>Derivative securities</w:t>
      </w:r>
      <w:r>
        <w:rPr>
          <w:rFonts w:ascii="Times New Roman" w:hAnsi="Times New Roman"/>
          <w:color w:val="000000"/>
          <w:sz w:val="20"/>
        </w:rPr>
        <w:t xml:space="preserve">” </w:t>
      </w:r>
      <w:r>
        <w:rPr>
          <w:rFonts w:ascii="Arial" w:hAnsi="Arial"/>
          <w:color w:val="000000"/>
          <w:sz w:val="20"/>
        </w:rPr>
        <w:t>are securities other than common stock that are speculative in nature because they permit a person to leverage his or her investment using a relatively small amount of money. Examples of derivative securities include (but are not limited to) “put options” and “call options”. These are different from employee stock options, which are not derivative securities.</w:t>
      </w:r>
    </w:p>
    <w:p>
      <w:pPr>
        <w:pStyle w:val="TextBody"/>
        <w:bidi w:val="0"/>
        <w:spacing w:before="0" w:after="240"/>
        <w:jc w:val="both"/>
        <w:rPr/>
      </w:pPr>
      <w:r>
        <w:rPr>
          <w:color w:val="000000"/>
        </w:rPr>
        <w:t>“</w:t>
      </w:r>
      <w:r>
        <w:rPr>
          <w:rFonts w:ascii="Arial" w:hAnsi="Arial"/>
          <w:b/>
          <w:i/>
          <w:color w:val="000000"/>
          <w:sz w:val="20"/>
        </w:rPr>
        <w:t>Short selling</w:t>
      </w:r>
      <w:r>
        <w:rPr>
          <w:rFonts w:ascii="Times New Roman" w:hAnsi="Times New Roman"/>
          <w:color w:val="000000"/>
          <w:sz w:val="20"/>
        </w:rPr>
        <w:t xml:space="preserve">” </w:t>
      </w:r>
      <w:r>
        <w:rPr>
          <w:rFonts w:ascii="Arial" w:hAnsi="Arial"/>
          <w:color w:val="000000"/>
          <w:sz w:val="20"/>
        </w:rPr>
        <w:t>is profiting when you expect the price of the stock to decline, and includes transactions in which you borrow stock from a broker, sell it, and eventually buy it back on the market to return the borrowed shares to the broker. Profit is made through the expectation that the stock price will decrease during the period of borrowing.</w:t>
      </w:r>
    </w:p>
    <w:p>
      <w:pPr>
        <w:pStyle w:val="TextBody"/>
        <w:bidi w:val="0"/>
        <w:spacing w:before="0" w:after="240"/>
        <w:jc w:val="both"/>
        <w:rPr>
          <w:rFonts w:ascii="Arial" w:hAnsi="Arial"/>
          <w:b/>
          <w:smallCaps/>
          <w:color w:val="000000"/>
          <w:sz w:val="20"/>
        </w:rPr>
      </w:pPr>
      <w:r>
        <w:rPr>
          <w:rFonts w:ascii="Arial" w:hAnsi="Arial"/>
          <w:b/>
          <w:smallCaps/>
          <w:color w:val="000000"/>
          <w:sz w:val="20"/>
        </w:rPr>
        <w:t>17.</w:t>
      </w:r>
    </w:p>
    <w:p>
      <w:pPr>
        <w:pStyle w:val="TextBody"/>
        <w:bidi w:val="0"/>
        <w:spacing w:before="0" w:after="240"/>
        <w:jc w:val="both"/>
        <w:rPr>
          <w:rFonts w:ascii="Arial" w:hAnsi="Arial"/>
          <w:b/>
          <w:color w:val="000000"/>
          <w:sz w:val="20"/>
        </w:rPr>
      </w:pPr>
      <w:r>
        <w:rPr>
          <w:rFonts w:ascii="Arial" w:hAnsi="Arial"/>
          <w:b/>
          <w:color w:val="000000"/>
          <w:sz w:val="20"/>
        </w:rPr>
        <w:t>Why does Rani prohibit trading in derivative securities and short selling?</w:t>
      </w:r>
    </w:p>
    <w:p>
      <w:pPr>
        <w:pStyle w:val="TextBody"/>
        <w:bidi w:val="0"/>
        <w:spacing w:before="0" w:after="240"/>
        <w:jc w:val="both"/>
        <w:rPr>
          <w:rFonts w:ascii="Arial" w:hAnsi="Arial"/>
          <w:color w:val="000000"/>
          <w:sz w:val="20"/>
        </w:rPr>
      </w:pPr>
      <w:r>
        <w:rPr>
          <w:rFonts w:ascii="Arial" w:hAnsi="Arial"/>
          <w:color w:val="000000"/>
          <w:sz w:val="20"/>
        </w:rPr>
        <w:t>A: Many companies with volatile stock prices have adopted such policies because of the temptation it represents to try to benefit from a relatively low-cost method of trading on short-term swings in stock prices (without actually holding the underlying common stock) and encourages speculative trading. For this reason, we have decided to prohibit employees from such trading. As we are dedicated to building stockholder value, short selling our common stock is adverse to our stated values and would not be received well by our stockholders.</w:t>
      </w:r>
    </w:p>
    <w:p>
      <w:pPr>
        <w:pStyle w:val="TextBody"/>
        <w:bidi w:val="0"/>
        <w:spacing w:before="0" w:after="240"/>
        <w:jc w:val="both"/>
        <w:rPr>
          <w:rFonts w:ascii="Arial" w:hAnsi="Arial"/>
          <w:b/>
          <w:smallCaps/>
          <w:color w:val="000000"/>
          <w:sz w:val="20"/>
        </w:rPr>
      </w:pPr>
      <w:r>
        <w:rPr>
          <w:rFonts w:ascii="Arial" w:hAnsi="Arial"/>
          <w:b/>
          <w:smallCaps/>
          <w:color w:val="000000"/>
          <w:sz w:val="20"/>
        </w:rPr>
        <w:t>18.</w:t>
      </w:r>
    </w:p>
    <w:p>
      <w:pPr>
        <w:pStyle w:val="TextBody"/>
        <w:bidi w:val="0"/>
        <w:spacing w:before="0" w:after="240"/>
        <w:jc w:val="both"/>
        <w:rPr>
          <w:rFonts w:ascii="Arial" w:hAnsi="Arial"/>
          <w:b/>
          <w:color w:val="000000"/>
          <w:sz w:val="20"/>
        </w:rPr>
      </w:pPr>
      <w:r>
        <w:rPr>
          <w:rFonts w:ascii="Arial" w:hAnsi="Arial"/>
          <w:b/>
          <w:color w:val="000000"/>
          <w:sz w:val="20"/>
        </w:rPr>
        <w:t>Can I purchase Rani securities on margin or hold them in a margin account?</w:t>
      </w:r>
    </w:p>
    <w:p>
      <w:pPr>
        <w:pStyle w:val="TextBody"/>
        <w:bidi w:val="0"/>
        <w:spacing w:before="0" w:after="240"/>
        <w:jc w:val="both"/>
        <w:rPr>
          <w:rFonts w:ascii="Arial" w:hAnsi="Arial"/>
          <w:color w:val="000000"/>
          <w:sz w:val="20"/>
        </w:rPr>
      </w:pPr>
      <w:r>
        <w:rPr>
          <w:rFonts w:ascii="Arial" w:hAnsi="Arial"/>
          <w:color w:val="000000"/>
          <w:sz w:val="20"/>
        </w:rPr>
        <w:t>A: Under our policies, you may not purchase our common stock on margin or hold it in a margin account at any time.</w:t>
      </w:r>
    </w:p>
    <w:p>
      <w:pPr>
        <w:pStyle w:val="TextBody"/>
        <w:bidi w:val="0"/>
        <w:spacing w:before="0" w:after="240"/>
        <w:jc w:val="both"/>
        <w:rPr/>
      </w:pPr>
      <w:r>
        <w:rPr>
          <w:color w:val="000000"/>
        </w:rPr>
        <w:t>“</w:t>
      </w:r>
      <w:r>
        <w:rPr>
          <w:rFonts w:ascii="Arial" w:hAnsi="Arial"/>
          <w:b/>
          <w:i/>
          <w:color w:val="000000"/>
          <w:sz w:val="20"/>
        </w:rPr>
        <w:t>Purchasing on margin</w:t>
      </w:r>
      <w:r>
        <w:rPr>
          <w:rFonts w:ascii="Times New Roman" w:hAnsi="Times New Roman"/>
          <w:color w:val="000000"/>
          <w:sz w:val="20"/>
        </w:rPr>
        <w:t xml:space="preserve">” </w:t>
      </w:r>
      <w:r>
        <w:rPr>
          <w:rFonts w:ascii="Arial" w:hAnsi="Arial"/>
          <w:color w:val="000000"/>
          <w:sz w:val="20"/>
        </w:rPr>
        <w:t>is the use of borrowed money from a brokerage firm to purchase our securities. Holding our securities in a margin account includes holding the securities in an account in which the shares can be sold to pay a loan to the brokerage firm.</w:t>
      </w:r>
    </w:p>
    <w:p>
      <w:pPr>
        <w:pStyle w:val="TextBody"/>
        <w:bidi w:val="0"/>
        <w:spacing w:before="0" w:after="240"/>
        <w:jc w:val="both"/>
        <w:rPr>
          <w:rFonts w:ascii="Arial" w:hAnsi="Arial"/>
          <w:b/>
          <w:smallCaps/>
          <w:color w:val="000000"/>
          <w:sz w:val="20"/>
        </w:rPr>
      </w:pPr>
      <w:r>
        <w:rPr>
          <w:rFonts w:ascii="Arial" w:hAnsi="Arial"/>
          <w:b/>
          <w:smallCaps/>
          <w:color w:val="000000"/>
          <w:sz w:val="20"/>
        </w:rPr>
        <w:t>19.</w:t>
      </w:r>
    </w:p>
    <w:p>
      <w:pPr>
        <w:pStyle w:val="TextBody"/>
        <w:bidi w:val="0"/>
        <w:spacing w:before="0" w:after="240"/>
        <w:jc w:val="both"/>
        <w:rPr>
          <w:rFonts w:ascii="Arial" w:hAnsi="Arial"/>
          <w:b/>
          <w:color w:val="000000"/>
          <w:sz w:val="20"/>
        </w:rPr>
      </w:pPr>
      <w:r>
        <w:rPr>
          <w:rFonts w:ascii="Arial" w:hAnsi="Arial"/>
          <w:b/>
          <w:color w:val="000000"/>
          <w:sz w:val="20"/>
        </w:rPr>
        <w:t>Why does Rani prohibit me from purchasing Rani securities on margin or holding them in a margin account?</w:t>
      </w:r>
    </w:p>
    <w:p>
      <w:pPr>
        <w:pStyle w:val="TextBody"/>
        <w:bidi w:val="0"/>
        <w:spacing w:before="0" w:after="240"/>
        <w:jc w:val="both"/>
        <w:rPr>
          <w:rFonts w:ascii="Times New Roman" w:hAnsi="Times New Roman"/>
          <w:sz w:val="20"/>
        </w:rPr>
      </w:pPr>
      <w:r>
        <w:rPr>
          <w:rFonts w:ascii="Arial" w:hAnsi="Arial"/>
          <w:color w:val="000000"/>
          <w:sz w:val="20"/>
        </w:rPr>
        <w:t>A: Margin loans are subject to a margin call whether or not you possess insider information at the time of the call. If your margin call were called at a time when you had insider information and you could not or did not supply other collateral, you and Rani could be subject to litigation based on your insider trading activities: the sale of the stock (through the margin call) when you possessed material nonpublic information. The sale would be attributed to you even though the lender made</w:t>
      </w:r>
      <w:r>
        <w:rPr>
          <w:rFonts w:ascii="Times New Roman" w:hAnsi="Times New Roman"/>
          <w:color w:val="000000"/>
          <w:sz w:val="20"/>
        </w:rPr>
        <w:t xml:space="preserve"> </w:t>
      </w:r>
    </w:p>
    <w:p>
      <w:pPr>
        <w:pStyle w:val="TextBody"/>
        <w:bidi w:val="0"/>
        <w:jc w:val="center"/>
        <w:rPr>
          <w:rFonts w:ascii="Arial" w:hAnsi="Arial"/>
          <w:caps/>
          <w:color w:val="000000"/>
          <w:sz w:val="20"/>
        </w:rPr>
      </w:pPr>
      <w:r>
        <w:rPr>
          <w:rFonts w:ascii="Arial" w:hAnsi="Arial"/>
          <w:caps/>
          <w:color w:val="000000"/>
          <w:sz w:val="20"/>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the ultimate determination to sell. The SEC takes the view that you made the determination to not supply the additional collateral and you are therefore responsible for the sale.</w:t>
      </w:r>
    </w:p>
    <w:p>
      <w:pPr>
        <w:pStyle w:val="TextBody"/>
        <w:bidi w:val="0"/>
        <w:spacing w:before="0" w:after="240"/>
        <w:jc w:val="both"/>
        <w:rPr>
          <w:rFonts w:ascii="Arial" w:hAnsi="Arial"/>
          <w:b/>
          <w:smallCaps/>
          <w:color w:val="000000"/>
          <w:sz w:val="20"/>
        </w:rPr>
      </w:pPr>
      <w:r>
        <w:rPr>
          <w:rFonts w:ascii="Arial" w:hAnsi="Arial"/>
          <w:b/>
          <w:smallCaps/>
          <w:color w:val="000000"/>
          <w:sz w:val="20"/>
        </w:rPr>
        <w:t>20.</w:t>
      </w:r>
    </w:p>
    <w:p>
      <w:pPr>
        <w:pStyle w:val="TextBody"/>
        <w:bidi w:val="0"/>
        <w:spacing w:before="0" w:after="240"/>
        <w:jc w:val="both"/>
        <w:rPr>
          <w:rFonts w:ascii="Arial" w:hAnsi="Arial"/>
          <w:b/>
          <w:color w:val="000000"/>
          <w:sz w:val="20"/>
        </w:rPr>
      </w:pPr>
      <w:r>
        <w:rPr>
          <w:rFonts w:ascii="Arial" w:hAnsi="Arial"/>
          <w:b/>
          <w:color w:val="000000"/>
          <w:sz w:val="20"/>
        </w:rPr>
        <w:t>Can I exercise stock options during a trading blackout period or when I possess material nonpublic information?</w:t>
      </w:r>
    </w:p>
    <w:p>
      <w:pPr>
        <w:pStyle w:val="TextBody"/>
        <w:bidi w:val="0"/>
        <w:spacing w:before="0" w:after="240"/>
        <w:jc w:val="both"/>
        <w:rPr>
          <w:rFonts w:ascii="Arial" w:hAnsi="Arial"/>
          <w:color w:val="000000"/>
          <w:sz w:val="20"/>
        </w:rPr>
      </w:pPr>
      <w:r>
        <w:rPr>
          <w:rFonts w:ascii="Arial" w:hAnsi="Arial"/>
          <w:color w:val="000000"/>
          <w:sz w:val="20"/>
        </w:rPr>
        <w:t>A: Yes. You may exercise the option and receive shares, but you may not sell the shares (even to pay the exercise price or any taxes due) or otherwise settle the option during a trading blackout period or any time that you have material, nonpublic information. Also note that if you choose to exercise and hold the shares, you will be responsible at that time for any taxes due.</w:t>
      </w:r>
    </w:p>
    <w:p>
      <w:pPr>
        <w:pStyle w:val="TextBody"/>
        <w:bidi w:val="0"/>
        <w:spacing w:before="0" w:after="240"/>
        <w:jc w:val="both"/>
        <w:rPr>
          <w:rFonts w:ascii="Arial" w:hAnsi="Arial"/>
          <w:b/>
          <w:smallCaps/>
          <w:color w:val="000000"/>
          <w:sz w:val="20"/>
        </w:rPr>
      </w:pPr>
      <w:r>
        <w:rPr>
          <w:rFonts w:ascii="Arial" w:hAnsi="Arial"/>
          <w:b/>
          <w:smallCaps/>
          <w:color w:val="000000"/>
          <w:sz w:val="20"/>
        </w:rPr>
        <w:t>21.</w:t>
      </w:r>
    </w:p>
    <w:p>
      <w:pPr>
        <w:pStyle w:val="TextBody"/>
        <w:bidi w:val="0"/>
        <w:spacing w:before="0" w:after="240"/>
        <w:jc w:val="both"/>
        <w:rPr>
          <w:rFonts w:ascii="Arial" w:hAnsi="Arial"/>
          <w:b/>
          <w:color w:val="000000"/>
          <w:sz w:val="20"/>
        </w:rPr>
      </w:pPr>
      <w:r>
        <w:rPr>
          <w:rFonts w:ascii="Arial" w:hAnsi="Arial"/>
          <w:b/>
          <w:color w:val="000000"/>
          <w:sz w:val="20"/>
        </w:rPr>
        <w:t>Am I subject to the trading blackout period if I am no longer an employee of Rani?</w:t>
      </w:r>
    </w:p>
    <w:p>
      <w:pPr>
        <w:pStyle w:val="TextBody"/>
        <w:bidi w:val="0"/>
        <w:spacing w:before="0" w:after="240"/>
        <w:jc w:val="both"/>
        <w:rPr>
          <w:rFonts w:ascii="Arial" w:hAnsi="Arial"/>
          <w:color w:val="000000"/>
          <w:sz w:val="20"/>
        </w:rPr>
      </w:pPr>
      <w:r>
        <w:rPr>
          <w:rFonts w:ascii="Arial" w:hAnsi="Arial"/>
          <w:color w:val="000000"/>
          <w:sz w:val="20"/>
        </w:rPr>
        <w:t>A: It depends. If your employment with Rani ends on a day that the trading window is closed, you will be subject to the trading blackout period then in effect. If your employment with Rani ends on a day that the trading window is open, you will not be subject to the next trading blackout period. However, even if you are not subject to our trading blackout period after you leave Rani, you should not trade in Rani securities if you possess material non-public information. That restriction stays with you as long as the information you possess is material and not released by Rani.</w:t>
      </w:r>
    </w:p>
    <w:p>
      <w:pPr>
        <w:pStyle w:val="TextBody"/>
        <w:bidi w:val="0"/>
        <w:spacing w:before="0" w:after="240"/>
        <w:jc w:val="both"/>
        <w:rPr>
          <w:rFonts w:ascii="Arial" w:hAnsi="Arial"/>
          <w:b/>
          <w:smallCaps/>
          <w:color w:val="000000"/>
          <w:sz w:val="20"/>
        </w:rPr>
      </w:pPr>
      <w:r>
        <w:rPr>
          <w:rFonts w:ascii="Arial" w:hAnsi="Arial"/>
          <w:b/>
          <w:smallCaps/>
          <w:color w:val="000000"/>
          <w:sz w:val="20"/>
        </w:rPr>
        <w:t>22.</w:t>
      </w:r>
    </w:p>
    <w:p>
      <w:pPr>
        <w:pStyle w:val="TextBody"/>
        <w:bidi w:val="0"/>
        <w:spacing w:before="0" w:after="240"/>
        <w:jc w:val="both"/>
        <w:rPr>
          <w:rFonts w:ascii="Arial" w:hAnsi="Arial"/>
          <w:b/>
          <w:color w:val="000000"/>
          <w:sz w:val="20"/>
        </w:rPr>
      </w:pPr>
      <w:r>
        <w:rPr>
          <w:rFonts w:ascii="Arial" w:hAnsi="Arial"/>
          <w:b/>
          <w:color w:val="000000"/>
          <w:sz w:val="20"/>
        </w:rPr>
        <w:t>Can I gift stock while I possess material nonpublic information or during a trading blackout period?</w:t>
      </w:r>
    </w:p>
    <w:p>
      <w:pPr>
        <w:pStyle w:val="TextBody"/>
        <w:bidi w:val="0"/>
        <w:spacing w:before="0" w:after="240"/>
        <w:jc w:val="both"/>
        <w:rPr>
          <w:rFonts w:ascii="Arial" w:hAnsi="Arial"/>
          <w:color w:val="000000"/>
          <w:sz w:val="20"/>
        </w:rPr>
      </w:pPr>
      <w:r>
        <w:rPr>
          <w:rFonts w:ascii="Arial" w:hAnsi="Arial"/>
          <w:color w:val="000000"/>
          <w:sz w:val="20"/>
        </w:rPr>
        <w:t>A: Because of the potential for the appearance of impropriety, you may not make gifts, whether to charities, to a trust or otherwise, of our common stock when you possess material nonpublic information or during a trading blackout period.</w:t>
      </w:r>
    </w:p>
    <w:p>
      <w:pPr>
        <w:pStyle w:val="TextBody"/>
        <w:bidi w:val="0"/>
        <w:spacing w:before="0" w:after="240"/>
        <w:jc w:val="both"/>
        <w:rPr>
          <w:rFonts w:ascii="Arial" w:hAnsi="Arial"/>
          <w:b/>
          <w:smallCaps/>
          <w:color w:val="000000"/>
          <w:sz w:val="20"/>
        </w:rPr>
      </w:pPr>
      <w:r>
        <w:rPr>
          <w:rFonts w:ascii="Arial" w:hAnsi="Arial"/>
          <w:b/>
          <w:smallCaps/>
          <w:color w:val="000000"/>
          <w:sz w:val="20"/>
        </w:rPr>
        <w:t>23.</w:t>
      </w:r>
    </w:p>
    <w:p>
      <w:pPr>
        <w:pStyle w:val="TextBody"/>
        <w:bidi w:val="0"/>
        <w:spacing w:before="0" w:after="240"/>
        <w:jc w:val="both"/>
        <w:rPr>
          <w:rFonts w:ascii="Arial" w:hAnsi="Arial"/>
          <w:b/>
          <w:color w:val="000000"/>
          <w:sz w:val="20"/>
        </w:rPr>
      </w:pPr>
      <w:r>
        <w:rPr>
          <w:rFonts w:ascii="Arial" w:hAnsi="Arial"/>
          <w:b/>
          <w:color w:val="000000"/>
          <w:sz w:val="20"/>
        </w:rPr>
        <w:t>What if I purchased publicly-traded options or other derivative securities before I became a Rani employee (or contractor or consultant)?</w:t>
      </w:r>
    </w:p>
    <w:p>
      <w:pPr>
        <w:pStyle w:val="TextBody"/>
        <w:bidi w:val="0"/>
        <w:spacing w:before="0" w:after="240"/>
        <w:jc w:val="both"/>
        <w:rPr>
          <w:rFonts w:ascii="Arial" w:hAnsi="Arial"/>
          <w:color w:val="000000"/>
          <w:sz w:val="20"/>
        </w:rPr>
      </w:pPr>
      <w:r>
        <w:rPr>
          <w:rFonts w:ascii="Arial" w:hAnsi="Arial"/>
          <w:color w:val="000000"/>
          <w:sz w:val="20"/>
        </w:rPr>
        <w:t>A: The same rules apply as for employee stock options. You may exercise the publicly-traded options at any time, but you may not sell such securities during a trading blackout period or at any time that you have material, nonpublic information. When you become a Rani employee, you must report to our Chief Financial Officer that you hold such publicly traded options or other derivative securities.</w:t>
      </w:r>
    </w:p>
    <w:p>
      <w:pPr>
        <w:pStyle w:val="TextBody"/>
        <w:bidi w:val="0"/>
        <w:spacing w:before="0" w:after="240"/>
        <w:jc w:val="both"/>
        <w:rPr>
          <w:rFonts w:ascii="Arial" w:hAnsi="Arial"/>
          <w:b/>
          <w:smallCaps/>
          <w:color w:val="000000"/>
          <w:sz w:val="20"/>
        </w:rPr>
      </w:pPr>
      <w:r>
        <w:rPr>
          <w:rFonts w:ascii="Arial" w:hAnsi="Arial"/>
          <w:b/>
          <w:smallCaps/>
          <w:color w:val="000000"/>
          <w:sz w:val="20"/>
        </w:rPr>
        <w:t>24.</w:t>
      </w:r>
    </w:p>
    <w:p>
      <w:pPr>
        <w:pStyle w:val="TextBody"/>
        <w:bidi w:val="0"/>
        <w:spacing w:before="0" w:after="240"/>
        <w:jc w:val="both"/>
        <w:rPr>
          <w:rFonts w:ascii="Arial" w:hAnsi="Arial"/>
          <w:b/>
          <w:color w:val="000000"/>
          <w:sz w:val="20"/>
        </w:rPr>
      </w:pPr>
      <w:r>
        <w:rPr>
          <w:rFonts w:ascii="Arial" w:hAnsi="Arial"/>
          <w:b/>
          <w:color w:val="000000"/>
          <w:sz w:val="20"/>
        </w:rPr>
        <w:t>May I own shares of a mutual fund that invests in Rani?</w:t>
      </w:r>
    </w:p>
    <w:p>
      <w:pPr>
        <w:pStyle w:val="TextBody"/>
        <w:bidi w:val="0"/>
        <w:spacing w:before="0" w:after="240"/>
        <w:jc w:val="both"/>
        <w:rPr>
          <w:rFonts w:ascii="Arial" w:hAnsi="Arial"/>
          <w:color w:val="000000"/>
          <w:sz w:val="20"/>
        </w:rPr>
      </w:pPr>
      <w:r>
        <w:rPr>
          <w:rFonts w:ascii="Arial" w:hAnsi="Arial"/>
          <w:color w:val="000000"/>
          <w:sz w:val="20"/>
        </w:rPr>
        <w:t>A: Yes.</w:t>
      </w:r>
    </w:p>
    <w:p>
      <w:pPr>
        <w:pStyle w:val="TextBody"/>
        <w:bidi w:val="0"/>
        <w:spacing w:before="0" w:after="240"/>
        <w:jc w:val="both"/>
        <w:rPr>
          <w:rFonts w:ascii="Arial" w:hAnsi="Arial"/>
          <w:b/>
          <w:smallCaps/>
          <w:color w:val="000000"/>
          <w:sz w:val="20"/>
        </w:rPr>
      </w:pPr>
      <w:r>
        <w:rPr>
          <w:rFonts w:ascii="Arial" w:hAnsi="Arial"/>
          <w:b/>
          <w:smallCaps/>
          <w:color w:val="000000"/>
          <w:sz w:val="20"/>
        </w:rPr>
        <w:t>25.</w:t>
      </w:r>
    </w:p>
    <w:p>
      <w:pPr>
        <w:pStyle w:val="TextBody"/>
        <w:bidi w:val="0"/>
        <w:spacing w:before="0" w:after="240"/>
        <w:jc w:val="both"/>
        <w:rPr>
          <w:rFonts w:ascii="Arial" w:hAnsi="Arial"/>
          <w:b/>
          <w:color w:val="000000"/>
          <w:sz w:val="20"/>
        </w:rPr>
      </w:pPr>
      <w:r>
        <w:rPr>
          <w:rFonts w:ascii="Arial" w:hAnsi="Arial"/>
          <w:b/>
          <w:color w:val="000000"/>
          <w:sz w:val="20"/>
        </w:rPr>
        <w:t>Are mutual fund shares holding Rani subject to the trading blackout periods?</w:t>
      </w:r>
    </w:p>
    <w:p>
      <w:pPr>
        <w:pStyle w:val="TextBody"/>
        <w:bidi w:val="0"/>
        <w:spacing w:before="0" w:after="240"/>
        <w:jc w:val="both"/>
        <w:rPr>
          <w:rFonts w:ascii="Arial" w:hAnsi="Arial"/>
          <w:color w:val="000000"/>
          <w:sz w:val="20"/>
        </w:rPr>
      </w:pPr>
      <w:r>
        <w:rPr>
          <w:rFonts w:ascii="Arial" w:hAnsi="Arial"/>
          <w:color w:val="000000"/>
          <w:sz w:val="20"/>
        </w:rPr>
        <w:t>A: No. You may trade in mutual funds holding our common stock at any time.</w:t>
      </w:r>
    </w:p>
    <w:p>
      <w:pPr>
        <w:pStyle w:val="TextBody"/>
        <w:bidi w:val="0"/>
        <w:spacing w:before="0" w:after="240"/>
        <w:jc w:val="both"/>
        <w:rPr>
          <w:rFonts w:ascii="Arial" w:hAnsi="Arial"/>
          <w:b/>
          <w:smallCaps/>
          <w:color w:val="000000"/>
          <w:sz w:val="20"/>
        </w:rPr>
      </w:pPr>
      <w:r>
        <w:rPr>
          <w:rFonts w:ascii="Arial" w:hAnsi="Arial"/>
          <w:b/>
          <w:smallCaps/>
          <w:color w:val="000000"/>
          <w:sz w:val="20"/>
        </w:rPr>
        <w:t>26.</w:t>
      </w:r>
    </w:p>
    <w:p>
      <w:pPr>
        <w:pStyle w:val="TextBody"/>
        <w:bidi w:val="0"/>
        <w:spacing w:before="0" w:after="240"/>
        <w:jc w:val="both"/>
        <w:rPr>
          <w:rFonts w:ascii="Arial" w:hAnsi="Arial"/>
          <w:b/>
          <w:color w:val="000000"/>
          <w:sz w:val="20"/>
        </w:rPr>
      </w:pPr>
      <w:r>
        <w:rPr>
          <w:rFonts w:ascii="Arial" w:hAnsi="Arial"/>
          <w:b/>
          <w:color w:val="000000"/>
          <w:sz w:val="20"/>
        </w:rPr>
        <w:t>May I use a “routine trading program” or “10b5-1 plan”?</w:t>
      </w:r>
    </w:p>
    <w:p>
      <w:pPr>
        <w:pStyle w:val="TextBody"/>
        <w:bidi w:val="0"/>
        <w:spacing w:before="0" w:after="240"/>
        <w:jc w:val="both"/>
        <w:rPr>
          <w:rFonts w:ascii="Arial" w:hAnsi="Arial"/>
          <w:color w:val="000000"/>
          <w:sz w:val="20"/>
        </w:rPr>
      </w:pPr>
      <w:r>
        <w:rPr>
          <w:rFonts w:ascii="Arial" w:hAnsi="Arial"/>
          <w:color w:val="000000"/>
          <w:sz w:val="20"/>
        </w:rPr>
        <w:t>A: Yes, subject to the requirements discussed in our Insider Trading and Trading Window Policy. A routine trading program, also known as a 10b5-1 plan, allows you to set up a highly structured program with your stock broker through which you specify ahead of time the date, price, and amount of securities to be traded. If you wish to create a 10b5-1 plan, you must contact our Chief Financial Officer for approval.</w:t>
      </w:r>
    </w:p>
    <w:p>
      <w:pPr>
        <w:pStyle w:val="TextBody"/>
        <w:bidi w:val="0"/>
        <w:spacing w:before="0" w:after="240"/>
        <w:jc w:val="both"/>
        <w:rPr>
          <w:rFonts w:ascii="Arial" w:hAnsi="Arial"/>
          <w:b/>
          <w:smallCaps/>
          <w:color w:val="000000"/>
          <w:sz w:val="20"/>
        </w:rPr>
      </w:pPr>
      <w:r>
        <w:rPr>
          <w:rFonts w:ascii="Arial" w:hAnsi="Arial"/>
          <w:b/>
          <w:smallCaps/>
          <w:color w:val="000000"/>
          <w:sz w:val="20"/>
        </w:rPr>
        <w:t>27.</w:t>
      </w:r>
    </w:p>
    <w:p>
      <w:pPr>
        <w:pStyle w:val="TextBody"/>
        <w:bidi w:val="0"/>
        <w:spacing w:before="0" w:after="240"/>
        <w:jc w:val="both"/>
        <w:rPr>
          <w:rFonts w:ascii="Arial" w:hAnsi="Arial"/>
          <w:b/>
          <w:color w:val="000000"/>
          <w:sz w:val="20"/>
        </w:rPr>
      </w:pPr>
      <w:r>
        <w:rPr>
          <w:rFonts w:ascii="Arial" w:hAnsi="Arial"/>
          <w:b/>
          <w:color w:val="000000"/>
          <w:sz w:val="20"/>
        </w:rPr>
        <w:t>What happens if I violate our insider trading policy?</w:t>
      </w:r>
    </w:p>
    <w:p>
      <w:pPr>
        <w:pStyle w:val="TextBody"/>
        <w:bidi w:val="0"/>
        <w:jc w:val="center"/>
        <w:rPr>
          <w:rFonts w:ascii="Arial" w:hAnsi="Arial"/>
          <w:caps/>
          <w:color w:val="000000"/>
          <w:sz w:val="20"/>
        </w:rPr>
      </w:pPr>
      <w:r>
        <w:rPr>
          <w:rFonts w:ascii="Arial" w:hAnsi="Arial"/>
          <w:caps/>
          <w:color w:val="000000"/>
          <w:sz w:val="20"/>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 Violation of our policies may result in severe personnel action, including a memo to your personnel file and up to and including termination of your employment or other relationship with Rani. In addition, you may be subject to criminal and civil enforcement actions by the government.</w:t>
      </w:r>
    </w:p>
    <w:p>
      <w:pPr>
        <w:pStyle w:val="TextBody"/>
        <w:bidi w:val="0"/>
        <w:spacing w:before="0" w:after="240"/>
        <w:jc w:val="both"/>
        <w:rPr>
          <w:rFonts w:ascii="Arial" w:hAnsi="Arial"/>
          <w:b/>
          <w:smallCaps/>
          <w:color w:val="000000"/>
          <w:sz w:val="20"/>
        </w:rPr>
      </w:pPr>
      <w:r>
        <w:rPr>
          <w:rFonts w:ascii="Arial" w:hAnsi="Arial"/>
          <w:b/>
          <w:smallCaps/>
          <w:color w:val="000000"/>
          <w:sz w:val="20"/>
        </w:rPr>
        <w:t>28.</w:t>
      </w:r>
    </w:p>
    <w:p>
      <w:pPr>
        <w:pStyle w:val="TextBody"/>
        <w:bidi w:val="0"/>
        <w:spacing w:before="0" w:after="240"/>
        <w:jc w:val="both"/>
        <w:rPr>
          <w:rFonts w:ascii="Arial" w:hAnsi="Arial"/>
          <w:b/>
          <w:color w:val="000000"/>
          <w:sz w:val="20"/>
        </w:rPr>
      </w:pPr>
      <w:r>
        <w:rPr>
          <w:rFonts w:ascii="Arial" w:hAnsi="Arial"/>
          <w:b/>
          <w:color w:val="000000"/>
          <w:sz w:val="20"/>
        </w:rPr>
        <w:t>Who should I contact if I have questions about our insider trading policy?</w:t>
      </w:r>
    </w:p>
    <w:p>
      <w:pPr>
        <w:pStyle w:val="TextBody"/>
        <w:bidi w:val="0"/>
        <w:spacing w:before="0" w:after="240"/>
        <w:jc w:val="both"/>
        <w:rPr>
          <w:rFonts w:ascii="Arial" w:hAnsi="Arial"/>
          <w:color w:val="000000"/>
          <w:sz w:val="20"/>
        </w:rPr>
      </w:pPr>
      <w:r>
        <w:rPr>
          <w:rFonts w:ascii="Arial" w:hAnsi="Arial"/>
          <w:color w:val="000000"/>
          <w:sz w:val="20"/>
        </w:rPr>
        <w:t>A: You should contact our Chief Financial Officer, Svai Sanford, at svai@ranitherapeutics.com.</w:t>
      </w:r>
    </w:p>
    <w:p>
      <w:pPr>
        <w:pStyle w:val="TextBody"/>
        <w:bidi w:val="0"/>
        <w:jc w:val="center"/>
        <w:rPr>
          <w:rFonts w:ascii="Arial" w:hAnsi="Arial"/>
          <w:caps/>
          <w:color w:val="000000"/>
          <w:sz w:val="20"/>
        </w:rPr>
      </w:pPr>
      <w:r>
        <w:rPr>
          <w:rFonts w:ascii="Arial" w:hAnsi="Arial"/>
          <w:caps/>
          <w:color w:val="000000"/>
          <w:sz w:val="20"/>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57" w:name="rani-ex21_1.htm"/>
      <w:bookmarkStart w:id="158" w:name="ksraniex21_1"/>
      <w:bookmarkEnd w:id="157"/>
      <w:bookmarkEnd w:id="158"/>
      <w:r>
        <w:rPr>
          <w:rFonts w:ascii="Times New Roman" w:hAnsi="Times New Roman"/>
          <w:b/>
          <w:color w:val="000000"/>
          <w:sz w:val="20"/>
        </w:rPr>
        <w:t>Exhibit 21.1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List of subsidiaries of Rani Therapeutics Holdings, Inc.</w:t>
      </w:r>
    </w:p>
    <w:tbl>
      <w:tblPr>
        <w:tblW w:w="5147" w:type="dxa"/>
        <w:jc w:val="left"/>
        <w:tblInd w:w="0" w:type="dxa"/>
        <w:tblLayout w:type="fixed"/>
        <w:tblCellMar>
          <w:top w:w="28" w:type="dxa"/>
          <w:left w:w="28" w:type="dxa"/>
          <w:bottom w:w="28" w:type="dxa"/>
          <w:right w:w="28" w:type="dxa"/>
        </w:tblCellMar>
      </w:tblPr>
      <w:tblGrid>
        <w:gridCol w:w="2071"/>
        <w:gridCol w:w="3076"/>
      </w:tblGrid>
      <w:tr>
        <w:trPr/>
        <w:tc>
          <w:tcPr>
            <w:tcW w:w="207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333333"/>
                <w:sz w:val="20"/>
                <w:u w:val="single"/>
              </w:rPr>
            </w:pPr>
            <w:r>
              <w:rPr>
                <w:rFonts w:ascii="Times New Roman" w:hAnsi="Times New Roman"/>
                <w:color w:val="333333"/>
                <w:sz w:val="20"/>
                <w:u w:val="single"/>
              </w:rPr>
              <w:t>Name of Subsidiary</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333333"/>
                <w:sz w:val="20"/>
                <w:u w:val="single"/>
              </w:rPr>
            </w:pPr>
            <w:r>
              <w:rPr>
                <w:rFonts w:ascii="Times New Roman" w:hAnsi="Times New Roman"/>
                <w:color w:val="333333"/>
                <w:sz w:val="20"/>
                <w:u w:val="single"/>
              </w:rPr>
              <w:t>Jurisdiction of Organization</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333333"/>
                <w:sz w:val="20"/>
              </w:rPr>
            </w:pPr>
            <w:r>
              <w:rPr>
                <w:rFonts w:ascii="Times New Roman" w:hAnsi="Times New Roman"/>
                <w:color w:val="333333"/>
                <w:sz w:val="20"/>
              </w:rPr>
              <w:t>Rani Therapeutics, LLC</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333333"/>
                <w:sz w:val="20"/>
              </w:rPr>
            </w:pPr>
            <w:r>
              <w:rPr>
                <w:rFonts w:ascii="Times New Roman" w:hAnsi="Times New Roman"/>
                <w:color w:val="333333"/>
                <w:sz w:val="20"/>
              </w:rPr>
              <w:t>California, United States of America</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59" w:name="rani-ex23_1.htm"/>
      <w:bookmarkStart w:id="160" w:name="ksraniex23_1"/>
      <w:bookmarkEnd w:id="159"/>
      <w:bookmarkEnd w:id="160"/>
      <w:r>
        <w:rPr>
          <w:rFonts w:ascii="Times New Roman" w:hAnsi="Times New Roman"/>
          <w:b/>
          <w:color w:val="000000"/>
          <w:sz w:val="20"/>
        </w:rPr>
        <w:t>Exhibit 23.1</w:t>
      </w:r>
      <w:r>
        <w:br w:type="page"/>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CONSENT OF INDEPENDENT REGISTERED PUBLIC ACCOUNTING FIRM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consent to the incorporation by reference in the Registration Statement on Form S-8 No. 333-286262 and Form S-3 Nos. 333-291394, 333-289424, 333-288509 of our report dated March 31, 2025, with respect to the consolidated financial statements of Rani Therapeutics Holdings Inc. included in this Annual Report on Form 10-K for the year ended December 31, 2025.</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 Marcum LLP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San Francisco, CA</w:t>
      </w:r>
    </w:p>
    <w:p>
      <w:pPr>
        <w:pStyle w:val="TextBody"/>
        <w:bidi w:val="0"/>
        <w:jc w:val="left"/>
        <w:rPr>
          <w:rFonts w:ascii="Times New Roman" w:hAnsi="Times New Roman"/>
          <w:color w:val="000000"/>
          <w:sz w:val="20"/>
        </w:rPr>
      </w:pPr>
      <w:r>
        <w:rPr>
          <w:rFonts w:ascii="Times New Roman" w:hAnsi="Times New Roman"/>
          <w:color w:val="000000"/>
          <w:sz w:val="20"/>
        </w:rPr>
        <w:t>March 26,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61" w:name="rani-ex23_2.htm"/>
      <w:bookmarkStart w:id="162" w:name="ksraniex23_2"/>
      <w:bookmarkEnd w:id="161"/>
      <w:bookmarkEnd w:id="162"/>
      <w:r>
        <w:rPr>
          <w:rFonts w:ascii="Times New Roman" w:hAnsi="Times New Roman"/>
          <w:b/>
          <w:color w:val="000000"/>
          <w:sz w:val="20"/>
        </w:rPr>
        <w:t>Exhibit 23.2</w:t>
      </w:r>
      <w:r>
        <w:br w:type="page"/>
      </w:r>
    </w:p>
    <w:p>
      <w:pPr>
        <w:pStyle w:val="TextBody"/>
        <w:bidi w:val="0"/>
        <w:jc w:val="center"/>
        <w:rPr>
          <w:rFonts w:ascii="Times New Roman" w:hAnsi="Times New Roman"/>
          <w:b/>
          <w:color w:val="000000"/>
          <w:sz w:val="21"/>
          <w:u w:val="single"/>
        </w:rPr>
      </w:pPr>
      <w:r>
        <w:rPr>
          <w:rFonts w:ascii="Times New Roman" w:hAnsi="Times New Roman"/>
          <w:b/>
          <w:color w:val="000000"/>
          <w:sz w:val="21"/>
          <w:u w:val="single"/>
        </w:rPr>
        <w:t>CONSENT OF INDEPENDENT REGISTERED PUBLIC ACCOUNTING FIRM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consent to the incorporation by reference in the Registration Statement on Form S-3 (File No. 333-291394, 333-289424, 333-288509, 333-266444 and 333-268855) and Form S-8 (File No. 333-286262, 333-278116, 333-270747, 333-258415 and 333-264018) of our report dated March 26, 2026, with respect to the consolidated financial statements of Rani Therapeutics Holdings, Inc. included in this Annual Report on Form 10-K for the year ended December 31,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CBIZ CPAs P.C.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jc w:val="left"/>
        <w:rPr>
          <w:rFonts w:ascii="Times New Roman" w:hAnsi="Times New Roman"/>
          <w:color w:val="000000"/>
          <w:sz w:val="20"/>
        </w:rPr>
      </w:pPr>
      <w:r>
        <w:rPr>
          <w:rFonts w:ascii="Times New Roman" w:hAnsi="Times New Roman"/>
          <w:color w:val="000000"/>
          <w:sz w:val="20"/>
        </w:rPr>
        <w:t>March 26,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19"/>
        </w:rPr>
      </w:pPr>
      <w:bookmarkStart w:id="163" w:name="rani-ex31_1.htm"/>
      <w:bookmarkStart w:id="164" w:name="ksraniex31_1"/>
      <w:bookmarkEnd w:id="163"/>
      <w:bookmarkEnd w:id="164"/>
      <w:r>
        <w:rPr>
          <w:rFonts w:ascii="Times New Roman" w:hAnsi="Times New Roman"/>
          <w:b/>
          <w:color w:val="000000"/>
          <w:sz w:val="19"/>
        </w:rPr>
        <w:t>Exhibit 31.1</w:t>
      </w:r>
      <w:r>
        <w:br w:type="page"/>
      </w:r>
    </w:p>
    <w:p>
      <w:pPr>
        <w:pStyle w:val="TextBody"/>
        <w:bidi w:val="0"/>
        <w:spacing w:before="0" w:after="240"/>
        <w:jc w:val="center"/>
        <w:rPr>
          <w:rFonts w:ascii="Times New Roman" w:hAnsi="Times New Roman"/>
          <w:b/>
          <w:color w:val="000000"/>
          <w:sz w:val="19"/>
          <w:u w:val="single"/>
        </w:rPr>
      </w:pPr>
      <w:r>
        <w:rPr>
          <w:rFonts w:ascii="Times New Roman" w:hAnsi="Times New Roman"/>
          <w:b/>
          <w:color w:val="000000"/>
          <w:sz w:val="19"/>
          <w:u w:val="single"/>
        </w:rPr>
        <w:t>CERTIFICATION</w:t>
      </w:r>
    </w:p>
    <w:p>
      <w:pPr>
        <w:pStyle w:val="TextBody"/>
        <w:bidi w:val="0"/>
        <w:spacing w:before="0" w:after="240"/>
        <w:jc w:val="left"/>
        <w:rPr>
          <w:rFonts w:ascii="Times New Roman" w:hAnsi="Times New Roman"/>
          <w:color w:val="000000"/>
          <w:sz w:val="19"/>
        </w:rPr>
      </w:pPr>
      <w:r>
        <w:rPr>
          <w:rFonts w:ascii="Times New Roman" w:hAnsi="Times New Roman"/>
          <w:color w:val="000000"/>
          <w:sz w:val="19"/>
        </w:rPr>
        <w:t>I, Talat Imran, certify that:</w:t>
      </w:r>
    </w:p>
    <w:p>
      <w:pPr>
        <w:pStyle w:val="TextBody"/>
        <w:bidi w:val="0"/>
        <w:spacing w:before="0" w:after="240"/>
        <w:jc w:val="left"/>
        <w:rPr>
          <w:rFonts w:ascii="Times New Roman" w:hAnsi="Times New Roman"/>
          <w:color w:val="000000"/>
          <w:sz w:val="19"/>
        </w:rPr>
      </w:pPr>
      <w:r>
        <w:rPr>
          <w:rFonts w:ascii="Times New Roman" w:hAnsi="Times New Roman"/>
          <w:color w:val="000000"/>
          <w:sz w:val="19"/>
        </w:rPr>
        <w:t>1.</w:t>
      </w:r>
    </w:p>
    <w:p>
      <w:pPr>
        <w:pStyle w:val="TextBody"/>
        <w:bidi w:val="0"/>
        <w:spacing w:before="0" w:after="240"/>
        <w:jc w:val="left"/>
        <w:rPr>
          <w:rFonts w:ascii="Times New Roman" w:hAnsi="Times New Roman"/>
          <w:color w:val="000000"/>
          <w:sz w:val="19"/>
        </w:rPr>
      </w:pPr>
      <w:r>
        <w:rPr>
          <w:rFonts w:ascii="Times New Roman" w:hAnsi="Times New Roman"/>
          <w:color w:val="000000"/>
          <w:sz w:val="19"/>
        </w:rPr>
        <w:t>I have reviewed this Annual Report on Form 10-K of Rani Therapeutics Holdings, Inc.;</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2.</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3.</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4.</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(a)</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(b)</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(c)</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(d)</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5.</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(a)</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(b)</w:t>
      </w:r>
    </w:p>
    <w:p>
      <w:pPr>
        <w:pStyle w:val="TextBody"/>
        <w:bidi w:val="0"/>
        <w:jc w:val="both"/>
        <w:rPr>
          <w:rFonts w:ascii="Times New Roman" w:hAnsi="Times New Roman"/>
          <w:color w:val="000000"/>
          <w:sz w:val="19"/>
        </w:rPr>
      </w:pPr>
      <w:r>
        <w:rPr>
          <w:rFonts w:ascii="Times New Roman" w:hAnsi="Times New Roman"/>
          <w:color w:val="000000"/>
          <w:sz w:val="19"/>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67" w:type="dxa"/>
        <w:jc w:val="left"/>
        <w:tblInd w:w="0" w:type="dxa"/>
        <w:tblLayout w:type="fixed"/>
        <w:tblCellMar>
          <w:top w:w="28" w:type="dxa"/>
          <w:left w:w="28" w:type="dxa"/>
          <w:bottom w:w="28" w:type="dxa"/>
          <w:right w:w="28" w:type="dxa"/>
        </w:tblCellMar>
      </w:tblPr>
      <w:tblGrid>
        <w:gridCol w:w="1891"/>
        <w:gridCol w:w="2476"/>
      </w:tblGrid>
      <w:tr>
        <w:trPr/>
        <w:tc>
          <w:tcPr>
            <w:tcW w:w="189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Date: March 26, 2026</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Talat Imran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Talat Imran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Chief Executive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19"/>
        </w:rPr>
      </w:pPr>
      <w:bookmarkStart w:id="165" w:name="rani-ex31_2.htm"/>
      <w:bookmarkStart w:id="166" w:name="ksraniex31_2"/>
      <w:bookmarkEnd w:id="165"/>
      <w:bookmarkEnd w:id="166"/>
      <w:r>
        <w:rPr>
          <w:rFonts w:ascii="Times New Roman" w:hAnsi="Times New Roman"/>
          <w:b/>
          <w:color w:val="000000"/>
          <w:sz w:val="19"/>
        </w:rPr>
        <w:t>Exhibit 31.2</w:t>
      </w:r>
      <w:r>
        <w:br w:type="page"/>
      </w:r>
    </w:p>
    <w:p>
      <w:pPr>
        <w:pStyle w:val="TextBody"/>
        <w:bidi w:val="0"/>
        <w:spacing w:before="0" w:after="240"/>
        <w:jc w:val="center"/>
        <w:rPr>
          <w:rFonts w:ascii="Times New Roman" w:hAnsi="Times New Roman"/>
          <w:b/>
          <w:color w:val="000000"/>
          <w:sz w:val="19"/>
          <w:u w:val="single"/>
        </w:rPr>
      </w:pPr>
      <w:r>
        <w:rPr>
          <w:rFonts w:ascii="Times New Roman" w:hAnsi="Times New Roman"/>
          <w:b/>
          <w:color w:val="000000"/>
          <w:sz w:val="19"/>
          <w:u w:val="single"/>
        </w:rPr>
        <w:t>CERTIFICATION</w:t>
      </w:r>
    </w:p>
    <w:p>
      <w:pPr>
        <w:pStyle w:val="TextBody"/>
        <w:bidi w:val="0"/>
        <w:spacing w:before="0" w:after="240"/>
        <w:jc w:val="left"/>
        <w:rPr>
          <w:rFonts w:ascii="Times New Roman" w:hAnsi="Times New Roman"/>
          <w:color w:val="000000"/>
          <w:sz w:val="19"/>
        </w:rPr>
      </w:pPr>
      <w:r>
        <w:rPr>
          <w:rFonts w:ascii="Times New Roman" w:hAnsi="Times New Roman"/>
          <w:color w:val="000000"/>
          <w:sz w:val="19"/>
        </w:rPr>
        <w:t>I, Svai Sanford, certify that:</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1.</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I have reviewed this Annual Report on Form 10-K of Rani Therapeutics Holdings, Inc.;</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2.</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3.</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4.</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(a)</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(b)</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(c)</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(d)</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5.</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(a)</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(b)</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03" w:type="dxa"/>
        <w:jc w:val="left"/>
        <w:tblInd w:w="0" w:type="dxa"/>
        <w:tblLayout w:type="fixed"/>
        <w:tblCellMar>
          <w:top w:w="28" w:type="dxa"/>
          <w:left w:w="28" w:type="dxa"/>
          <w:bottom w:w="28" w:type="dxa"/>
          <w:right w:w="28" w:type="dxa"/>
        </w:tblCellMar>
      </w:tblPr>
      <w:tblGrid>
        <w:gridCol w:w="1891"/>
        <w:gridCol w:w="146"/>
        <w:gridCol w:w="376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Date: March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Svai Sanford</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Svai Sanford</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Chief Financial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167" w:name="rani-ex32_1.htm"/>
      <w:bookmarkStart w:id="168" w:name="ksraniex32_1"/>
      <w:bookmarkEnd w:id="167"/>
      <w:bookmarkEnd w:id="168"/>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or her knowledge: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Annual Report on Form 10-K for the period ended December 31, 2025, to which this Certification is attached as Exhibit 32.1 (the “Periodic Report”), fully complies with the requirements of Section 13(a) or Section 15(d) of the Exchange Act; and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Dated: March 26, 2026</w:t>
      </w:r>
    </w:p>
    <w:p>
      <w:pPr>
        <w:pStyle w:val="TextBody"/>
        <w:bidi w:val="0"/>
        <w:spacing w:before="0" w:after="40"/>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undersigned have set their hands hereto as of the 26st day of March, 2026.</w:t>
      </w:r>
    </w:p>
    <w:p>
      <w:pPr>
        <w:pStyle w:val="TextBody"/>
        <w:bidi w:val="0"/>
        <w:jc w:val="both"/>
        <w:rPr/>
      </w:pPr>
      <w:r>
        <w:rPr/>
        <w:t> </w:t>
      </w:r>
    </w:p>
    <w:tbl>
      <w:tblPr>
        <w:tblW w:w="6358" w:type="dxa"/>
        <w:jc w:val="left"/>
        <w:tblInd w:w="0" w:type="dxa"/>
        <w:tblLayout w:type="fixed"/>
        <w:tblCellMar>
          <w:top w:w="28" w:type="dxa"/>
          <w:left w:w="28" w:type="dxa"/>
          <w:bottom w:w="28" w:type="dxa"/>
          <w:right w:w="28" w:type="dxa"/>
        </w:tblCellMar>
      </w:tblPr>
      <w:tblGrid>
        <w:gridCol w:w="2446"/>
        <w:gridCol w:w="146"/>
        <w:gridCol w:w="3766"/>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Talat Imran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Svai Sanford</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Talat Imran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Svai Sanford</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0" w:after="4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certification accompanies the Form 10-K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10-K),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jpeg"/><Relationship Id="rId7" Type="http://schemas.openxmlformats.org/officeDocument/2006/relationships/image" Target="media/image6.gif"/><Relationship Id="rId8" Type="http://schemas.openxmlformats.org/officeDocument/2006/relationships/image" Target="media/image7.gif"/><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image" Target="media/image10.jpeg"/><Relationship Id="rId12" Type="http://schemas.openxmlformats.org/officeDocument/2006/relationships/image" Target="media/image11.gif"/><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gif"/><Relationship Id="rId17" Type="http://schemas.openxmlformats.org/officeDocument/2006/relationships/image" Target="media/image16.jpeg"/><Relationship Id="rId18" Type="http://schemas.openxmlformats.org/officeDocument/2006/relationships/image" Target="media/image17.gif"/><Relationship Id="rId19" Type="http://schemas.openxmlformats.org/officeDocument/2006/relationships/hyperlink" Target="https://www.sec.gov/Archives/edgar/data/1856725/000119312526001098/d848686dex31.htm" TargetMode="External"/><Relationship Id="rId20" Type="http://schemas.openxmlformats.org/officeDocument/2006/relationships/hyperlink" Target="https://www.sec.gov/Archives/edgar/data/1856725/000119312526001098/d848686dex32.htm" TargetMode="External"/><Relationship Id="rId21" Type="http://schemas.openxmlformats.org/officeDocument/2006/relationships/hyperlink" Target="https://www.sec.gov/Archives/edgar/data/1856725/000119312521223596/d151628dex41.htm" TargetMode="External"/><Relationship Id="rId22" Type="http://schemas.openxmlformats.org/officeDocument/2006/relationships/hyperlink" Target="https://www.sec.gov/Archives/edgar/data/1856725/000095017022016492/rani-ex10_3.htm" TargetMode="External"/><Relationship Id="rId23" Type="http://schemas.openxmlformats.org/officeDocument/2006/relationships/hyperlink" Target="https://www.sec.gov/Archives/edgar/data/1856725/000119312525241963/d38236dex103.htm" TargetMode="External"/><Relationship Id="rId24" Type="http://schemas.openxmlformats.org/officeDocument/2006/relationships/hyperlink" Target="https://www.sec.gov/Archives/edgar/data/1856725/000119312525241963/d38236dex103.htm" TargetMode="External"/><Relationship Id="rId25" Type="http://schemas.openxmlformats.org/officeDocument/2006/relationships/hyperlink" Target="https://www.sec.gov/Archives/edgar/data/1856725/000119312525241963/d38236dex103.htm" TargetMode="External"/><Relationship Id="rId26" Type="http://schemas.openxmlformats.org/officeDocument/2006/relationships/hyperlink" Target="https://www.sec.gov/Archives/edgar/data/1856725/000119312525241963/d38236dex103.htm" TargetMode="External"/><Relationship Id="rId27" Type="http://schemas.openxmlformats.org/officeDocument/2006/relationships/hyperlink" Target="https://www.sec.gov/Archives/edgar/data/1856725/000119312525241963/d38236dex103.htm" TargetMode="External"/><Relationship Id="rId28" Type="http://schemas.openxmlformats.org/officeDocument/2006/relationships/hyperlink" Target="https://www.sec.gov/Archives/edgar/data/1856725/000119312525241963/d38236dex103.htm" TargetMode="External"/><Relationship Id="rId29" Type="http://schemas.openxmlformats.org/officeDocument/2006/relationships/hyperlink" Target="https://www.sec.gov/Archives/edgar/data/1856725/000119312525241963/d38236dex104.htm" TargetMode="External"/><Relationship Id="rId30" Type="http://schemas.openxmlformats.org/officeDocument/2006/relationships/hyperlink" Target="https://www.sec.gov/Archives/edgar/data/1856725/000119312525241963/d38236dex104.htm" TargetMode="External"/><Relationship Id="rId31" Type="http://schemas.openxmlformats.org/officeDocument/2006/relationships/hyperlink" Target="https://www.sec.gov/Archives/edgar/data/1856725/000119312525241963/d38236dex104.htm" TargetMode="External"/><Relationship Id="rId32" Type="http://schemas.openxmlformats.org/officeDocument/2006/relationships/hyperlink" Target="https://www.sec.gov/Archives/edgar/data/1856725/000119312525159793/d917538dex41.htm" TargetMode="External"/><Relationship Id="rId33" Type="http://schemas.openxmlformats.org/officeDocument/2006/relationships/hyperlink" Target="https://www.sec.gov/Archives/edgar/data/1856725/000119312525159793/d917538dex41.htm" TargetMode="External"/><Relationship Id="rId34" Type="http://schemas.openxmlformats.org/officeDocument/2006/relationships/hyperlink" Target="https://www.sec.gov/Archives/edgar/data/1856725/000119312525159793/d917538dex41.htm" TargetMode="External"/><Relationship Id="rId35" Type="http://schemas.openxmlformats.org/officeDocument/2006/relationships/hyperlink" Target="https://www.sec.gov/Archives/edgar/data/1856725/000095017022005088/rani-ex10_2.htm" TargetMode="External"/><Relationship Id="rId36" Type="http://schemas.openxmlformats.org/officeDocument/2006/relationships/hyperlink" Target="https://www.sec.gov/Archives/edgar/data/1856725/000095017022005088/rani-ex10_3.htm" TargetMode="External"/><Relationship Id="rId37" Type="http://schemas.openxmlformats.org/officeDocument/2006/relationships/hyperlink" Target="https://www.sec.gov/Archives/edgar/data/1856725/000119312521211922/d151628dex104.htm" TargetMode="External"/><Relationship Id="rId38" Type="http://schemas.openxmlformats.org/officeDocument/2006/relationships/hyperlink" Target="https://www.sec.gov/Archives/edgar/data/1856725/000119312521211922/d151628dex105.htm" TargetMode="External"/><Relationship Id="rId39" Type="http://schemas.openxmlformats.org/officeDocument/2006/relationships/hyperlink" Target="https://www.sec.gov/Archives/edgar/data/1856725/000119312521223596/d151628dex107.htm" TargetMode="External"/><Relationship Id="rId40" Type="http://schemas.openxmlformats.org/officeDocument/2006/relationships/hyperlink" Target="https://www.sec.gov/Archives/edgar/data/1856725/000095017022005088/rani-ex10_8.htm" TargetMode="External"/><Relationship Id="rId41" Type="http://schemas.openxmlformats.org/officeDocument/2006/relationships/hyperlink" Target="https://www.sec.gov/Archives/edgar/data/1856725/000119312521223596/d151628dex108.htm" TargetMode="External"/><Relationship Id="rId42" Type="http://schemas.openxmlformats.org/officeDocument/2006/relationships/hyperlink" Target="https://www.sec.gov/Archives/edgar/data/1856725/000119312521211922/d151628dex108.htm" TargetMode="External"/><Relationship Id="rId43" Type="http://schemas.openxmlformats.org/officeDocument/2006/relationships/hyperlink" Target="https://www.sec.gov/Archives/edgar/data/1856725/000119312521211922/d151628dex109.htm" TargetMode="External"/><Relationship Id="rId44" Type="http://schemas.openxmlformats.org/officeDocument/2006/relationships/hyperlink" Target="https://www.sec.gov/Archives/edgar/data/1856725/000119312521211922/d151628dex1015.htm" TargetMode="External"/><Relationship Id="rId45" Type="http://schemas.openxmlformats.org/officeDocument/2006/relationships/hyperlink" Target="https://www.sec.gov/Archives/edgar/data/1856725/000095017022005088/rani-ex10_14.htm" TargetMode="External"/><Relationship Id="rId46" Type="http://schemas.openxmlformats.org/officeDocument/2006/relationships/hyperlink" Target="https://www.sec.gov/Archives/edgar/data/1856725/000095017024034163/rani-ex10_15.htm" TargetMode="External"/><Relationship Id="rId47" Type="http://schemas.openxmlformats.org/officeDocument/2006/relationships/hyperlink" Target="https://www.sec.gov/Archives/edgar/data/1856725/000119312521211922/d151628dex1018.htm" TargetMode="External"/><Relationship Id="rId48" Type="http://schemas.openxmlformats.org/officeDocument/2006/relationships/hyperlink" Target="https://www.sec.gov/Archives/edgar/data/1856725/000095017023009178/rani-ex10_19.htm" TargetMode="External"/><Relationship Id="rId49" Type="http://schemas.openxmlformats.org/officeDocument/2006/relationships/hyperlink" Target="https://www.sec.gov/Archives/edgar/data/1856725/000095017023009178/rani-ex10_20.htm" TargetMode="External"/><Relationship Id="rId50" Type="http://schemas.openxmlformats.org/officeDocument/2006/relationships/hyperlink" Target="https://www.sec.gov/Archives/edgar/data/1856725/000095017023009178/rani-ex10_21.htm" TargetMode="External"/><Relationship Id="rId51" Type="http://schemas.openxmlformats.org/officeDocument/2006/relationships/hyperlink" Target="https://www.sec.gov/Archives/edgar/data/1856725/000095017023041852/rani-ex10_2.htm" TargetMode="External"/><Relationship Id="rId52" Type="http://schemas.openxmlformats.org/officeDocument/2006/relationships/hyperlink" Target="https://www.sec.gov/Archives/edgar/data/1856725/000095017023041852/rani-ex10_1.htm" TargetMode="External"/><Relationship Id="rId53" Type="http://schemas.openxmlformats.org/officeDocument/2006/relationships/hyperlink" Target="https://www.sec.gov/Archives/edgar/data/1856725/000095017023041852/rani-ex10_1.htm" TargetMode="External"/><Relationship Id="rId54" Type="http://schemas.openxmlformats.org/officeDocument/2006/relationships/hyperlink" Target="https://www.sec.gov/Archives/edgar/data/1856725/000095017023061137/rani-ex10_1.htm" TargetMode="External"/><Relationship Id="rId55" Type="http://schemas.openxmlformats.org/officeDocument/2006/relationships/hyperlink" Target="https://www.sec.gov/Archives/edgar/data/1856725/000095017024091793/rani-ex10_1.htm" TargetMode="External"/><Relationship Id="rId56" Type="http://schemas.openxmlformats.org/officeDocument/2006/relationships/hyperlink" Target="https://www.sec.gov/Archives/edgar/data/1856725/000119312525269774/rani-ex10_1.htm" TargetMode="External"/><Relationship Id="rId57" Type="http://schemas.openxmlformats.org/officeDocument/2006/relationships/hyperlink" Target="https://www.sec.gov/Archives/edgar/data/1856725/000119312525269774/rani-ex10_1.htm" TargetMode="External"/><Relationship Id="rId58" Type="http://schemas.openxmlformats.org/officeDocument/2006/relationships/hyperlink" Target="https://www.sec.gov/Archives/edgar/data/1856725/000119312525269774/rani-ex10_1.htm" TargetMode="External"/><Relationship Id="rId59" Type="http://schemas.openxmlformats.org/officeDocument/2006/relationships/hyperlink" Target="https://www.sec.gov/Archives/edgar/data/1856725/000119312525269774/rani-ex10_1.htm" TargetMode="External"/><Relationship Id="rId60" Type="http://schemas.openxmlformats.org/officeDocument/2006/relationships/hyperlink" Target="https://www.sec.gov/Archives/edgar/data/1856725/000119312525269774/rani-ex10_1.htm" TargetMode="External"/><Relationship Id="rId61" Type="http://schemas.openxmlformats.org/officeDocument/2006/relationships/hyperlink" Target="https://www.sec.gov/Archives/edgar/data/1856725/000119312525241963/d38236dex102.htm" TargetMode="External"/><Relationship Id="rId62" Type="http://schemas.openxmlformats.org/officeDocument/2006/relationships/hyperlink" Target="https://www.sec.gov/Archives/edgar/data/1856725/000119312525241963/d38236dex102.htm" TargetMode="External"/><Relationship Id="rId63" Type="http://schemas.openxmlformats.org/officeDocument/2006/relationships/hyperlink" Target="https://www.sec.gov/Archives/edgar/data/1856725/000119312525241963/d38236dex102.htm" TargetMode="External"/><Relationship Id="rId64" Type="http://schemas.openxmlformats.org/officeDocument/2006/relationships/hyperlink" Target="https://www.sec.gov/Archives/edgar/data/1856725/000119312525241963/d38236dex102.htm" TargetMode="External"/><Relationship Id="rId65" Type="http://schemas.openxmlformats.org/officeDocument/2006/relationships/hyperlink" Target="https://www.sec.gov/Archives/edgar/data/1856725/000119312525241963/d38236dex102.htm" TargetMode="External"/><Relationship Id="rId66" Type="http://schemas.openxmlformats.org/officeDocument/2006/relationships/hyperlink" Target="https://www.sec.gov/Archives/edgar/data/1856725/000095017025047740/rani-ex97_1.htm" TargetMode="External"/><Relationship Id="rId67" Type="http://schemas.openxmlformats.org/officeDocument/2006/relationships/image" Target="media/image18.jpeg"/><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143807</Words>
  <Characters>786821</Characters>
  <CharactersWithSpaces>930296</CharactersWithSpaces>
  <Paragraphs>8746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