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12/16/2022</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1"/>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Borders>
              <w:top w:val="single" w:sz="8" w:color="2C2C2C"/>
            </w:tcBorders>
          </w:tcPr>
          <w:p>
            <w:pPr>
              <w:spacing w:after="0"/>
              <w:rPr>
                <w:sz w:val="18"/>
                <w:szCs w:val="18"/>
                <w:color w:val="auto"/>
              </w:rPr>
            </w:pPr>
          </w:p>
        </w:tc>
        <w:tc>
          <w:tcPr>
            <w:tcW w:w="322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gridSpan w:val="2"/>
          </w:tcPr>
          <w:p>
            <w:pPr>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90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gridSpan w:val="2"/>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12/16/2022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6,400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7.7638</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6,681,397</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12/19/2022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6,900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7.4325</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6,688,297</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8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9"/>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South Lake One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F3</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7550000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-1185545</wp:posOffset>
            </wp:positionV>
            <wp:extent cx="2809240" cy="1264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2649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$7.36 to $8.09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$7.05 to $7.60 per share, inclusive. The reporting persons undertake to provide the Issuer, any security holder of the Issuer, or the staff of the Securities and Exchange Commission, upon request, full information regarding the number of shares purchased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800"/>
          </w:cols>
          <w:pgMar w:left="500" w:top="125" w:right="59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60"/>
          </w:cols>
          <w:pgMar w:left="500" w:top="125" w:right="5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2022-12-20T14:03:13Z</dcterms:created>
  <dcterms:modified xsi:type="dcterms:W3CDTF">2022-12-20T14:03:13Z</dcterms:modified>
</cp:coreProperties>
</file>