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0001644130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CALIFORNIA</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Rani Therapeutics, LLC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2051 RINGWOOD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Corporation</w:t>
      </w:r>
    </w:p>
    <w:p>
      <w:pPr>
        <w:spacing w:after="0" w:line="44"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Limited Partnership</w:t>
      </w:r>
    </w:p>
    <w:p>
      <w:pPr>
        <w:spacing w:after="0" w:line="44" w:lineRule="exact"/>
        <w:rPr>
          <w:sz w:val="24"/>
          <w:szCs w:val="24"/>
          <w:color w:val="auto"/>
        </w:rPr>
      </w:pPr>
    </w:p>
    <w:p>
      <w:pPr>
        <w:ind w:left="2780" w:right="1080" w:hanging="281"/>
        <w:spacing w:after="0" w:line="326" w:lineRule="auto"/>
        <w:tabs>
          <w:tab w:leader="none" w:pos="2780" w:val="left"/>
        </w:tabs>
        <w:numPr>
          <w:ilvl w:val="0"/>
          <w:numId w:val="1"/>
        </w:numPr>
        <w:rPr>
          <w:rFonts w:ascii="Arial" w:cs="Arial" w:eastAsia="Arial" w:hAnsi="Arial"/>
          <w:sz w:val="19"/>
          <w:szCs w:val="19"/>
          <w:color w:val="auto"/>
        </w:rPr>
      </w:pPr>
      <w:r>
        <w:rPr>
          <w:rFonts w:ascii="Arial" w:cs="Arial" w:eastAsia="Arial" w:hAnsi="Arial"/>
          <w:sz w:val="19"/>
          <w:szCs w:val="19"/>
          <w:color w:val="auto"/>
        </w:rPr>
        <w:t>Limited Liability Company General Partnership Business Trust</w:t>
      </w:r>
    </w:p>
    <w:p>
      <w:pPr>
        <w:spacing w:after="0" w:line="1" w:lineRule="exact"/>
        <w:rPr>
          <w:rFonts w:ascii="Arial" w:cs="Arial" w:eastAsia="Arial" w:hAnsi="Arial"/>
          <w:sz w:val="19"/>
          <w:szCs w:val="19"/>
          <w:color w:val="auto"/>
        </w:rPr>
      </w:pPr>
    </w:p>
    <w:p>
      <w:pPr>
        <w:ind w:left="2780"/>
        <w:spacing w:after="0"/>
        <w:rPr>
          <w:rFonts w:ascii="Arial" w:cs="Arial" w:eastAsia="Arial" w:hAnsi="Arial"/>
          <w:sz w:val="19"/>
          <w:szCs w:val="19"/>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95131</w:t>
      </w:r>
      <w:r>
        <w:rPr>
          <w:sz w:val="20"/>
          <w:szCs w:val="20"/>
          <w:color w:val="auto"/>
        </w:rPr>
        <w:tab/>
      </w:r>
      <w:r>
        <w:rPr>
          <w:rFonts w:ascii="Arial" w:cs="Arial" w:eastAsia="Arial" w:hAnsi="Arial"/>
          <w:sz w:val="22"/>
          <w:szCs w:val="22"/>
          <w:color w:val="auto"/>
        </w:rPr>
        <w:t>408-457-3712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Imran</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Hashim</w:t>
            </w:r>
          </w:p>
        </w:tc>
        <w:tc>
          <w:tcPr>
            <w:tcW w:w="1240" w:type="dxa"/>
            <w:vAlign w:val="bottom"/>
          </w:tcPr>
          <w:p>
            <w:pPr>
              <w:ind w:left="500"/>
              <w:spacing w:after="0"/>
              <w:rPr>
                <w:sz w:val="20"/>
                <w:szCs w:val="20"/>
                <w:color w:val="auto"/>
              </w:rPr>
            </w:pPr>
            <w:r>
              <w:rPr>
                <w:rFonts w:ascii="Arial" w:cs="Arial" w:eastAsia="Arial" w:hAnsi="Arial"/>
                <w:sz w:val="22"/>
                <w:szCs w:val="22"/>
                <w:color w:val="auto"/>
              </w:rPr>
              <w:t>Mir</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Rani Therapeutics,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2051 Ringwood Avenue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San Jose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Farquharson</w:t>
      </w:r>
      <w:r>
        <w:rPr>
          <w:sz w:val="20"/>
          <w:szCs w:val="20"/>
          <w:color w:val="auto"/>
        </w:rPr>
        <w:tab/>
      </w:r>
      <w:r>
        <w:rPr>
          <w:rFonts w:ascii="Arial" w:cs="Arial" w:eastAsia="Arial" w:hAnsi="Arial"/>
          <w:sz w:val="22"/>
          <w:szCs w:val="22"/>
          <w:color w:val="auto"/>
        </w:rPr>
        <w:t>Andrew</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Rani Therapeutics, LLC</w:t>
      </w:r>
      <w:r>
        <w:rPr>
          <w:sz w:val="20"/>
          <w:szCs w:val="20"/>
          <w:color w:val="auto"/>
        </w:rPr>
        <w:tab/>
      </w:r>
      <w:r>
        <w:rPr>
          <w:rFonts w:ascii="Arial" w:cs="Arial" w:eastAsia="Arial" w:hAnsi="Arial"/>
          <w:sz w:val="19"/>
          <w:szCs w:val="19"/>
          <w:color w:val="auto"/>
        </w:rPr>
        <w:t>2051 Ringwood Avenue</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San Jose</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95131</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80" w:type="dxa"/>
            <w:vAlign w:val="bottom"/>
            <w:gridSpan w:val="3"/>
          </w:tcPr>
          <w:p>
            <w:pPr>
              <w:ind w:left="60"/>
              <w:spacing w:after="0"/>
              <w:rPr>
                <w:sz w:val="20"/>
                <w:szCs w:val="20"/>
                <w:color w:val="auto"/>
              </w:rPr>
            </w:pPr>
            <w:r>
              <w:rPr>
                <w:rFonts w:ascii="Arial" w:cs="Arial" w:eastAsia="Arial" w:hAnsi="Arial"/>
                <w:sz w:val="22"/>
                <w:szCs w:val="22"/>
                <w:color w:val="auto"/>
              </w:rPr>
              <w:t>X Rule 506(b)</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3(c)(4)</w:t>
            </w:r>
          </w:p>
        </w:tc>
        <w:tc>
          <w:tcPr>
            <w:tcW w:w="4700" w:type="dxa"/>
            <w:vAlign w:val="bottom"/>
            <w:gridSpan w:val="3"/>
          </w:tcPr>
          <w:p>
            <w:pPr>
              <w:ind w:left="16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280"/>
              <w:spacing w:after="0"/>
              <w:rPr>
                <w:sz w:val="20"/>
                <w:szCs w:val="20"/>
                <w:color w:val="auto"/>
              </w:rPr>
            </w:pPr>
            <w:r>
              <w:rPr>
                <w:rFonts w:ascii="Arial" w:cs="Arial" w:eastAsia="Arial" w:hAnsi="Arial"/>
                <w:sz w:val="22"/>
                <w:szCs w:val="22"/>
                <w:color w:val="auto"/>
              </w:rPr>
              <w:t>Rule 506(c)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3(c)(5)</w:t>
            </w:r>
          </w:p>
        </w:tc>
        <w:tc>
          <w:tcPr>
            <w:tcW w:w="4700" w:type="dxa"/>
            <w:vAlign w:val="bottom"/>
            <w:gridSpan w:val="3"/>
            <w:vMerge w:val="restart"/>
          </w:tcPr>
          <w:p>
            <w:pPr>
              <w:ind w:left="16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20" w:type="dxa"/>
            <w:vAlign w:val="bottom"/>
            <w:gridSpan w:val="4"/>
            <w:vMerge w:val="restart"/>
          </w:tcPr>
          <w:p>
            <w:pPr>
              <w:ind w:left="28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4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4700" w:type="dxa"/>
            <w:vAlign w:val="bottom"/>
            <w:gridSpan w:val="3"/>
            <w:vMerge w:val="restart"/>
          </w:tcPr>
          <w:p>
            <w:pPr>
              <w:ind w:left="16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4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gridSpan w:val="5"/>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060" w:type="dxa"/>
            <w:vAlign w:val="bottom"/>
            <w:gridSpan w:val="5"/>
          </w:tcPr>
          <w:p>
            <w:pPr>
              <w:spacing w:after="0"/>
              <w:rPr>
                <w:sz w:val="20"/>
                <w:szCs w:val="20"/>
                <w:color w:val="auto"/>
              </w:rPr>
            </w:pPr>
            <w:r>
              <w:rPr>
                <w:rFonts w:ascii="Arial" w:cs="Arial" w:eastAsia="Arial" w:hAnsi="Arial"/>
                <w:sz w:val="22"/>
                <w:szCs w:val="22"/>
                <w:color w:val="auto"/>
                <w:w w:val="93"/>
              </w:rPr>
              <w:t>X New Notice  Date of First Sale 2015-05-22</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8"/>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18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6"/>
          </w:tcPr>
          <w:p>
            <w:pPr>
              <w:ind w:left="18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5640" w:type="dxa"/>
            <w:vAlign w:val="bottom"/>
            <w:gridSpan w:val="4"/>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700" w:type="dxa"/>
            <w:vAlign w:val="bottom"/>
            <w:gridSpan w:val="6"/>
          </w:tcPr>
          <w:p>
            <w:pPr>
              <w:ind w:left="18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1660" w:type="dxa"/>
            <w:vAlign w:val="bottom"/>
            <w:gridSpan w:val="2"/>
            <w:vMerge w:val="restart"/>
          </w:tcPr>
          <w:p>
            <w:pPr>
              <w:ind w:left="1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20" w:type="dxa"/>
            <w:vAlign w:val="bottom"/>
            <w:gridSpan w:val="4"/>
            <w:vMerge w:val="restart"/>
          </w:tcPr>
          <w:p>
            <w:pPr>
              <w:ind w:left="18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20" w:type="dxa"/>
            <w:vAlign w:val="bottom"/>
            <w:gridSpan w:val="4"/>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10"/>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6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6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5740" w:type="dxa"/>
            <w:vAlign w:val="bottom"/>
            <w:gridSpan w:val="7"/>
          </w:tcPr>
          <w:p>
            <w:pPr>
              <w:spacing w:after="0"/>
              <w:rPr>
                <w:sz w:val="20"/>
                <w:szCs w:val="20"/>
                <w:color w:val="auto"/>
              </w:rPr>
            </w:pPr>
            <w:r>
              <w:rPr>
                <w:rFonts w:ascii="Arial" w:cs="Arial" w:eastAsia="Arial" w:hAnsi="Arial"/>
                <w:sz w:val="22"/>
                <w:szCs w:val="22"/>
                <w:color w:val="auto"/>
                <w:w w:val="90"/>
              </w:rPr>
              <w:t>Minimum investment accepted from any outside investor $1 USD</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2"/>
              </w:rPr>
              <w:t>Joseph Gunnar &amp; Co. LLC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ind w:left="760"/>
              <w:spacing w:after="0"/>
              <w:rPr>
                <w:sz w:val="20"/>
                <w:szCs w:val="20"/>
                <w:color w:val="auto"/>
              </w:rPr>
            </w:pPr>
            <w:r>
              <w:rPr>
                <w:rFonts w:ascii="Arial" w:cs="Arial" w:eastAsia="Arial" w:hAnsi="Arial"/>
                <w:sz w:val="22"/>
                <w:szCs w:val="22"/>
                <w:color w:val="auto"/>
                <w:w w:val="91"/>
              </w:rPr>
              <w:t>24795</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6980" w:type="dxa"/>
            <w:vAlign w:val="bottom"/>
            <w:gridSpan w:val="5"/>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None</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ind w:left="760"/>
              <w:spacing w:after="0"/>
              <w:rPr>
                <w:sz w:val="20"/>
                <w:szCs w:val="20"/>
                <w:color w:val="auto"/>
              </w:rPr>
            </w:pPr>
            <w:r>
              <w:rPr>
                <w:rFonts w:ascii="Arial" w:cs="Arial" w:eastAsia="Arial" w:hAnsi="Arial"/>
                <w:sz w:val="22"/>
                <w:szCs w:val="22"/>
                <w:color w:val="auto"/>
              </w:rPr>
              <w:t>None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60" w:type="dxa"/>
            <w:vAlign w:val="bottom"/>
            <w:gridSpan w:val="2"/>
          </w:tcPr>
          <w:p>
            <w:pPr>
              <w:ind w:left="50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3"/>
          </w:tcPr>
          <w:p>
            <w:pPr>
              <w:ind w:left="6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30 Broad Street, 11th Floor</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3"/>
          </w:tcPr>
          <w:p>
            <w:pPr>
              <w:ind w:left="7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New York</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760"/>
              <w:spacing w:after="0"/>
              <w:rPr>
                <w:sz w:val="20"/>
                <w:szCs w:val="20"/>
                <w:color w:val="auto"/>
              </w:rPr>
            </w:pPr>
            <w:r>
              <w:rPr>
                <w:rFonts w:ascii="Arial" w:cs="Arial" w:eastAsia="Arial" w:hAnsi="Arial"/>
                <w:sz w:val="22"/>
                <w:szCs w:val="22"/>
                <w:color w:val="auto"/>
              </w:rPr>
              <w:t>NEW YORK</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10004</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Arial" w:cs="Arial" w:eastAsia="Arial" w:hAnsi="Arial"/>
                <w:sz w:val="22"/>
                <w:szCs w:val="22"/>
                <w:color w:val="auto"/>
                <w:w w:val="94"/>
              </w:rPr>
              <w:t>State(s) of Solicitation (select all that apply)</w:t>
            </w:r>
          </w:p>
        </w:tc>
        <w:tc>
          <w:tcPr>
            <w:tcW w:w="334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60" w:type="dxa"/>
            <w:vAlign w:val="bottom"/>
            <w:gridSpan w:val="5"/>
            <w:vMerge w:val="restart"/>
          </w:tcPr>
          <w:p>
            <w:pPr>
              <w:ind w:left="40"/>
              <w:spacing w:after="0"/>
              <w:rPr>
                <w:sz w:val="20"/>
                <w:szCs w:val="20"/>
                <w:color w:val="auto"/>
              </w:rPr>
            </w:pPr>
            <w:r>
              <w:rPr>
                <w:rFonts w:ascii="Arial" w:cs="Arial" w:eastAsia="Arial" w:hAnsi="Arial"/>
                <w:sz w:val="22"/>
                <w:szCs w:val="22"/>
                <w:color w:val="auto"/>
                <w:w w:val="92"/>
              </w:rPr>
              <w:t>Check “All States” or check individual States</w:t>
            </w:r>
          </w:p>
        </w:tc>
        <w:tc>
          <w:tcPr>
            <w:tcW w:w="3340" w:type="dxa"/>
            <w:vAlign w:val="bottom"/>
            <w:gridSpan w:val="4"/>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60" w:type="dxa"/>
            <w:vAlign w:val="bottom"/>
            <w:gridSpan w:val="5"/>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00" w:type="dxa"/>
            <w:vAlign w:val="bottom"/>
            <w:tcBorders>
              <w:bottom w:val="single" w:sz="8" w:color="9A9A9A"/>
            </w:tcBorders>
            <w:gridSpan w:val="6"/>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0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$15,001,900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$7,650,001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ind w:left="120"/>
              <w:spacing w:after="0"/>
              <w:rPr>
                <w:sz w:val="20"/>
                <w:szCs w:val="20"/>
                <w:color w:val="auto"/>
              </w:rPr>
            </w:pPr>
            <w:r>
              <w:rPr>
                <w:rFonts w:ascii="Arial" w:cs="Arial" w:eastAsia="Arial" w:hAnsi="Arial"/>
                <w:sz w:val="22"/>
                <w:szCs w:val="22"/>
                <w:color w:val="auto"/>
                <w:w w:val="92"/>
              </w:rPr>
              <w:t>$7,351,899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Select if securities in the offering have been or may be sold to persons who do not qualify as accredited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-159385</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ind w:left="30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$320,001</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8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46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Rani Therapeutics, LLC</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Mir Imran</w:t>
            </w:r>
          </w:p>
        </w:tc>
        <w:tc>
          <w:tcPr>
            <w:tcW w:w="20" w:type="dxa"/>
            <w:vAlign w:val="bottom"/>
          </w:tcPr>
          <w:p>
            <w:pPr>
              <w:spacing w:after="0"/>
              <w:rPr>
                <w:sz w:val="22"/>
                <w:szCs w:val="22"/>
                <w:color w:val="auto"/>
              </w:rPr>
            </w:pPr>
          </w:p>
        </w:tc>
        <w:tc>
          <w:tcPr>
            <w:tcW w:w="24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Mir Imran</w:t>
            </w:r>
          </w:p>
        </w:tc>
        <w:tc>
          <w:tcPr>
            <w:tcW w:w="40" w:type="dxa"/>
            <w:vAlign w:val="bottom"/>
          </w:tcPr>
          <w:p>
            <w:pPr>
              <w:spacing w:after="0"/>
              <w:rPr>
                <w:sz w:val="22"/>
                <w:szCs w:val="22"/>
                <w:color w:val="auto"/>
              </w:rPr>
            </w:pPr>
          </w:p>
        </w:tc>
        <w:tc>
          <w:tcPr>
            <w:tcW w:w="1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760" w:type="dxa"/>
            <w:vAlign w:val="bottom"/>
            <w:tcBorders>
              <w:top w:val="single" w:sz="8" w:color="2C2C2C"/>
              <w:bottom w:val="single" w:sz="8" w:color="808080"/>
            </w:tcBorders>
          </w:tcPr>
          <w:p>
            <w:pPr>
              <w:jc w:val="right"/>
              <w:ind w:right="632"/>
              <w:spacing w:after="0"/>
              <w:rPr>
                <w:sz w:val="20"/>
                <w:szCs w:val="20"/>
                <w:color w:val="auto"/>
              </w:rPr>
            </w:pPr>
            <w:r>
              <w:rPr>
                <w:rFonts w:ascii="Arial" w:cs="Arial" w:eastAsia="Arial" w:hAnsi="Arial"/>
                <w:sz w:val="22"/>
                <w:szCs w:val="22"/>
                <w:color w:val="auto"/>
                <w:w w:val="88"/>
              </w:rPr>
              <w:t>2015-06-03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44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2020-01-23T18:54:42Z</dcterms:created>
  <dcterms:modified xsi:type="dcterms:W3CDTF">2020-01-23T18:54:42Z</dcterms:modified>
</cp:coreProperties>
</file>