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Hashim Mir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Rani Therapeutics Holdings,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RANI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RANI THERAPEUTICS LLC</w:t>
            </w:r>
          </w:p>
        </w:tc>
        <w:tc>
          <w:tcPr>
            <w:tcW w:w="29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09/09/2021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2051 RINGWOOD AVE.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4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117,600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117,600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shares subject to the restricted stock unit grant vest as follows: 50% of the RSUs shall vest on September 9, 2022, and 50% shall vest on September 9, 2023.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Josh Seidenfeld,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in-Fact for Mir Hashim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5891" TargetMode="External"/><Relationship Id="rId13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2021-09-13T18:55:02Z</dcterms:created>
  <dcterms:modified xsi:type="dcterms:W3CDTF">2021-09-13T18:55:02Z</dcterms:modified>
</cp:coreProperties>
</file>