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360"/>
        <w:spacing w:after="0"/>
        <w:rPr>
          <w:sz w:val="20"/>
          <w:szCs w:val="20"/>
          <w:color w:val="auto"/>
        </w:rPr>
      </w:pPr>
      <w:r>
        <w:rPr>
          <w:rFonts w:ascii="Arial" w:cs="Arial" w:eastAsia="Arial" w:hAnsi="Arial"/>
          <w:sz w:val="20"/>
          <w:szCs w:val="20"/>
          <w:b w:val="1"/>
          <w:bCs w:val="1"/>
          <w:color w:val="auto"/>
        </w:rPr>
        <w:t>Washington, D.C. 20549</w:t>
      </w:r>
    </w:p>
    <w:p>
      <w:pPr>
        <w:spacing w:after="0" w:line="292" w:lineRule="exact"/>
        <w:rPr>
          <w:sz w:val="24"/>
          <w:szCs w:val="24"/>
          <w:color w:val="auto"/>
        </w:rPr>
      </w:pPr>
    </w:p>
    <w:p>
      <w:pPr>
        <w:jc w:val="center"/>
        <w:ind w:right="-280"/>
        <w:spacing w:after="0"/>
        <w:rPr>
          <w:sz w:val="20"/>
          <w:szCs w:val="20"/>
          <w:color w:val="auto"/>
        </w:rPr>
      </w:pPr>
      <w:r>
        <w:rPr>
          <w:rFonts w:ascii="Arial" w:cs="Arial" w:eastAsia="Arial" w:hAnsi="Arial"/>
          <w:sz w:val="29"/>
          <w:szCs w:val="29"/>
          <w:b w:val="1"/>
          <w:bCs w:val="1"/>
          <w:color w:val="auto"/>
        </w:rPr>
        <w:t>SCHEDULE 14A</w:t>
      </w:r>
    </w:p>
    <w:p>
      <w:pPr>
        <w:spacing w:after="0" w:line="38"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30"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3355340</wp:posOffset>
            </wp:positionH>
            <wp:positionV relativeFrom="paragraph">
              <wp:posOffset>-19050</wp:posOffset>
            </wp:positionV>
            <wp:extent cx="228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2">
            <w:col w:w="3380" w:space="720"/>
            <w:col w:w="5279"/>
          </w:cols>
          <w:pgMar w:left="1080" w:top="225" w:right="1440"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2">
            <w:col w:w="3400" w:space="720"/>
            <w:col w:w="5259"/>
          </w:cols>
          <w:pgMar w:left="1080" w:top="225" w:right="1440" w:bottom="1440" w:gutter="0" w:footer="0" w:header="0"/>
          <w:type w:val="continuous"/>
        </w:sect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9379"/>
          </w:cols>
          <w:pgMar w:left="1080" w:top="225" w:right="1440" w:bottom="1440" w:gutter="0" w:footer="0" w:header="0"/>
          <w:type w:val="continuous"/>
        </w:sectPr>
      </w:pPr>
    </w:p>
    <w:p>
      <w:pPr>
        <w:spacing w:after="0" w:line="221"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12" w:lineRule="exact"/>
        <w:rPr>
          <w:sz w:val="24"/>
          <w:szCs w:val="24"/>
          <w:color w:val="auto"/>
        </w:rPr>
      </w:pPr>
    </w:p>
    <w:p>
      <w:pPr>
        <w:jc w:val="center"/>
        <w:ind w:right="-440"/>
        <w:spacing w:after="0"/>
        <w:rPr>
          <w:sz w:val="20"/>
          <w:szCs w:val="20"/>
          <w:color w:val="auto"/>
        </w:rPr>
      </w:pPr>
      <w:r>
        <w:rPr>
          <w:rFonts w:ascii="Arial" w:cs="Arial" w:eastAsia="Arial" w:hAnsi="Arial"/>
          <w:sz w:val="32"/>
          <w:szCs w:val="32"/>
          <w:b w:val="1"/>
          <w:bCs w:val="1"/>
          <w:color w:val="auto"/>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6231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15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469265</wp:posOffset>
            </wp:positionV>
            <wp:extent cx="6309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9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240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85"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398145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200660</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260985</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type w:val="continuous"/>
        </w:sectPr>
      </w:pPr>
    </w:p>
    <w:bookmarkStart w:id="1" w:name="page2"/>
    <w:bookmarkEnd w:id="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Jose, California 95131</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25, 2023</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Dear Stockholder:</w:t>
      </w:r>
    </w:p>
    <w:p>
      <w:pPr>
        <w:spacing w:after="0" w:line="113" w:lineRule="exact"/>
        <w:rPr>
          <w:sz w:val="20"/>
          <w:szCs w:val="20"/>
          <w:color w:val="auto"/>
        </w:rPr>
      </w:pPr>
    </w:p>
    <w:p>
      <w:pPr>
        <w:jc w:val="both"/>
        <w:ind w:left="300" w:right="299"/>
        <w:spacing w:after="0" w:line="258" w:lineRule="auto"/>
        <w:rPr>
          <w:sz w:val="20"/>
          <w:szCs w:val="20"/>
          <w:color w:val="auto"/>
        </w:rPr>
      </w:pPr>
      <w:r>
        <w:rPr>
          <w:rFonts w:ascii="Arial" w:cs="Arial" w:eastAsia="Arial" w:hAnsi="Arial"/>
          <w:sz w:val="18"/>
          <w:szCs w:val="18"/>
          <w:color w:val="auto"/>
        </w:rPr>
        <w:t xml:space="preserve">You are cordially invited to attend the Annual Meeting of Stockholders of </w:t>
      </w:r>
      <w:r>
        <w:rPr>
          <w:rFonts w:ascii="Arial" w:cs="Arial" w:eastAsia="Arial" w:hAnsi="Arial"/>
          <w:sz w:val="18"/>
          <w:szCs w:val="18"/>
          <w:b w:val="1"/>
          <w:bCs w:val="1"/>
          <w:color w:val="auto"/>
        </w:rPr>
        <w:t>RANI THERAPEUTICS HOLDINGS,</w:t>
      </w:r>
      <w:r>
        <w:rPr>
          <w:rFonts w:ascii="Arial" w:cs="Arial" w:eastAsia="Arial" w:hAnsi="Arial"/>
          <w:sz w:val="18"/>
          <w:szCs w:val="18"/>
          <w:color w:val="auto"/>
        </w:rPr>
        <w:t xml:space="preserve"> </w:t>
      </w:r>
      <w:r>
        <w:rPr>
          <w:rFonts w:ascii="Arial" w:cs="Arial" w:eastAsia="Arial" w:hAnsi="Arial"/>
          <w:sz w:val="18"/>
          <w:szCs w:val="18"/>
          <w:b w:val="1"/>
          <w:bCs w:val="1"/>
          <w:color w:val="auto"/>
        </w:rPr>
        <w:t>INC.</w:t>
      </w:r>
      <w:r>
        <w:rPr>
          <w:rFonts w:ascii="Arial" w:cs="Arial" w:eastAsia="Arial" w:hAnsi="Arial"/>
          <w:sz w:val="18"/>
          <w:szCs w:val="18"/>
          <w:color w:val="auto"/>
        </w:rPr>
        <w:t>, a Delaware corporation (the “Company”). The meeting will be held on Thursday, May 25, 2023 at 8:00 a.m.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Pacific Time. To facilitate stockholder participation in the Annual Meeting, the Annual Meeting will be held through a live webcast at </w:t>
      </w:r>
      <w:r>
        <w:rPr>
          <w:rFonts w:ascii="Arial" w:cs="Arial" w:eastAsia="Arial" w:hAnsi="Arial"/>
          <w:sz w:val="18"/>
          <w:szCs w:val="18"/>
          <w:i w:val="1"/>
          <w:iCs w:val="1"/>
          <w:color w:val="auto"/>
        </w:rPr>
        <w:t>www.virtualshareholdermeeting.com/RANI2023</w:t>
      </w:r>
      <w:r>
        <w:rPr>
          <w:rFonts w:ascii="Arial" w:cs="Arial" w:eastAsia="Arial" w:hAnsi="Arial"/>
          <w:sz w:val="18"/>
          <w:szCs w:val="18"/>
          <w:color w:val="auto"/>
        </w:rPr>
        <w:t>. You will not be able to attend the meeting in person. The meeting will be held for the following purposes:</w:t>
      </w:r>
    </w:p>
    <w:p>
      <w:pPr>
        <w:spacing w:after="0" w:line="79" w:lineRule="exact"/>
        <w:rPr>
          <w:sz w:val="20"/>
          <w:szCs w:val="20"/>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To elect the Board’s eight nominees for director, to serve until the next annual meeting and their successors are duly elected and qualified.</w:t>
      </w:r>
    </w:p>
    <w:p>
      <w:pPr>
        <w:spacing w:after="0" w:line="62" w:lineRule="exact"/>
        <w:rPr>
          <w:rFonts w:ascii="Arial" w:cs="Arial" w:eastAsia="Arial" w:hAnsi="Arial"/>
          <w:sz w:val="18"/>
          <w:szCs w:val="18"/>
          <w:b w:val="1"/>
          <w:bCs w:val="1"/>
          <w:color w:val="auto"/>
        </w:rPr>
      </w:pPr>
    </w:p>
    <w:p>
      <w:pPr>
        <w:jc w:val="both"/>
        <w:ind w:left="1000" w:right="319" w:hanging="348"/>
        <w:spacing w:after="0" w:line="263" w:lineRule="auto"/>
        <w:tabs>
          <w:tab w:leader="none" w:pos="10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To ratify the selection by the Audit Committee of the Board of Directors of Ernst &amp; Young LLP as the independent registered public accounting firm of the Company for the fiscal year ending December 31, 2023.</w:t>
      </w:r>
    </w:p>
    <w:p>
      <w:pPr>
        <w:spacing w:after="0" w:line="75" w:lineRule="exact"/>
        <w:rPr>
          <w:rFonts w:ascii="Arial" w:cs="Arial" w:eastAsia="Arial" w:hAnsi="Arial"/>
          <w:sz w:val="18"/>
          <w:szCs w:val="18"/>
          <w:b w:val="1"/>
          <w:bCs w:val="1"/>
          <w:color w:val="auto"/>
        </w:rPr>
      </w:pPr>
    </w:p>
    <w:p>
      <w:pPr>
        <w:ind w:left="1000" w:hanging="348"/>
        <w:spacing w:after="0"/>
        <w:tabs>
          <w:tab w:leader="none" w:pos="10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To conduct any other business properly brought before the meeting.</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117"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 xml:space="preserve">This year's Annual Meeting will be held virtually through a live webcast. You will be able to attend the Annual Meeting and vote during the live webcast by visiting </w:t>
      </w:r>
      <w:r>
        <w:rPr>
          <w:rFonts w:ascii="Arial" w:cs="Arial" w:eastAsia="Arial" w:hAnsi="Arial"/>
          <w:sz w:val="17"/>
          <w:szCs w:val="17"/>
          <w:i w:val="1"/>
          <w:iCs w:val="1"/>
          <w:color w:val="auto"/>
        </w:rPr>
        <w:t>www.virtualshareholdermeeting.com/RANI2023</w:t>
      </w:r>
      <w:r>
        <w:rPr>
          <w:rFonts w:ascii="Arial" w:cs="Arial" w:eastAsia="Arial" w:hAnsi="Arial"/>
          <w:sz w:val="17"/>
          <w:szCs w:val="17"/>
          <w:color w:val="auto"/>
        </w:rPr>
        <w:t xml:space="preserve"> and entering the 16-digit Control Number included in your Notice of Internet Availability or in the instructions that you received via email. Please refer to the additional logistical details and recommendations in the accompanying proxy statement. You may log-in beginning at 7:45 a.m. Pacific Time, on May 25, 2023.</w:t>
      </w:r>
    </w:p>
    <w:p>
      <w:pPr>
        <w:spacing w:after="0" w:line="6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record date for the Annual Meeting is March 30, 2023. Only stockholders of record at the close of business on that date may vote at the meeting or any adjournment thereof.</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126365</wp:posOffset>
            </wp:positionV>
            <wp:extent cx="184277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4277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842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Talat Imran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Chief Executive Officer</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55245</wp:posOffset>
            </wp:positionV>
            <wp:extent cx="5344795" cy="981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4795" cy="981075"/>
                    </a:xfrm>
                    <a:prstGeom prst="rect">
                      <a:avLst/>
                    </a:prstGeom>
                    <a:noFill/>
                  </pic:spPr>
                </pic:pic>
              </a:graphicData>
            </a:graphic>
          </wp:anchor>
        </w:drawing>
      </w:r>
    </w:p>
    <w:p>
      <w:pPr>
        <w:spacing w:after="0" w:line="173" w:lineRule="exact"/>
        <w:rPr>
          <w:sz w:val="20"/>
          <w:szCs w:val="20"/>
          <w:color w:val="auto"/>
        </w:rPr>
      </w:pPr>
    </w:p>
    <w:p>
      <w:pPr>
        <w:jc w:val="both"/>
        <w:ind w:left="420" w:right="419"/>
        <w:spacing w:after="0" w:line="294" w:lineRule="auto"/>
        <w:rPr>
          <w:sz w:val="20"/>
          <w:szCs w:val="20"/>
          <w:color w:val="auto"/>
        </w:rPr>
      </w:pPr>
      <w:r>
        <w:rPr>
          <w:rFonts w:ascii="Arial" w:cs="Arial" w:eastAsia="Arial" w:hAnsi="Arial"/>
          <w:sz w:val="16"/>
          <w:szCs w:val="16"/>
          <w:b w:val="1"/>
          <w:bCs w:val="1"/>
          <w:color w:val="auto"/>
        </w:rPr>
        <w:t>You are cordially invited to attend the meeting online. Whether or not you expect to attend the meeting, please complete, date, sign and return the proxy mailed to you, or vote over the telephone or the internet as instructed in these materials, as promptly as possible in order to ensure your representation at the meeting. Even if you have voted by proxy, you may still vote online if you attend the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164465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San Jose, California 95131</w:t>
      </w: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2023 ANNUAL MEETING OF STOCKHOLDERS</w:t>
      </w: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To Be Held on May 25, 2023</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MEETING AGENDA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Proposals</w:t>
            </w:r>
          </w:p>
        </w:tc>
        <w:tc>
          <w:tcPr>
            <w:tcW w:w="82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Page</w:t>
            </w:r>
          </w:p>
        </w:tc>
        <w:tc>
          <w:tcPr>
            <w:tcW w:w="3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Voting Standard</w:t>
            </w:r>
          </w:p>
        </w:tc>
        <w:tc>
          <w:tcPr>
            <w:tcW w:w="286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98"/>
              </w:rPr>
              <w:t>Board</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820" w:type="dxa"/>
            <w:vAlign w:val="bottom"/>
            <w:gridSpan w:val="6"/>
            <w:vMerge w:val="continue"/>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286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1"/>
              </w:rPr>
              <w:t>Recommendation</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Election of Directors</w:t>
            </w:r>
          </w:p>
        </w:tc>
        <w:tc>
          <w:tcPr>
            <w:tcW w:w="400" w:type="dxa"/>
            <w:vAlign w:val="bottom"/>
            <w:gridSpan w:val="4"/>
          </w:tcPr>
          <w:p>
            <w:pPr>
              <w:jc w:val="right"/>
              <w:ind w:right="40"/>
              <w:spacing w:after="0"/>
              <w:rPr>
                <w:sz w:val="20"/>
                <w:szCs w:val="20"/>
                <w:color w:val="auto"/>
              </w:rPr>
            </w:pPr>
            <w:r>
              <w:rPr>
                <w:rFonts w:ascii="Arial" w:cs="Arial" w:eastAsia="Arial" w:hAnsi="Arial"/>
                <w:sz w:val="18"/>
                <w:szCs w:val="18"/>
                <w:color w:val="0000EE"/>
              </w:rPr>
              <w:t>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Plurality of voting power of shares</w:t>
            </w:r>
          </w:p>
        </w:tc>
        <w:tc>
          <w:tcPr>
            <w:tcW w:w="2860" w:type="dxa"/>
            <w:vAlign w:val="bottom"/>
            <w:gridSpan w:val="2"/>
          </w:tcPr>
          <w:p>
            <w:pPr>
              <w:jc w:val="center"/>
              <w:ind w:right="1300"/>
              <w:spacing w:after="0"/>
              <w:rPr>
                <w:sz w:val="20"/>
                <w:szCs w:val="20"/>
                <w:color w:val="auto"/>
              </w:rPr>
            </w:pPr>
            <w:r>
              <w:rPr>
                <w:rFonts w:ascii="Arial" w:cs="Arial" w:eastAsia="Arial" w:hAnsi="Arial"/>
                <w:sz w:val="18"/>
                <w:szCs w:val="18"/>
                <w:color w:val="auto"/>
                <w:w w:val="91"/>
              </w:rPr>
              <w:t>For each director</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present in person or virtually or</w:t>
            </w:r>
          </w:p>
        </w:tc>
        <w:tc>
          <w:tcPr>
            <w:tcW w:w="286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nominee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represented by proxy and entitled to</w:t>
            </w: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vote on the matter</w:t>
            </w:r>
          </w:p>
        </w:tc>
        <w:tc>
          <w:tcPr>
            <w:tcW w:w="1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30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Ratification of the selection of Ernst &amp;</w:t>
            </w:r>
          </w:p>
        </w:tc>
        <w:tc>
          <w:tcPr>
            <w:tcW w:w="640" w:type="dxa"/>
            <w:vAlign w:val="bottom"/>
            <w:gridSpan w:val="5"/>
          </w:tcPr>
          <w:p>
            <w:pPr>
              <w:jc w:val="right"/>
              <w:ind w:right="240"/>
              <w:spacing w:after="0"/>
              <w:rPr>
                <w:sz w:val="20"/>
                <w:szCs w:val="20"/>
                <w:color w:val="auto"/>
              </w:rPr>
            </w:pPr>
            <w:r>
              <w:rPr>
                <w:rFonts w:ascii="Arial" w:cs="Arial" w:eastAsia="Arial" w:hAnsi="Arial"/>
                <w:sz w:val="18"/>
                <w:szCs w:val="18"/>
                <w:color w:val="0000EE"/>
              </w:rPr>
              <w:t>16</w:t>
            </w:r>
          </w:p>
        </w:tc>
        <w:tc>
          <w:tcPr>
            <w:tcW w:w="180" w:type="dxa"/>
            <w:vAlign w:val="bottom"/>
          </w:tcPr>
          <w:p>
            <w:pPr>
              <w:spacing w:after="0"/>
              <w:rPr>
                <w:sz w:val="24"/>
                <w:szCs w:val="24"/>
                <w:color w:val="auto"/>
              </w:rPr>
            </w:pPr>
          </w:p>
        </w:tc>
        <w:tc>
          <w:tcPr>
            <w:tcW w:w="30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Majority of the voting power of shares</w:t>
            </w:r>
          </w:p>
        </w:tc>
        <w:tc>
          <w:tcPr>
            <w:tcW w:w="2860" w:type="dxa"/>
            <w:vAlign w:val="bottom"/>
            <w:gridSpan w:val="2"/>
          </w:tcPr>
          <w:p>
            <w:pPr>
              <w:jc w:val="center"/>
              <w:ind w:right="1300"/>
              <w:spacing w:after="0"/>
              <w:rPr>
                <w:sz w:val="20"/>
                <w:szCs w:val="20"/>
                <w:color w:val="auto"/>
              </w:rPr>
            </w:pPr>
            <w:r>
              <w:rPr>
                <w:rFonts w:ascii="Arial" w:cs="Arial" w:eastAsia="Arial" w:hAnsi="Arial"/>
                <w:sz w:val="18"/>
                <w:szCs w:val="18"/>
                <w:color w:val="auto"/>
                <w:w w:val="88"/>
              </w:rPr>
              <w:t>For</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Young LLP as the Company’s</w:t>
            </w:r>
          </w:p>
        </w:tc>
        <w:tc>
          <w:tcPr>
            <w:tcW w:w="2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present in person or virtually or</w:t>
            </w:r>
          </w:p>
        </w:tc>
        <w:tc>
          <w:tcPr>
            <w:tcW w:w="1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independent registered public</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represented by proxy and entitled to</w:t>
            </w: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accounting firm for the fiscal year</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vote on the matter</w:t>
            </w: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ending December 31, 2023</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220" w:type="dxa"/>
            <w:vAlign w:val="bottom"/>
            <w:gridSpan w:val="33"/>
          </w:tcPr>
          <w:p>
            <w:pPr>
              <w:spacing w:after="0"/>
              <w:rPr>
                <w:sz w:val="20"/>
                <w:szCs w:val="20"/>
                <w:color w:val="auto"/>
              </w:rPr>
            </w:pPr>
            <w:r>
              <w:rPr>
                <w:rFonts w:ascii="Arial" w:cs="Arial" w:eastAsia="Arial" w:hAnsi="Arial"/>
                <w:sz w:val="14"/>
                <w:szCs w:val="14"/>
                <w:b w:val="1"/>
                <w:bCs w:val="1"/>
                <w:color w:val="0000EE"/>
              </w:rPr>
              <w:t>TABLE OF CONTENTS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1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gridSpan w:val="15"/>
          </w:tcPr>
          <w:p>
            <w:pPr>
              <w:ind w:left="1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81"/>
        </w:trPr>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83"/>
        </w:trPr>
        <w:tc>
          <w:tcPr>
            <w:tcW w:w="1300" w:type="dxa"/>
            <w:vAlign w:val="bottom"/>
          </w:tcPr>
          <w:p>
            <w:pPr>
              <w:spacing w:after="0"/>
              <w:rPr>
                <w:sz w:val="24"/>
                <w:szCs w:val="24"/>
                <w:color w:val="auto"/>
              </w:rPr>
            </w:pPr>
          </w:p>
        </w:tc>
        <w:tc>
          <w:tcPr>
            <w:tcW w:w="8220" w:type="dxa"/>
            <w:vAlign w:val="bottom"/>
            <w:gridSpan w:val="33"/>
            <w:shd w:val="clear" w:color="auto" w:fill="CCEEFF"/>
          </w:tcPr>
          <w:p>
            <w:pPr>
              <w:spacing w:after="0"/>
              <w:rPr>
                <w:sz w:val="20"/>
                <w:szCs w:val="20"/>
                <w:color w:val="auto"/>
              </w:rPr>
            </w:pPr>
            <w:r>
              <w:rPr>
                <w:rFonts w:ascii="Arial" w:cs="Arial" w:eastAsia="Arial" w:hAnsi="Arial"/>
                <w:sz w:val="18"/>
                <w:szCs w:val="18"/>
                <w:color w:val="0000EE"/>
              </w:rPr>
              <w:t>QUESTIONS AND ANSWERS ABOUT THESE PROXY MATERIALS AND VOTING</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0000EE"/>
                <w:w w:val="79"/>
              </w:rPr>
              <w:t>1</w:t>
            </w:r>
          </w:p>
        </w:tc>
        <w:tc>
          <w:tcPr>
            <w:tcW w:w="1300" w:type="dxa"/>
            <w:vAlign w:val="bottom"/>
          </w:tcPr>
          <w:p>
            <w:pPr>
              <w:spacing w:after="0"/>
              <w:rPr>
                <w:sz w:val="24"/>
                <w:szCs w:val="24"/>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33"/>
          </w:tcPr>
          <w:p>
            <w:pPr>
              <w:spacing w:after="0"/>
              <w:rPr>
                <w:sz w:val="20"/>
                <w:szCs w:val="20"/>
                <w:color w:val="auto"/>
              </w:rPr>
            </w:pPr>
            <w:r>
              <w:rPr>
                <w:rFonts w:ascii="Arial" w:cs="Arial" w:eastAsia="Arial" w:hAnsi="Arial"/>
                <w:sz w:val="18"/>
                <w:szCs w:val="18"/>
                <w:color w:val="0000EE"/>
              </w:rPr>
              <w:t>PROPOSAL 1 ELECTION OF DIRECTORS</w:t>
            </w:r>
          </w:p>
        </w:tc>
        <w:tc>
          <w:tcPr>
            <w:tcW w:w="200" w:type="dxa"/>
            <w:vAlign w:val="bottom"/>
            <w:gridSpan w:val="2"/>
          </w:tcPr>
          <w:p>
            <w:pPr>
              <w:ind w:left="80"/>
              <w:spacing w:after="0"/>
              <w:rPr>
                <w:sz w:val="20"/>
                <w:szCs w:val="20"/>
                <w:color w:val="auto"/>
              </w:rPr>
            </w:pPr>
            <w:r>
              <w:rPr>
                <w:rFonts w:ascii="Arial" w:cs="Arial" w:eastAsia="Arial" w:hAnsi="Arial"/>
                <w:sz w:val="18"/>
                <w:szCs w:val="18"/>
                <w:color w:val="0000EE"/>
                <w:w w:val="79"/>
              </w:rPr>
              <w:t>6</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3"/>
            <w:shd w:val="clear" w:color="auto" w:fill="CCEEFF"/>
          </w:tcPr>
          <w:p>
            <w:pPr>
              <w:spacing w:after="0"/>
              <w:rPr>
                <w:sz w:val="20"/>
                <w:szCs w:val="20"/>
                <w:color w:val="auto"/>
              </w:rPr>
            </w:pPr>
            <w:r>
              <w:rPr>
                <w:rFonts w:ascii="Arial" w:cs="Arial" w:eastAsia="Arial" w:hAnsi="Arial"/>
                <w:sz w:val="18"/>
                <w:szCs w:val="18"/>
                <w:color w:val="0000EE"/>
              </w:rPr>
              <w:t>INFORMATION REGARDING THE BOARD OF DIRECTORS AND CORPORATE GOVERNANCE</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0000EE"/>
                <w:w w:val="79"/>
              </w:rPr>
              <w:t>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spacing w:after="0"/>
              <w:rPr>
                <w:sz w:val="20"/>
                <w:szCs w:val="20"/>
                <w:color w:val="auto"/>
              </w:rPr>
            </w:pPr>
            <w:r>
              <w:rPr>
                <w:rFonts w:ascii="Arial" w:cs="Arial" w:eastAsia="Arial" w:hAnsi="Arial"/>
                <w:sz w:val="18"/>
                <w:szCs w:val="18"/>
                <w:color w:val="0000EE"/>
              </w:rPr>
              <w:t>Board Diversity</w:t>
            </w:r>
          </w:p>
        </w:tc>
        <w:tc>
          <w:tcPr>
            <w:tcW w:w="200" w:type="dxa"/>
            <w:vAlign w:val="bottom"/>
            <w:gridSpan w:val="2"/>
          </w:tcPr>
          <w:p>
            <w:pPr>
              <w:ind w:left="80"/>
              <w:spacing w:after="0"/>
              <w:rPr>
                <w:sz w:val="20"/>
                <w:szCs w:val="20"/>
                <w:color w:val="auto"/>
              </w:rPr>
            </w:pPr>
            <w:r>
              <w:rPr>
                <w:rFonts w:ascii="Arial" w:cs="Arial" w:eastAsia="Arial" w:hAnsi="Arial"/>
                <w:sz w:val="18"/>
                <w:szCs w:val="18"/>
                <w:color w:val="0000EE"/>
                <w:w w:val="79"/>
              </w:rPr>
              <w:t>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sz w:val="20"/>
                <w:szCs w:val="20"/>
                <w:color w:val="auto"/>
              </w:rPr>
            </w:pPr>
            <w:r>
              <w:rPr>
                <w:rFonts w:ascii="Arial" w:cs="Arial" w:eastAsia="Arial" w:hAnsi="Arial"/>
                <w:sz w:val="18"/>
                <w:szCs w:val="18"/>
                <w:color w:val="0000EE"/>
              </w:rPr>
              <w:t>Independence of The Board of Directors</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0000EE"/>
                <w:w w:val="79"/>
              </w:rPr>
              <w:t>9</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spacing w:after="0"/>
              <w:rPr>
                <w:sz w:val="20"/>
                <w:szCs w:val="20"/>
                <w:color w:val="auto"/>
              </w:rPr>
            </w:pPr>
            <w:r>
              <w:rPr>
                <w:rFonts w:ascii="Arial" w:cs="Arial" w:eastAsia="Arial" w:hAnsi="Arial"/>
                <w:sz w:val="18"/>
                <w:szCs w:val="18"/>
                <w:color w:val="0000EE"/>
              </w:rPr>
              <w:t>Board Leadership Structure</w:t>
            </w:r>
          </w:p>
        </w:tc>
        <w:tc>
          <w:tcPr>
            <w:tcW w:w="200" w:type="dxa"/>
            <w:vAlign w:val="bottom"/>
            <w:gridSpan w:val="2"/>
          </w:tcPr>
          <w:p>
            <w:pPr>
              <w:spacing w:after="0"/>
              <w:rPr>
                <w:sz w:val="20"/>
                <w:szCs w:val="20"/>
                <w:color w:val="auto"/>
              </w:rPr>
            </w:pPr>
            <w:r>
              <w:rPr>
                <w:rFonts w:ascii="Arial" w:cs="Arial" w:eastAsia="Arial" w:hAnsi="Arial"/>
                <w:sz w:val="18"/>
                <w:szCs w:val="18"/>
                <w:color w:val="0000EE"/>
                <w:w w:val="79"/>
              </w:rPr>
              <w:t>10</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sz w:val="20"/>
                <w:szCs w:val="20"/>
                <w:color w:val="auto"/>
              </w:rPr>
            </w:pPr>
            <w:r>
              <w:rPr>
                <w:rFonts w:ascii="Arial" w:cs="Arial" w:eastAsia="Arial" w:hAnsi="Arial"/>
                <w:sz w:val="18"/>
                <w:szCs w:val="18"/>
                <w:color w:val="0000EE"/>
              </w:rPr>
              <w:t>Role of the Board in Risk Oversight</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00EE"/>
                <w:w w:val="79"/>
              </w:rPr>
              <w:t>10</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spacing w:after="0"/>
              <w:rPr>
                <w:sz w:val="20"/>
                <w:szCs w:val="20"/>
                <w:color w:val="auto"/>
              </w:rPr>
            </w:pPr>
            <w:r>
              <w:rPr>
                <w:rFonts w:ascii="Arial" w:cs="Arial" w:eastAsia="Arial" w:hAnsi="Arial"/>
                <w:sz w:val="18"/>
                <w:szCs w:val="18"/>
                <w:color w:val="0000EE"/>
              </w:rPr>
              <w:t>Meetings of The Board of Directors</w:t>
            </w:r>
          </w:p>
        </w:tc>
        <w:tc>
          <w:tcPr>
            <w:tcW w:w="200" w:type="dxa"/>
            <w:vAlign w:val="bottom"/>
            <w:gridSpan w:val="2"/>
          </w:tcPr>
          <w:p>
            <w:pPr>
              <w:spacing w:after="0"/>
              <w:rPr>
                <w:sz w:val="20"/>
                <w:szCs w:val="20"/>
                <w:color w:val="auto"/>
              </w:rPr>
            </w:pPr>
            <w:r>
              <w:rPr>
                <w:rFonts w:ascii="Arial" w:cs="Arial" w:eastAsia="Arial" w:hAnsi="Arial"/>
                <w:sz w:val="18"/>
                <w:szCs w:val="18"/>
                <w:color w:val="0000EE"/>
                <w:w w:val="79"/>
              </w:rPr>
              <w:t>10</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sz w:val="20"/>
                <w:szCs w:val="20"/>
                <w:color w:val="auto"/>
              </w:rPr>
            </w:pPr>
            <w:r>
              <w:rPr>
                <w:rFonts w:ascii="Arial" w:cs="Arial" w:eastAsia="Arial" w:hAnsi="Arial"/>
                <w:sz w:val="18"/>
                <w:szCs w:val="18"/>
                <w:color w:val="0000EE"/>
              </w:rPr>
              <w:t>Information Regarding Committees of The Board of Directors</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00EE"/>
                <w:w w:val="79"/>
              </w:rPr>
              <w:t>11</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ind w:left="180"/>
              <w:spacing w:after="0"/>
              <w:rPr>
                <w:sz w:val="20"/>
                <w:szCs w:val="20"/>
                <w:color w:val="auto"/>
              </w:rPr>
            </w:pPr>
            <w:r>
              <w:rPr>
                <w:rFonts w:ascii="Arial" w:cs="Arial" w:eastAsia="Arial" w:hAnsi="Arial"/>
                <w:sz w:val="18"/>
                <w:szCs w:val="18"/>
                <w:color w:val="0000EE"/>
              </w:rPr>
              <w:t>Audit Committee</w:t>
            </w:r>
          </w:p>
        </w:tc>
        <w:tc>
          <w:tcPr>
            <w:tcW w:w="200" w:type="dxa"/>
            <w:vAlign w:val="bottom"/>
            <w:gridSpan w:val="2"/>
          </w:tcPr>
          <w:p>
            <w:pPr>
              <w:spacing w:after="0"/>
              <w:rPr>
                <w:sz w:val="20"/>
                <w:szCs w:val="20"/>
                <w:color w:val="auto"/>
              </w:rPr>
            </w:pPr>
            <w:r>
              <w:rPr>
                <w:rFonts w:ascii="Arial" w:cs="Arial" w:eastAsia="Arial" w:hAnsi="Arial"/>
                <w:sz w:val="18"/>
                <w:szCs w:val="18"/>
                <w:color w:val="0000EE"/>
                <w:w w:val="79"/>
              </w:rPr>
              <w:t>11</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ind w:left="180"/>
              <w:spacing w:after="0"/>
              <w:rPr>
                <w:sz w:val="20"/>
                <w:szCs w:val="20"/>
                <w:color w:val="auto"/>
              </w:rPr>
            </w:pPr>
            <w:r>
              <w:rPr>
                <w:rFonts w:ascii="Arial" w:cs="Arial" w:eastAsia="Arial" w:hAnsi="Arial"/>
                <w:sz w:val="18"/>
                <w:szCs w:val="18"/>
                <w:color w:val="0000EE"/>
              </w:rPr>
              <w:t>Compensation Committee</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00EE"/>
                <w:w w:val="79"/>
              </w:rPr>
              <w:t>12</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ind w:left="180"/>
              <w:spacing w:after="0"/>
              <w:rPr>
                <w:sz w:val="20"/>
                <w:szCs w:val="20"/>
                <w:color w:val="auto"/>
              </w:rPr>
            </w:pPr>
            <w:r>
              <w:rPr>
                <w:rFonts w:ascii="Arial" w:cs="Arial" w:eastAsia="Arial" w:hAnsi="Arial"/>
                <w:sz w:val="18"/>
                <w:szCs w:val="18"/>
                <w:color w:val="0000EE"/>
              </w:rPr>
              <w:t>Nominating and Corporate Governance Committee</w:t>
            </w:r>
          </w:p>
        </w:tc>
        <w:tc>
          <w:tcPr>
            <w:tcW w:w="200" w:type="dxa"/>
            <w:vAlign w:val="bottom"/>
            <w:gridSpan w:val="2"/>
          </w:tcPr>
          <w:p>
            <w:pPr>
              <w:spacing w:after="0"/>
              <w:rPr>
                <w:sz w:val="20"/>
                <w:szCs w:val="20"/>
                <w:color w:val="auto"/>
              </w:rPr>
            </w:pPr>
            <w:r>
              <w:rPr>
                <w:rFonts w:ascii="Arial" w:cs="Arial" w:eastAsia="Arial" w:hAnsi="Arial"/>
                <w:sz w:val="18"/>
                <w:szCs w:val="18"/>
                <w:color w:val="0000EE"/>
                <w:w w:val="79"/>
              </w:rPr>
              <w:t>14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sz w:val="20"/>
                <w:szCs w:val="20"/>
                <w:color w:val="auto"/>
              </w:rPr>
            </w:pPr>
            <w:r>
              <w:rPr>
                <w:rFonts w:ascii="Arial" w:cs="Arial" w:eastAsia="Arial" w:hAnsi="Arial"/>
                <w:sz w:val="18"/>
                <w:szCs w:val="18"/>
                <w:color w:val="0000EE"/>
              </w:rPr>
              <w:t>Communications With The Board of Directors</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00EE"/>
                <w:w w:val="79"/>
              </w:rPr>
              <w:t>15</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spacing w:after="0"/>
              <w:rPr>
                <w:sz w:val="20"/>
                <w:szCs w:val="20"/>
                <w:color w:val="auto"/>
              </w:rPr>
            </w:pPr>
            <w:r>
              <w:rPr>
                <w:rFonts w:ascii="Arial" w:cs="Arial" w:eastAsia="Arial" w:hAnsi="Arial"/>
                <w:sz w:val="18"/>
                <w:szCs w:val="18"/>
                <w:color w:val="0000EE"/>
              </w:rPr>
              <w:t>Code of Ethics</w:t>
            </w:r>
          </w:p>
        </w:tc>
        <w:tc>
          <w:tcPr>
            <w:tcW w:w="200" w:type="dxa"/>
            <w:vAlign w:val="bottom"/>
            <w:gridSpan w:val="2"/>
          </w:tcPr>
          <w:p>
            <w:pPr>
              <w:spacing w:after="0"/>
              <w:rPr>
                <w:sz w:val="20"/>
                <w:szCs w:val="20"/>
                <w:color w:val="auto"/>
              </w:rPr>
            </w:pPr>
            <w:r>
              <w:rPr>
                <w:rFonts w:ascii="Arial" w:cs="Arial" w:eastAsia="Arial" w:hAnsi="Arial"/>
                <w:sz w:val="18"/>
                <w:szCs w:val="18"/>
                <w:color w:val="0000EE"/>
                <w:w w:val="79"/>
              </w:rPr>
              <w:t>15</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sz w:val="20"/>
                <w:szCs w:val="20"/>
                <w:color w:val="auto"/>
              </w:rPr>
            </w:pPr>
            <w:r>
              <w:rPr>
                <w:rFonts w:ascii="Arial" w:cs="Arial" w:eastAsia="Arial" w:hAnsi="Arial"/>
                <w:sz w:val="18"/>
                <w:szCs w:val="18"/>
                <w:color w:val="0000EE"/>
              </w:rPr>
              <w:t>Corporate Governance Guidelines</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00EE"/>
                <w:w w:val="79"/>
              </w:rPr>
              <w:t>15</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spacing w:after="0"/>
              <w:rPr>
                <w:sz w:val="20"/>
                <w:szCs w:val="20"/>
                <w:color w:val="auto"/>
              </w:rPr>
            </w:pPr>
            <w:r>
              <w:rPr>
                <w:rFonts w:ascii="Arial" w:cs="Arial" w:eastAsia="Arial" w:hAnsi="Arial"/>
                <w:sz w:val="18"/>
                <w:szCs w:val="18"/>
                <w:color w:val="0000EE"/>
              </w:rPr>
              <w:t>Prohibition on Hedging, Short Sales, and Pledging</w:t>
            </w:r>
          </w:p>
        </w:tc>
        <w:tc>
          <w:tcPr>
            <w:tcW w:w="200" w:type="dxa"/>
            <w:vAlign w:val="bottom"/>
            <w:gridSpan w:val="2"/>
          </w:tcPr>
          <w:p>
            <w:pPr>
              <w:spacing w:after="0"/>
              <w:rPr>
                <w:sz w:val="20"/>
                <w:szCs w:val="20"/>
                <w:color w:val="auto"/>
              </w:rPr>
            </w:pPr>
            <w:r>
              <w:rPr>
                <w:rFonts w:ascii="Arial" w:cs="Arial" w:eastAsia="Arial" w:hAnsi="Arial"/>
                <w:sz w:val="18"/>
                <w:szCs w:val="18"/>
                <w:color w:val="0000EE"/>
                <w:w w:val="79"/>
              </w:rPr>
              <w:t>15</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3"/>
            <w:shd w:val="clear" w:color="auto" w:fill="CCEEFF"/>
          </w:tcPr>
          <w:p>
            <w:pPr>
              <w:spacing w:after="0"/>
              <w:rPr>
                <w:sz w:val="20"/>
                <w:szCs w:val="20"/>
                <w:color w:val="auto"/>
              </w:rPr>
            </w:pPr>
            <w:r>
              <w:rPr>
                <w:rFonts w:ascii="Arial" w:cs="Arial" w:eastAsia="Arial" w:hAnsi="Arial"/>
                <w:sz w:val="18"/>
                <w:szCs w:val="18"/>
                <w:color w:val="0000EE"/>
              </w:rPr>
              <w:t>PROPOSAL 2 RATIFICATION OF SELECTION OF INDEPENDENT REGISTERED PUBLIC</w:t>
            </w: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820" w:type="dxa"/>
            <w:vAlign w:val="bottom"/>
            <w:tcBorders>
              <w:top w:val="single" w:sz="8" w:color="0000EE"/>
            </w:tcBorders>
            <w:gridSpan w:val="30"/>
            <w:shd w:val="clear" w:color="auto" w:fill="CCEEFF"/>
          </w:tcPr>
          <w:p>
            <w:pPr>
              <w:spacing w:after="0" w:line="196" w:lineRule="exact"/>
              <w:rPr>
                <w:sz w:val="20"/>
                <w:szCs w:val="20"/>
                <w:color w:val="auto"/>
              </w:rPr>
            </w:pPr>
            <w:r>
              <w:rPr>
                <w:rFonts w:ascii="Arial" w:cs="Arial" w:eastAsia="Arial" w:hAnsi="Arial"/>
                <w:sz w:val="18"/>
                <w:szCs w:val="18"/>
                <w:color w:val="0000EE"/>
              </w:rPr>
              <w:t>ACCOUNTING FIRM</w:t>
            </w:r>
          </w:p>
        </w:tc>
        <w:tc>
          <w:tcPr>
            <w:tcW w:w="122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w w:val="79"/>
              </w:rPr>
              <w:t>16</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3"/>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200" w:type="dxa"/>
            <w:vAlign w:val="bottom"/>
            <w:gridSpan w:val="2"/>
          </w:tcPr>
          <w:p>
            <w:pPr>
              <w:spacing w:after="0"/>
              <w:rPr>
                <w:sz w:val="20"/>
                <w:szCs w:val="20"/>
                <w:color w:val="auto"/>
              </w:rPr>
            </w:pPr>
            <w:r>
              <w:rPr>
                <w:rFonts w:ascii="Arial" w:cs="Arial" w:eastAsia="Arial" w:hAnsi="Arial"/>
                <w:sz w:val="18"/>
                <w:szCs w:val="18"/>
                <w:color w:val="0000EE"/>
                <w:w w:val="79"/>
              </w:rPr>
              <w:t>17</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3"/>
            <w:shd w:val="clear" w:color="auto" w:fill="CCEEFF"/>
          </w:tcPr>
          <w:p>
            <w:pPr>
              <w:spacing w:after="0"/>
              <w:rPr>
                <w:sz w:val="20"/>
                <w:szCs w:val="20"/>
                <w:color w:val="auto"/>
              </w:rPr>
            </w:pPr>
            <w:r>
              <w:rPr>
                <w:rFonts w:ascii="Arial" w:cs="Arial" w:eastAsia="Arial" w:hAnsi="Arial"/>
                <w:sz w:val="18"/>
                <w:szCs w:val="18"/>
                <w:color w:val="0000EE"/>
              </w:rPr>
              <w:t>EXECUTIVE OFFICERS</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00EE"/>
                <w:w w:val="79"/>
              </w:rPr>
              <w:t>19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3"/>
          </w:tcPr>
          <w:p>
            <w:pPr>
              <w:spacing w:after="0"/>
              <w:rPr>
                <w:sz w:val="20"/>
                <w:szCs w:val="20"/>
                <w:color w:val="auto"/>
              </w:rPr>
            </w:pPr>
            <w:r>
              <w:rPr>
                <w:rFonts w:ascii="Arial" w:cs="Arial" w:eastAsia="Arial" w:hAnsi="Arial"/>
                <w:sz w:val="18"/>
                <w:szCs w:val="18"/>
                <w:color w:val="0000EE"/>
              </w:rPr>
              <w:t>SECURITIES AUTHORIZED FOR ISSUANCE UNDER EQUITY COMPENSATION PLANS</w:t>
            </w:r>
          </w:p>
        </w:tc>
        <w:tc>
          <w:tcPr>
            <w:tcW w:w="200" w:type="dxa"/>
            <w:vAlign w:val="bottom"/>
            <w:gridSpan w:val="2"/>
          </w:tcPr>
          <w:p>
            <w:pPr>
              <w:spacing w:after="0"/>
              <w:rPr>
                <w:sz w:val="20"/>
                <w:szCs w:val="20"/>
                <w:color w:val="auto"/>
              </w:rPr>
            </w:pPr>
            <w:r>
              <w:rPr>
                <w:rFonts w:ascii="Arial" w:cs="Arial" w:eastAsia="Arial" w:hAnsi="Arial"/>
                <w:sz w:val="18"/>
                <w:szCs w:val="18"/>
                <w:color w:val="0000EE"/>
                <w:w w:val="79"/>
              </w:rPr>
              <w:t>20</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3"/>
            <w:shd w:val="clear" w:color="auto" w:fill="CCEEFF"/>
          </w:tcPr>
          <w:p>
            <w:pPr>
              <w:spacing w:after="0"/>
              <w:rPr>
                <w:sz w:val="20"/>
                <w:szCs w:val="20"/>
                <w:color w:val="auto"/>
              </w:rPr>
            </w:pPr>
            <w:r>
              <w:rPr>
                <w:rFonts w:ascii="Arial" w:cs="Arial" w:eastAsia="Arial" w:hAnsi="Arial"/>
                <w:sz w:val="18"/>
                <w:szCs w:val="18"/>
                <w:color w:val="0000EE"/>
              </w:rPr>
              <w:t>EXECUTIVE COMPENSATION</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00EE"/>
                <w:w w:val="79"/>
              </w:rPr>
              <w:t>21</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spacing w:after="0"/>
              <w:rPr>
                <w:sz w:val="20"/>
                <w:szCs w:val="20"/>
                <w:color w:val="auto"/>
              </w:rPr>
            </w:pPr>
            <w:r>
              <w:rPr>
                <w:rFonts w:ascii="Arial" w:cs="Arial" w:eastAsia="Arial" w:hAnsi="Arial"/>
                <w:sz w:val="18"/>
                <w:szCs w:val="18"/>
                <w:color w:val="0000EE"/>
              </w:rPr>
              <w:t>Summary Compensation Table</w:t>
            </w:r>
          </w:p>
        </w:tc>
        <w:tc>
          <w:tcPr>
            <w:tcW w:w="200" w:type="dxa"/>
            <w:vAlign w:val="bottom"/>
            <w:gridSpan w:val="2"/>
          </w:tcPr>
          <w:p>
            <w:pPr>
              <w:spacing w:after="0"/>
              <w:rPr>
                <w:sz w:val="20"/>
                <w:szCs w:val="20"/>
                <w:color w:val="auto"/>
              </w:rPr>
            </w:pPr>
            <w:r>
              <w:rPr>
                <w:rFonts w:ascii="Arial" w:cs="Arial" w:eastAsia="Arial" w:hAnsi="Arial"/>
                <w:sz w:val="18"/>
                <w:szCs w:val="18"/>
                <w:color w:val="0000EE"/>
                <w:w w:val="79"/>
              </w:rPr>
              <w:t>21</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sz w:val="20"/>
                <w:szCs w:val="20"/>
                <w:color w:val="auto"/>
              </w:rPr>
            </w:pPr>
            <w:r>
              <w:rPr>
                <w:rFonts w:ascii="Arial" w:cs="Arial" w:eastAsia="Arial" w:hAnsi="Arial"/>
                <w:sz w:val="18"/>
                <w:szCs w:val="18"/>
                <w:color w:val="0000EE"/>
              </w:rPr>
              <w:t>Outstanding Equity Awards at Fiscal Year End</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00EE"/>
                <w:w w:val="79"/>
              </w:rPr>
              <w:t>22</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spacing w:after="0"/>
              <w:rPr>
                <w:sz w:val="20"/>
                <w:szCs w:val="20"/>
                <w:color w:val="auto"/>
              </w:rPr>
            </w:pPr>
            <w:r>
              <w:rPr>
                <w:rFonts w:ascii="Arial" w:cs="Arial" w:eastAsia="Arial" w:hAnsi="Arial"/>
                <w:sz w:val="18"/>
                <w:szCs w:val="18"/>
                <w:color w:val="0000EE"/>
              </w:rPr>
              <w:t>Potential Payments Upon Termination or Change in Control</w:t>
            </w:r>
          </w:p>
        </w:tc>
        <w:tc>
          <w:tcPr>
            <w:tcW w:w="200" w:type="dxa"/>
            <w:vAlign w:val="bottom"/>
            <w:gridSpan w:val="2"/>
          </w:tcPr>
          <w:p>
            <w:pPr>
              <w:spacing w:after="0"/>
              <w:rPr>
                <w:sz w:val="20"/>
                <w:szCs w:val="20"/>
                <w:color w:val="auto"/>
              </w:rPr>
            </w:pPr>
            <w:r>
              <w:rPr>
                <w:rFonts w:ascii="Arial" w:cs="Arial" w:eastAsia="Arial" w:hAnsi="Arial"/>
                <w:sz w:val="18"/>
                <w:szCs w:val="18"/>
                <w:color w:val="0000EE"/>
                <w:w w:val="79"/>
              </w:rPr>
              <w:t>24</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sz w:val="20"/>
                <w:szCs w:val="20"/>
                <w:color w:val="auto"/>
              </w:rPr>
            </w:pPr>
            <w:r>
              <w:rPr>
                <w:rFonts w:ascii="Arial" w:cs="Arial" w:eastAsia="Arial" w:hAnsi="Arial"/>
                <w:sz w:val="18"/>
                <w:szCs w:val="18"/>
                <w:color w:val="0000EE"/>
              </w:rPr>
              <w:t>Director Compensation</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00EE"/>
                <w:w w:val="79"/>
              </w:rPr>
              <w:t>25</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33"/>
          </w:tcPr>
          <w:p>
            <w:pPr>
              <w:spacing w:after="0"/>
              <w:rPr>
                <w:sz w:val="20"/>
                <w:szCs w:val="20"/>
                <w:color w:val="auto"/>
              </w:rPr>
            </w:pPr>
            <w:r>
              <w:rPr>
                <w:rFonts w:ascii="Arial" w:cs="Arial" w:eastAsia="Arial" w:hAnsi="Arial"/>
                <w:sz w:val="18"/>
                <w:szCs w:val="18"/>
                <w:color w:val="0000EE"/>
              </w:rPr>
              <w:t>TRANSACTIONS WITH RELATED PERSONS AND INDEMNIFICATION</w:t>
            </w:r>
          </w:p>
        </w:tc>
        <w:tc>
          <w:tcPr>
            <w:tcW w:w="200" w:type="dxa"/>
            <w:vAlign w:val="bottom"/>
            <w:gridSpan w:val="2"/>
          </w:tcPr>
          <w:p>
            <w:pPr>
              <w:spacing w:after="0"/>
              <w:rPr>
                <w:sz w:val="20"/>
                <w:szCs w:val="20"/>
                <w:color w:val="auto"/>
              </w:rPr>
            </w:pPr>
            <w:r>
              <w:rPr>
                <w:rFonts w:ascii="Arial" w:cs="Arial" w:eastAsia="Arial" w:hAnsi="Arial"/>
                <w:sz w:val="18"/>
                <w:szCs w:val="18"/>
                <w:color w:val="0000EE"/>
                <w:w w:val="79"/>
              </w:rPr>
              <w:t>27</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sz w:val="20"/>
                <w:szCs w:val="20"/>
                <w:color w:val="auto"/>
              </w:rPr>
            </w:pPr>
            <w:r>
              <w:rPr>
                <w:rFonts w:ascii="Arial" w:cs="Arial" w:eastAsia="Arial" w:hAnsi="Arial"/>
                <w:sz w:val="18"/>
                <w:szCs w:val="18"/>
                <w:color w:val="0000EE"/>
              </w:rPr>
              <w:t>Related Person Transactions Policy and Procedures</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00EE"/>
                <w:w w:val="79"/>
              </w:rPr>
              <w:t>27</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2"/>
          </w:tcPr>
          <w:p>
            <w:pPr>
              <w:spacing w:after="0"/>
              <w:rPr>
                <w:sz w:val="20"/>
                <w:szCs w:val="20"/>
                <w:color w:val="auto"/>
              </w:rPr>
            </w:pPr>
            <w:r>
              <w:rPr>
                <w:rFonts w:ascii="Arial" w:cs="Arial" w:eastAsia="Arial" w:hAnsi="Arial"/>
                <w:sz w:val="18"/>
                <w:szCs w:val="18"/>
                <w:color w:val="0000EE"/>
              </w:rPr>
              <w:t>Certain Related Person Transactions</w:t>
            </w:r>
          </w:p>
        </w:tc>
        <w:tc>
          <w:tcPr>
            <w:tcW w:w="200" w:type="dxa"/>
            <w:vAlign w:val="bottom"/>
            <w:gridSpan w:val="2"/>
          </w:tcPr>
          <w:p>
            <w:pPr>
              <w:spacing w:after="0"/>
              <w:rPr>
                <w:sz w:val="20"/>
                <w:szCs w:val="20"/>
                <w:color w:val="auto"/>
              </w:rPr>
            </w:pPr>
            <w:r>
              <w:rPr>
                <w:rFonts w:ascii="Arial" w:cs="Arial" w:eastAsia="Arial" w:hAnsi="Arial"/>
                <w:sz w:val="18"/>
                <w:szCs w:val="18"/>
                <w:color w:val="0000EE"/>
                <w:w w:val="79"/>
              </w:rPr>
              <w:t>27</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2"/>
            <w:shd w:val="clear" w:color="auto" w:fill="CCEEFF"/>
          </w:tcPr>
          <w:p>
            <w:pPr>
              <w:spacing w:after="0"/>
              <w:rPr>
                <w:sz w:val="20"/>
                <w:szCs w:val="20"/>
                <w:color w:val="auto"/>
              </w:rPr>
            </w:pPr>
            <w:r>
              <w:rPr>
                <w:rFonts w:ascii="Arial" w:cs="Arial" w:eastAsia="Arial" w:hAnsi="Arial"/>
                <w:sz w:val="18"/>
                <w:szCs w:val="18"/>
                <w:color w:val="0000EE"/>
              </w:rPr>
              <w:t>Indemnification</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00EE"/>
                <w:w w:val="79"/>
              </w:rPr>
              <w:t>29</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3"/>
          </w:tcPr>
          <w:p>
            <w:pPr>
              <w:spacing w:after="0"/>
              <w:rPr>
                <w:sz w:val="20"/>
                <w:szCs w:val="20"/>
                <w:color w:val="auto"/>
              </w:rPr>
            </w:pPr>
            <w:r>
              <w:rPr>
                <w:rFonts w:ascii="Arial" w:cs="Arial" w:eastAsia="Arial" w:hAnsi="Arial"/>
                <w:sz w:val="18"/>
                <w:szCs w:val="18"/>
                <w:color w:val="0000EE"/>
              </w:rPr>
              <w:t>HOUSEHOLDING OF PROXY MATERIALS</w:t>
            </w:r>
          </w:p>
        </w:tc>
        <w:tc>
          <w:tcPr>
            <w:tcW w:w="200" w:type="dxa"/>
            <w:vAlign w:val="bottom"/>
            <w:gridSpan w:val="2"/>
          </w:tcPr>
          <w:p>
            <w:pPr>
              <w:spacing w:after="0"/>
              <w:rPr>
                <w:sz w:val="20"/>
                <w:szCs w:val="20"/>
                <w:color w:val="auto"/>
              </w:rPr>
            </w:pPr>
            <w:r>
              <w:rPr>
                <w:rFonts w:ascii="Arial" w:cs="Arial" w:eastAsia="Arial" w:hAnsi="Arial"/>
                <w:sz w:val="18"/>
                <w:szCs w:val="18"/>
                <w:color w:val="0000EE"/>
                <w:w w:val="79"/>
              </w:rPr>
              <w:t>30</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3"/>
            <w:shd w:val="clear" w:color="auto" w:fill="CCEEFF"/>
          </w:tcPr>
          <w:p>
            <w:pPr>
              <w:spacing w:after="0"/>
              <w:rPr>
                <w:sz w:val="20"/>
                <w:szCs w:val="20"/>
                <w:color w:val="auto"/>
              </w:rPr>
            </w:pPr>
            <w:r>
              <w:rPr>
                <w:rFonts w:ascii="Arial" w:cs="Arial" w:eastAsia="Arial" w:hAnsi="Arial"/>
                <w:sz w:val="18"/>
                <w:szCs w:val="18"/>
                <w:color w:val="0000EE"/>
              </w:rPr>
              <w:t>OTHER MATTERS</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00EE"/>
                <w:w w:val="79"/>
              </w:rPr>
              <w:t>31</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2" w:right="439" w:bottom="1440" w:gutter="0" w:footer="0" w:header="0"/>
        </w:sectPr>
      </w:pPr>
    </w:p>
    <w:bookmarkStart w:id="4" w:name="page5"/>
    <w:bookmarkEnd w:id="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of Rani Therapeutics Holdings, Inc. (sometimes referred to as “Rani Holdings”, and together with its subsidiary, Rani Therapeutics, LLC, as “us”, “our, “we” and the “Company”) is soliciting your proxy to vote at the 2023 Annual Meeting of Stockholders,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8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We intend to mail the Notice on or about April 11, 2023 to all stockholders of record entitled to vote at the annual meeting.</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I receive any other proxy materials by mail?</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may send you a proxy card, along with a second Notice, on or after April 21, 2023.</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attend the annual meeting?</w:t>
      </w:r>
    </w:p>
    <w:p>
      <w:pPr>
        <w:spacing w:after="0" w:line="12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 xml:space="preserve">To facilitate stockholder participation in the annual meeting, the annual meeting will be held through a live webcast at </w:t>
      </w:r>
      <w:r>
        <w:rPr>
          <w:rFonts w:ascii="Arial" w:cs="Arial" w:eastAsia="Arial" w:hAnsi="Arial"/>
          <w:sz w:val="16"/>
          <w:szCs w:val="16"/>
          <w:i w:val="1"/>
          <w:iCs w:val="1"/>
          <w:color w:val="auto"/>
        </w:rPr>
        <w:t>www.virtualshareholdermeeting.com/RANI2023</w:t>
      </w:r>
      <w:r>
        <w:rPr>
          <w:rFonts w:ascii="Arial" w:cs="Arial" w:eastAsia="Arial" w:hAnsi="Arial"/>
          <w:sz w:val="16"/>
          <w:szCs w:val="16"/>
          <w:color w:val="auto"/>
        </w:rPr>
        <w:t xml:space="preserve">. You will not be able to attend the annual meeting in person. If you attend the annual meeting online, you will be able to vote at </w:t>
      </w:r>
      <w:r>
        <w:rPr>
          <w:rFonts w:ascii="Arial" w:cs="Arial" w:eastAsia="Arial" w:hAnsi="Arial"/>
          <w:sz w:val="16"/>
          <w:szCs w:val="16"/>
          <w:i w:val="1"/>
          <w:iCs w:val="1"/>
          <w:color w:val="auto"/>
        </w:rPr>
        <w:t>www.virtualshareholdermeeting.com/RANI2023</w:t>
      </w:r>
      <w:r>
        <w:rPr>
          <w:rFonts w:ascii="Arial" w:cs="Arial" w:eastAsia="Arial" w:hAnsi="Arial"/>
          <w:sz w:val="16"/>
          <w:szCs w:val="16"/>
          <w:color w:val="auto"/>
        </w:rPr>
        <w:t>.</w:t>
      </w:r>
    </w:p>
    <w:p>
      <w:pPr>
        <w:spacing w:after="0" w:line="4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 xml:space="preserve">You are entitled to attend the annual meeting if you were a stockholder as of the close of business on March 30, 2023, the record date, or hold a valid proxy for the meeting. To be admitted to the annual meeting, you will need to visit </w:t>
      </w:r>
      <w:r>
        <w:rPr>
          <w:rFonts w:ascii="Arial" w:cs="Arial" w:eastAsia="Arial" w:hAnsi="Arial"/>
          <w:sz w:val="18"/>
          <w:szCs w:val="18"/>
          <w:i w:val="1"/>
          <w:iCs w:val="1"/>
          <w:color w:val="auto"/>
        </w:rPr>
        <w:t>www.virtualshareholdermeeting.com/RANI2023</w:t>
      </w:r>
      <w:r>
        <w:rPr>
          <w:rFonts w:ascii="Arial" w:cs="Arial" w:eastAsia="Arial" w:hAnsi="Arial"/>
          <w:sz w:val="18"/>
          <w:szCs w:val="18"/>
          <w:color w:val="auto"/>
        </w:rPr>
        <w:t xml:space="preserve"> and enter the 16-digit Control Number found next to the label “Control Number” on your Notice of Internet Availability,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Whether or not you participate in the annual meeting, it is important that you vote your shares.</w:t>
      </w:r>
    </w:p>
    <w:p>
      <w:pPr>
        <w:spacing w:after="0" w:line="11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We encourage you to access the annual meeting before it begins. Online check-in will start approximately 15 minutes before the meeting on May 25, 2023.</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cannot find my Control Number?</w:t>
      </w:r>
    </w:p>
    <w:p>
      <w:pPr>
        <w:spacing w:after="0" w:line="12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 xml:space="preserve">Please note that if you do not have your Control Number and you are a registered stockholder, you will be able to login as a guest. To view the meeting webcast visit </w:t>
      </w:r>
      <w:r>
        <w:rPr>
          <w:rFonts w:ascii="Arial" w:cs="Arial" w:eastAsia="Arial" w:hAnsi="Arial"/>
          <w:sz w:val="17"/>
          <w:szCs w:val="17"/>
          <w:i w:val="1"/>
          <w:iCs w:val="1"/>
          <w:color w:val="auto"/>
        </w:rPr>
        <w:t>www.virtualshareholdermeeting.com/RANI2023</w:t>
      </w:r>
      <w:r>
        <w:rPr>
          <w:rFonts w:ascii="Arial" w:cs="Arial" w:eastAsia="Arial" w:hAnsi="Arial"/>
          <w:sz w:val="17"/>
          <w:szCs w:val="17"/>
          <w:color w:val="auto"/>
        </w:rPr>
        <w:t xml:space="preserve"> and register as a guest. If you login as a guest, you will not be able to vote your shares during the meeting.</w:t>
      </w:r>
    </w:p>
    <w:p>
      <w:pPr>
        <w:spacing w:after="0" w:line="5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a list of record stockholders as of the record date be available?</w:t>
      </w:r>
    </w:p>
    <w:p>
      <w:pPr>
        <w:spacing w:after="0" w:line="12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 xml:space="preserve">A list of our record stockholders as of the close of business on the record date will be made available to stockholders during the meeting at </w:t>
      </w:r>
      <w:r>
        <w:rPr>
          <w:rFonts w:ascii="Arial" w:cs="Arial" w:eastAsia="Arial" w:hAnsi="Arial"/>
          <w:sz w:val="16"/>
          <w:szCs w:val="16"/>
          <w:i w:val="1"/>
          <w:iCs w:val="1"/>
          <w:color w:val="auto"/>
        </w:rPr>
        <w:t>www.virtualshareholdermeeting.com/RANI2023.</w:t>
      </w:r>
      <w:r>
        <w:rPr>
          <w:rFonts w:ascii="Arial" w:cs="Arial" w:eastAsia="Arial" w:hAnsi="Arial"/>
          <w:sz w:val="16"/>
          <w:szCs w:val="16"/>
          <w:color w:val="auto"/>
        </w:rPr>
        <w:t xml:space="preserve"> In addition, for the ten days prior to the annual meeting, the list will be available for examination by any stockholder of record for a legally valid purpose at our corporate headquarters during regular business hours. To access the list of record stockholders beginning May 15, 2023 and until the meeting, stockholders should email secretary@ranitherapeutics.com.</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Where can we get technical assistance?</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If you have difficulty accessing the meeting, there will be technical support telephone numbers on the log in page at www.virtualshareholdersmeeting.com/RANI2023.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 the annual meeting, how do we ask questions of management and the board?</w:t>
      </w:r>
    </w:p>
    <w:p>
      <w:pPr>
        <w:spacing w:after="0" w:line="12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Stockholders may submit questions that are relevant to our business in advance of the annual meeting. If you are a stockholder, you may submit a question in advance of the meeting by emailing your question to secretary@ranitherapeutics.com or sending a letter with your question to Rani Therapeutics Holdings, Inc., Secretary, 2051 Ringwood Avenue, San Jose, CA 95131. You must put “Annual Meeting Question” in the subject line or at the top of the letter, and state your full name and whether you hold shares as a stockholder of record or beneficial owner. To be considered, questions must be received by the Company on or before 11:59pm Eastern Time on May 15, 2023. Questions pertinent to meeting matters will be addressed through prepared remarks at the annual meeting. </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If I miss the annual meeting, will there be a copy posted online?</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Yes, a replay of the annual meeting webcast will be available at www.virtualshareholdermeeting.com/RANI2023 for one year.</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Only stockholders of record at the close of business on March 30, 2023 will be entitled to vote at the annual meeting. On the record date, there were 25,376,461 shares of Class A common stock outstanding and entitled to vote and 24,116,444 shares of Class B common stock outstanding and entitled to vote.</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If on March 30, 2023 your shares were registered directly in your name with Rani Holdings’ transfer agent, American Stock Transfer &amp; Trust Company, LLC, then you are a stockholder of record. As a stockholder of record, you may vote online at the meeting or vote by proxy. Whether or not you plan to attend the meeting, we urge you to vote by proxy over the telephone, vote by proxy through the internet or vote by proxy using a proxy card that you may request or that we may elect to deliver at a later time to ensure your vote is counted.</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11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If on March 30, 2023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online. However, since you are not the stockholder of record, you may not vote your shares at the meeting unless you request and obtain a valid proxy from your broker, bank or other agent.</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am I voting on?</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There are two matters scheduled for a vote:</w:t>
      </w:r>
    </w:p>
    <w:p>
      <w:pPr>
        <w:spacing w:after="0" w:line="121" w:lineRule="exact"/>
        <w:rPr>
          <w:sz w:val="20"/>
          <w:szCs w:val="20"/>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eight directors (Proposal 1);</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the selection by the Audit Committee of the Board of Directors of Ernst &amp; Young LLP as the independent registered public accounting firm of the Company for the fiscal year ending December 31, 2023 (Proposal 2).</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another matter is properly brought before the meeting?</w:t>
      </w:r>
    </w:p>
    <w:p>
      <w:pPr>
        <w:spacing w:after="0" w:line="12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You may either vote “For” all the nominees to the Board of Directors or you may “Withhold” your vote for any nominee you specify. For each of the other matters to be voted on, you may vote “For” or “Against” or abstain from voting.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procedures for voting are fairly simple:</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If you are a stockholder of record, you may vote by proxy over the telephone, vote by proxy through the internet, vote online at the annual meeting or vote by proxy using a proxy card that you may request or that we may elect to deliver at a later time. Whether or not you plan to attend the meeting, we urge you to vote by proxy to ensure your vote is counted. You may still attend the meeting and vote at the meeting even if you have already voted by proxy.</w:t>
      </w:r>
    </w:p>
    <w:p>
      <w:pPr>
        <w:spacing w:after="0" w:line="49" w:lineRule="exact"/>
        <w:rPr>
          <w:sz w:val="20"/>
          <w:szCs w:val="20"/>
          <w:color w:val="auto"/>
        </w:rPr>
      </w:pPr>
    </w:p>
    <w:p>
      <w:pPr>
        <w:jc w:val="both"/>
        <w:ind w:left="1000" w:right="299" w:hanging="348"/>
        <w:spacing w:after="0" w:line="259"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To vote </w:t>
      </w:r>
      <w:r>
        <w:rPr>
          <w:rFonts w:ascii="Arial" w:cs="Arial" w:eastAsia="Arial" w:hAnsi="Arial"/>
          <w:sz w:val="18"/>
          <w:szCs w:val="18"/>
          <w:b w:val="1"/>
          <w:bCs w:val="1"/>
          <w:i w:val="1"/>
          <w:iCs w:val="1"/>
          <w:color w:val="auto"/>
        </w:rPr>
        <w:t>during</w:t>
      </w:r>
      <w:r>
        <w:rPr>
          <w:rFonts w:ascii="Arial" w:cs="Arial" w:eastAsia="Arial" w:hAnsi="Arial"/>
          <w:sz w:val="18"/>
          <w:szCs w:val="18"/>
          <w:color w:val="auto"/>
        </w:rPr>
        <w:t xml:space="preserve"> the annual meeting, if you are a stockholder of record as of the record date, follow the instructions at </w:t>
      </w:r>
      <w:r>
        <w:rPr>
          <w:rFonts w:ascii="Arial" w:cs="Arial" w:eastAsia="Arial" w:hAnsi="Arial"/>
          <w:sz w:val="18"/>
          <w:szCs w:val="18"/>
          <w:i w:val="1"/>
          <w:iCs w:val="1"/>
          <w:color w:val="auto"/>
        </w:rPr>
        <w:t>www.virtualshareholdermeeting.com/RANI2023.</w:t>
      </w:r>
      <w:r>
        <w:rPr>
          <w:rFonts w:ascii="Arial" w:cs="Arial" w:eastAsia="Arial" w:hAnsi="Arial"/>
          <w:sz w:val="18"/>
          <w:szCs w:val="18"/>
          <w:color w:val="auto"/>
        </w:rPr>
        <w:t xml:space="preserve"> You will need to enter the 16-digit Control Number found on your Notice of Internet Availability, proxy card or voting instruction form, or in the email sending you the Proxy Statement.</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To vote </w:t>
      </w:r>
      <w:r>
        <w:rPr>
          <w:rFonts w:ascii="Arial" w:cs="Arial" w:eastAsia="Arial" w:hAnsi="Arial"/>
          <w:sz w:val="18"/>
          <w:szCs w:val="18"/>
          <w:b w:val="1"/>
          <w:bCs w:val="1"/>
          <w:i w:val="1"/>
          <w:iCs w:val="1"/>
          <w:color w:val="auto"/>
        </w:rPr>
        <w:t>prior</w:t>
      </w:r>
      <w:r>
        <w:rPr>
          <w:rFonts w:ascii="Arial" w:cs="Arial" w:eastAsia="Arial" w:hAnsi="Arial"/>
          <w:sz w:val="18"/>
          <w:szCs w:val="18"/>
          <w:color w:val="auto"/>
        </w:rPr>
        <w:t xml:space="preserve"> to the annual meeting (until 11:59 p.m. Eastern Time on May 24, 2023), you may vote via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by telephone; or by completing and returning the proxy card or voting instruction form, as described below.</w:t>
      </w:r>
    </w:p>
    <w:p>
      <w:pPr>
        <w:spacing w:after="0" w:line="75"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vote using the proxy card, simply complete, sign and date the proxy card, that may be delivered and return it promptly in the envelope provided. If you return your signed proxy card to us before the annual meeting, we will vote your shares as you direct.</w:t>
      </w:r>
    </w:p>
    <w:p>
      <w:pPr>
        <w:spacing w:after="0" w:line="75" w:lineRule="exact"/>
        <w:rPr>
          <w:rFonts w:ascii="Arial" w:cs="Arial" w:eastAsia="Arial" w:hAnsi="Arial"/>
          <w:sz w:val="18"/>
          <w:szCs w:val="18"/>
          <w:color w:val="auto"/>
        </w:rPr>
      </w:pPr>
    </w:p>
    <w:p>
      <w:pPr>
        <w:jc w:val="both"/>
        <w:ind w:left="1360" w:right="319" w:hanging="348"/>
        <w:spacing w:after="0" w:line="259"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vote over the telephone, dial toll-free 1-800-690-6903 using a touch-tone phone and follow the recorded instructions. You will be asked to provide the company number and Control Number from the Notice. Your telephone vote must be received by 11:59 p.m. Eastern Time on May 24, 2023 to be counted.</w:t>
      </w:r>
    </w:p>
    <w:p>
      <w:pPr>
        <w:spacing w:after="0" w:line="78" w:lineRule="exact"/>
        <w:rPr>
          <w:rFonts w:ascii="Arial" w:cs="Arial" w:eastAsia="Arial" w:hAnsi="Arial"/>
          <w:sz w:val="18"/>
          <w:szCs w:val="18"/>
          <w:color w:val="auto"/>
        </w:rPr>
      </w:pPr>
    </w:p>
    <w:p>
      <w:pPr>
        <w:jc w:val="both"/>
        <w:ind w:left="1360" w:right="319" w:hanging="348"/>
        <w:spacing w:after="0" w:line="259"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To vote through the internet prior to the meeting, go 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follow the instructions to submit your vote on an electronic proxy card. You will be asked to provide the company number and Control Number from the Notice. Your internet vote must be received by 11:59 p.m. Eastern Time on May 24, 2023 to be counted.</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 xml:space="preserve">If you are a beneficial owner of shares registered in the name of your broker, bank or other agent, you should have received a notice containing voting instructions from that organization rather than from Rani Holdings. To vote </w:t>
      </w:r>
      <w:r>
        <w:rPr>
          <w:rFonts w:ascii="Arial" w:cs="Arial" w:eastAsia="Arial" w:hAnsi="Arial"/>
          <w:sz w:val="18"/>
          <w:szCs w:val="18"/>
          <w:i w:val="1"/>
          <w:iCs w:val="1"/>
          <w:color w:val="auto"/>
        </w:rPr>
        <w:t>prior</w:t>
      </w:r>
      <w:r>
        <w:rPr>
          <w:rFonts w:ascii="Arial" w:cs="Arial" w:eastAsia="Arial" w:hAnsi="Arial"/>
          <w:sz w:val="18"/>
          <w:szCs w:val="18"/>
          <w:color w:val="auto"/>
        </w:rPr>
        <w:t xml:space="preserve"> </w:t>
      </w:r>
      <w:r>
        <w:rPr>
          <w:rFonts w:ascii="Arial" w:cs="Arial" w:eastAsia="Arial" w:hAnsi="Arial"/>
          <w:sz w:val="18"/>
          <w:szCs w:val="18"/>
          <w:i w:val="1"/>
          <w:iCs w:val="1"/>
          <w:color w:val="auto"/>
        </w:rPr>
        <w:t>to the meeting</w:t>
      </w:r>
      <w:r>
        <w:rPr>
          <w:rFonts w:ascii="Arial" w:cs="Arial" w:eastAsia="Arial" w:hAnsi="Arial"/>
          <w:sz w:val="18"/>
          <w:szCs w:val="18"/>
          <w:color w:val="auto"/>
        </w:rPr>
        <w:t>, simply follow the voting instructions in the notice to ensure that your vote is counted.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since you are not the stockholder of record, you may not vote your shares at the meeting unless you request and obtain a valid proxy from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40640</wp:posOffset>
            </wp:positionV>
            <wp:extent cx="5344795" cy="706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4795" cy="706755"/>
                    </a:xfrm>
                    <a:prstGeom prst="rect">
                      <a:avLst/>
                    </a:prstGeom>
                    <a:noFill/>
                  </pic:spPr>
                </pic:pic>
              </a:graphicData>
            </a:graphic>
          </wp:anchor>
        </w:drawing>
      </w:r>
    </w:p>
    <w:p>
      <w:pPr>
        <w:spacing w:after="0" w:line="150" w:lineRule="exact"/>
        <w:rPr>
          <w:sz w:val="20"/>
          <w:szCs w:val="20"/>
          <w:color w:val="auto"/>
        </w:rPr>
      </w:pPr>
    </w:p>
    <w:p>
      <w:pPr>
        <w:jc w:val="both"/>
        <w:ind w:left="420" w:right="419"/>
        <w:spacing w:after="0" w:line="261" w:lineRule="auto"/>
        <w:rPr>
          <w:sz w:val="20"/>
          <w:szCs w:val="20"/>
          <w:color w:val="auto"/>
        </w:rPr>
      </w:pPr>
      <w:r>
        <w:rPr>
          <w:rFonts w:ascii="Arial" w:cs="Arial" w:eastAsia="Arial" w:hAnsi="Arial"/>
          <w:sz w:val="18"/>
          <w:szCs w:val="18"/>
          <w:b w:val="1"/>
          <w:bCs w:val="1"/>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On each matter to be voted upon, you are entitled to one vote for each share of Class A common stock you own as of March 30, 2023 and 10 votes for each share of Class B common stock you own as of March 30, 2023.</w:t>
      </w:r>
    </w:p>
    <w:p>
      <w:pPr>
        <w:spacing w:after="0" w:line="142" w:lineRule="exact"/>
        <w:rPr>
          <w:sz w:val="20"/>
          <w:szCs w:val="20"/>
          <w:color w:val="auto"/>
        </w:rPr>
      </w:pPr>
    </w:p>
    <w:p>
      <w:pPr>
        <w:ind w:left="300" w:right="419"/>
        <w:spacing w:after="0" w:line="282" w:lineRule="auto"/>
        <w:rPr>
          <w:sz w:val="20"/>
          <w:szCs w:val="20"/>
          <w:color w:val="auto"/>
        </w:rPr>
      </w:pPr>
      <w:r>
        <w:rPr>
          <w:rFonts w:ascii="Arial" w:cs="Arial" w:eastAsia="Arial" w:hAnsi="Arial"/>
          <w:sz w:val="18"/>
          <w:szCs w:val="18"/>
          <w:b w:val="1"/>
          <w:bCs w:val="1"/>
          <w:color w:val="auto"/>
        </w:rPr>
        <w:t>If I am a stockholder of record and I do not vote, or if I return a proxy card or otherwise vote without giving specific voting instructions, what happens?</w:t>
      </w:r>
    </w:p>
    <w:p>
      <w:pPr>
        <w:spacing w:after="0" w:line="5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at the annual meeting, your shares will not be voted.</w:t>
      </w:r>
    </w:p>
    <w:p>
      <w:pPr>
        <w:spacing w:after="0" w:line="62"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If you return a signed and dated proxy card or otherwise vote without marking voting selections, your shares will be voted, as applicable, “For” the election of all eight nominees for director and “For” the ratification of the selection by the Audit Committee of the Board of Directors of Ernst &amp; Young LLP as the independent registered public accounting firm of the Company for the fiscal year ending December 31, 2023. If any other matter is properly presented at the meeting, your proxyholder (one of the individuals named on your proxy card) will vote your shares using his or her best judgment.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right="499"/>
        <w:spacing w:after="0" w:line="282" w:lineRule="auto"/>
        <w:rPr>
          <w:sz w:val="20"/>
          <w:szCs w:val="20"/>
          <w:color w:val="auto"/>
        </w:rPr>
      </w:pPr>
      <w:r>
        <w:rPr>
          <w:rFonts w:ascii="Arial" w:cs="Arial" w:eastAsia="Arial" w:hAnsi="Arial"/>
          <w:sz w:val="18"/>
          <w:szCs w:val="18"/>
          <w:b w:val="1"/>
          <w:bCs w:val="1"/>
          <w:color w:val="auto"/>
        </w:rPr>
        <w:t>If I am a beneficial owner of shares held in street name and I do not provide my broker or bank with voting instructions, what happens?</w:t>
      </w:r>
    </w:p>
    <w:p>
      <w:pPr>
        <w:spacing w:after="0" w:line="58"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 xml:space="preserve">If you are a beneficial owner of shares held in street name and you do not instruct your broker, bank or other agent how to vote your shares, your broker, bank or other agent may still be able to vote your shares in its discretion.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 1 is considered to be “non-routine” under NYSE rules meaning that your broker may not vote your shares on that proposal in the absence of your voting instructions. However, Proposal 2 is considered to be a “routine” matter under NYSE rules meaning that if you do not return voting instructions to your broker by its deadline, your shares may be voted by your broker in its discretion on Proposal 2. </w:t>
      </w:r>
      <w:r>
        <w:rPr>
          <w:rFonts w:ascii="Arial" w:cs="Arial" w:eastAsia="Arial" w:hAnsi="Arial"/>
          <w:sz w:val="16"/>
          <w:szCs w:val="16"/>
          <w:b w:val="1"/>
          <w:bCs w:val="1"/>
          <w:i w:val="1"/>
          <w:iCs w:val="1"/>
          <w:color w:val="auto"/>
        </w:rPr>
        <w:t>If you are a beneficial owner of shares held in street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name, and you do not plan to attend the meeting, in order to ensure your shares are voted in the way you would prefer, you </w:t>
      </w:r>
      <w:r>
        <w:rPr>
          <w:rFonts w:ascii="Arial" w:cs="Arial" w:eastAsia="Arial" w:hAnsi="Arial"/>
          <w:sz w:val="16"/>
          <w:szCs w:val="16"/>
          <w:b w:val="1"/>
          <w:bCs w:val="1"/>
          <w:i w:val="1"/>
          <w:iCs w:val="1"/>
          <w:u w:val="single" w:color="auto"/>
          <w:color w:val="auto"/>
        </w:rPr>
        <w:t>must</w:t>
      </w:r>
      <w:r>
        <w:rPr>
          <w:rFonts w:ascii="Arial" w:cs="Arial" w:eastAsia="Arial" w:hAnsi="Arial"/>
          <w:sz w:val="16"/>
          <w:szCs w:val="16"/>
          <w:b w:val="1"/>
          <w:bCs w:val="1"/>
          <w:i w:val="1"/>
          <w:iCs w:val="1"/>
          <w:color w:val="auto"/>
        </w:rPr>
        <w:t xml:space="preserve"> provide voting instructions to your broker, bank or other agent by the deadline provided in the materials you receive from your broker, bank or other agent.</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does it mean if I receive more than one Notice?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If you receive more than one Notice, your shares may be registered in more than one name or in different accounts.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Please follow the voting instructions on the Notices to ensure that all of your shares are voted.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Yes. You can revoke your proxy at any time before the final vote at the meeting. If you are the record holder of your shares, you may revoke your proxy in any one of the following ways:</w:t>
      </w:r>
    </w:p>
    <w:p>
      <w:pPr>
        <w:spacing w:after="0" w:line="62" w:lineRule="exact"/>
        <w:rPr>
          <w:sz w:val="20"/>
          <w:szCs w:val="20"/>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grant a subsequent proxy by telephone or through the internet.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Rani Therapeutics Holdings, Inc., Secretary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Jose, California 95131</w:t>
      </w:r>
    </w:p>
    <w:p>
      <w:pPr>
        <w:spacing w:after="0" w:line="103" w:lineRule="exact"/>
        <w:rPr>
          <w:sz w:val="20"/>
          <w:szCs w:val="20"/>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attend the annual meeting and vote online. Simply attending the meeting will not, by itself, revoke your proxy.</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Your most current proxy card or telephone or internet proxy is the one that is counted.</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If your shares are held by your broker, bank or other agent, you should follow the instructions provided by your broker, bank or other agent.</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 be considered for inclusion in next year’s proxy materials, your proposal must be submitted in writing by</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December 13, 2023,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Rani Therapeutics Holdings, Inc., Secretary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Jose, California 95131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If you wish to submit a proposal (including a director nomination) at the meeting that is not to be included in next year’s proxy materials, you must do so between January 26, 2024 and February 25, 2024. In addition, shareholders who intend to solicit proxies in support of director nominees other than the Company’s nominees must also comply with the additional requirements of Rule 14a-19(b).</w:t>
      </w:r>
    </w:p>
    <w:p>
      <w:pPr>
        <w:spacing w:after="0" w:line="82"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In the event that we hold the 2024 annual meeting of stockholders more than 30 days before or after the one-year anniversary of the 2023 annual meeting, notice of a stockholder proposal that is not intended to be included in our proxy statement must be received no earlier than the close of business on the 120th day before the 2024 annual meeting of stockholders and no later than the close of business on the later of the following two dates:</w:t>
      </w:r>
    </w:p>
    <w:p>
      <w:pPr>
        <w:spacing w:after="0" w:line="51" w:lineRule="exact"/>
        <w:rPr>
          <w:sz w:val="20"/>
          <w:szCs w:val="20"/>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90th day prior to the 2024 annual meeting of stockholders;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our 2024 annual meeting of stockholders is first made.</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Votes will be counted by the inspector of election appointed for the meeting, who will separately count, for the proposal to elect directors, votes “For,” “Withhold” and broker non-votes; and, with respect to the other proposal, votes “For” and “Against,” abstentions and, if applicable, broker non-votes. Abstentions will be counted towards the vote total for Proposal 2, and will have the same effect as “Against” votes. Broker non-votes on Proposal 1 will have no effect and will not be counted towards the vote total for either of the proposals.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 Proposal 1 is considered to be “non-routine” under NYSE rules and we therefore expect broker non-votes to exist in connection with that proposal.</w:t>
      </w:r>
    </w:p>
    <w:p>
      <w:pPr>
        <w:spacing w:after="0" w:line="57"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b w:val="1"/>
          <w:bCs w:val="1"/>
          <w:i w:val="1"/>
          <w:iCs w:val="1"/>
          <w:color w:val="auto"/>
        </w:rPr>
        <w:t xml:space="preserve">As a reminder, if you are a beneficial owner of shares held in street name, in order to ensure your shares are voted in the way you would prefer, you </w:t>
      </w:r>
      <w:r>
        <w:rPr>
          <w:rFonts w:ascii="Arial" w:cs="Arial" w:eastAsia="Arial" w:hAnsi="Arial"/>
          <w:sz w:val="16"/>
          <w:szCs w:val="16"/>
          <w:b w:val="1"/>
          <w:bCs w:val="1"/>
          <w:i w:val="1"/>
          <w:iCs w:val="1"/>
          <w:u w:val="single" w:color="auto"/>
          <w:color w:val="auto"/>
        </w:rPr>
        <w:t>must</w:t>
      </w:r>
      <w:r>
        <w:rPr>
          <w:rFonts w:ascii="Arial" w:cs="Arial" w:eastAsia="Arial" w:hAnsi="Arial"/>
          <w:sz w:val="16"/>
          <w:szCs w:val="16"/>
          <w:b w:val="1"/>
          <w:bCs w:val="1"/>
          <w:i w:val="1"/>
          <w:iCs w:val="1"/>
          <w:color w:val="auto"/>
        </w:rPr>
        <w:t xml:space="preserve"> provide voting instructions to your broker, bank or other agent by the deadline provided in the materials you receive from your broker, bank or other agent.</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For the election of directors, the eight nominees receiving the most “For” votes from the holders of shares present virtually or represented by proxy and entitled to vote on the election of directors will be elected. Only votes “For” will affect the outcome.</w:t>
      </w:r>
    </w:p>
    <w:p>
      <w:pPr>
        <w:spacing w:after="0" w:line="76"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To be approved, Proposal No. 2, ratification of the selection of Ernst &amp; Young LLP as the independent registered public accounting firm of the Company for the fiscal year ended December 31, 2023, must receive “For” votes from the holders of a majority of the voting power of shares present virtually or represented by proxy and entitled to vote on the matter. If you “Abstain” from voting, it will have the same effect as an “Against” vote.</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A quorum of stockholders is necessary to hold a valid meeting. A quorum will be present if stockholders holding at least a majority of the voting power of the outstanding shares entitled to vote are present at the meeting virtually or represented by proxy. On the record date, there were 25,376,461 shares of Class A common stock outstanding and entitled to vote and 24,116,444 shares of Class B common stock outstanding and entitled to vote.</w:t>
      </w:r>
    </w:p>
    <w:p>
      <w:pPr>
        <w:spacing w:after="0" w:line="36"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Your shares will be counted towards the quorum only if you submit a valid proxy (or one is submitted on your behalf by your broker, bank or other nominee) or if you vote online at the meeting. Abstentions and broker non-votes will be counted towards the quorum requirement. If there is no quorum, the holders of a majority of the voting power of shares present at the meeting virtually or represented by proxy may adjourn the meeting to another date.</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lection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p>
    <w:p>
      <w:pPr>
        <w:spacing w:after="0" w:line="103"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Rani Holdings’ Board of Directors currently consists of nine directors. In April 2023, the Board of Directors approved a change in the number of members of the Board of Directors from nine to eight, which change will be effective as of the date of the 2023 annual meeting. Accordingly, there are eight nominees for director this year. Each director to be elected and qualified will hold office until the next annual meeting of stockholders and until his or her successor is elected, or, if sooner, until the director’s death, resignation or removal. Each of the nominees listed below is currently a director of the Company who was previously elected by the stockholders. Although the Company does not have a formal policy regarding attendance by members of the Board of Directors at annual meetings of stockholders, all directors are encouraged to attend. Eight directors attended the Company’s 2022 annual meeting of stockholders.</w:t>
      </w:r>
    </w:p>
    <w:p>
      <w:pPr>
        <w:spacing w:after="0" w:line="88"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Directors are elected by a plurality of the votes of the holders of shares present in person or virtually or represented by proxy and entitled to vote on the election of directors. Accordingly, the eight nominees receiving the highest number of affirmative votes will be elected. Shares represented by executed proxies will be voted, if authority to do so is not withheld, for the election of the eight nominees named below. If any nominee becomes unavailable for election as a result of an unexpected occurrence, shares that would have been voted for that nominee will instead be voted for the election of a substitute nominee proposed by Rani Holdings. Each person nominated for election has agreed to serve if elected. The Company’s management has no reason to believe that any nominee will be unable to serve.</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The following is a brief biography of each nominee for director and a discussion of the specific experience, qualifications, attributes or skills of each nominee that led the Nominating and Corporate Governance Committee to recommend that person as a nominee for director, as of the date of this proxy statement.</w:t>
      </w:r>
    </w:p>
    <w:p>
      <w:pPr>
        <w:spacing w:after="0" w:line="5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and expertise that the Committee views as critical to effective functioning of the Board. The Board believes it is important to develop a diverse and experienced board of directors. To provide a mix of experience and perspective on the board, the Committee takes into account various factors, including diversity (including diversity of gender, race, ethnicity, sexual orientation, age, and cultural background), integrity, skills and experience. The brief biographies below include information, as of the date of this proxy statement, regarding the specific and particular experience, qualifications, attributes or skills of each director or nominee that led the Committee to believe that that the nominees should continue to serve on the Board. However, each of the members of the Committee may have a variety of reasons why he or she believes a particular person would be an appropriate nominee for the Board, and these views may differ from the views of other members.</w:t>
      </w:r>
    </w:p>
    <w:p>
      <w:pPr>
        <w:spacing w:after="0" w:line="12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20" w:type="dxa"/>
            <w:vAlign w:val="bottom"/>
            <w:gridSpan w:val="2"/>
            <w:vMerge w:val="restart"/>
          </w:tcPr>
          <w:p>
            <w:pPr>
              <w:ind w:left="146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9"/>
                <w:szCs w:val="9"/>
                <w:b w:val="1"/>
                <w:bCs w:val="1"/>
                <w:color w:val="auto"/>
              </w:rPr>
              <w:t>ame</w:t>
            </w: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9"/>
                <w:szCs w:val="9"/>
                <w:b w:val="1"/>
                <w:bCs w:val="1"/>
                <w:color w:val="auto"/>
              </w:rPr>
              <w:t>ge</w:t>
            </w:r>
          </w:p>
        </w:tc>
        <w:tc>
          <w:tcPr>
            <w:tcW w:w="4380" w:type="dxa"/>
            <w:vAlign w:val="bottom"/>
          </w:tcPr>
          <w:p>
            <w:pPr>
              <w:ind w:left="1520"/>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9"/>
                <w:szCs w:val="9"/>
                <w:b w:val="1"/>
                <w:bCs w:val="1"/>
                <w:color w:val="auto"/>
              </w:rPr>
              <w:t>rincipal</w:t>
            </w:r>
            <w:r>
              <w:rPr>
                <w:rFonts w:ascii="Arial" w:cs="Arial" w:eastAsia="Arial" w:hAnsi="Arial"/>
                <w:sz w:val="14"/>
                <w:szCs w:val="14"/>
                <w:b w:val="1"/>
                <w:bCs w:val="1"/>
                <w:color w:val="auto"/>
              </w:rPr>
              <w:t xml:space="preserve"> O</w:t>
            </w:r>
            <w:r>
              <w:rPr>
                <w:rFonts w:ascii="Arial" w:cs="Arial" w:eastAsia="Arial" w:hAnsi="Arial"/>
                <w:sz w:val="9"/>
                <w:szCs w:val="9"/>
                <w:b w:val="1"/>
                <w:bCs w:val="1"/>
                <w:color w:val="auto"/>
              </w:rPr>
              <w:t>ccupation</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332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380" w:type="dxa"/>
            <w:vAlign w:val="bottom"/>
          </w:tcPr>
          <w:p>
            <w:pPr>
              <w:ind w:left="1240"/>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9"/>
                <w:szCs w:val="9"/>
                <w:b w:val="1"/>
                <w:bCs w:val="1"/>
                <w:color w:val="auto"/>
              </w:rPr>
              <w:t>osition held with the</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ompany</w:t>
            </w:r>
          </w:p>
        </w:tc>
        <w:tc>
          <w:tcPr>
            <w:tcW w:w="0" w:type="dxa"/>
            <w:vAlign w:val="bottom"/>
          </w:tcPr>
          <w:p>
            <w:pPr>
              <w:spacing w:after="0"/>
              <w:rPr>
                <w:sz w:val="1"/>
                <w:szCs w:val="1"/>
                <w:color w:val="auto"/>
              </w:rPr>
            </w:pPr>
          </w:p>
        </w:tc>
      </w:tr>
      <w:tr>
        <w:trPr>
          <w:trHeight w:val="53"/>
        </w:trPr>
        <w:tc>
          <w:tcPr>
            <w:tcW w:w="32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Talat Imran</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of the Company</w:t>
            </w:r>
          </w:p>
        </w:tc>
        <w:tc>
          <w:tcPr>
            <w:tcW w:w="0" w:type="dxa"/>
            <w:vAlign w:val="bottom"/>
          </w:tcPr>
          <w:p>
            <w:pPr>
              <w:spacing w:after="0"/>
              <w:rPr>
                <w:sz w:val="1"/>
                <w:szCs w:val="1"/>
                <w:color w:val="auto"/>
              </w:rPr>
            </w:pPr>
          </w:p>
        </w:tc>
      </w:tr>
      <w:tr>
        <w:trPr>
          <w:trHeight w:val="270"/>
        </w:trPr>
        <w:tc>
          <w:tcPr>
            <w:tcW w:w="3320" w:type="dxa"/>
            <w:vAlign w:val="bottom"/>
            <w:gridSpan w:val="2"/>
          </w:tcPr>
          <w:p>
            <w:pPr>
              <w:spacing w:after="0"/>
              <w:rPr>
                <w:sz w:val="20"/>
                <w:szCs w:val="20"/>
                <w:color w:val="auto"/>
              </w:rPr>
            </w:pPr>
            <w:r>
              <w:rPr>
                <w:rFonts w:ascii="Arial" w:cs="Arial" w:eastAsia="Arial" w:hAnsi="Arial"/>
                <w:sz w:val="18"/>
                <w:szCs w:val="18"/>
                <w:color w:val="auto"/>
              </w:rPr>
              <w:t>Mir Imran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Chairman of the Board of Directors of the Company</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Dennis Ausiello, M.D.</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77</w:t>
            </w:r>
          </w:p>
        </w:tc>
        <w:tc>
          <w:tcPr>
            <w:tcW w:w="8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of CATCH, Massachusetts General Hospital</w:t>
            </w:r>
          </w:p>
        </w:tc>
        <w:tc>
          <w:tcPr>
            <w:tcW w:w="0" w:type="dxa"/>
            <w:vAlign w:val="bottom"/>
          </w:tcPr>
          <w:p>
            <w:pPr>
              <w:spacing w:after="0"/>
              <w:rPr>
                <w:sz w:val="1"/>
                <w:szCs w:val="1"/>
                <w:color w:val="auto"/>
              </w:rPr>
            </w:pPr>
          </w:p>
        </w:tc>
      </w:tr>
      <w:tr>
        <w:trPr>
          <w:trHeight w:val="270"/>
        </w:trPr>
        <w:tc>
          <w:tcPr>
            <w:tcW w:w="3320" w:type="dxa"/>
            <w:vAlign w:val="bottom"/>
            <w:gridSpan w:val="2"/>
          </w:tcPr>
          <w:p>
            <w:pPr>
              <w:spacing w:after="0"/>
              <w:rPr>
                <w:sz w:val="20"/>
                <w:szCs w:val="20"/>
                <w:color w:val="auto"/>
              </w:rPr>
            </w:pPr>
            <w:r>
              <w:rPr>
                <w:rFonts w:ascii="Arial" w:cs="Arial" w:eastAsia="Arial" w:hAnsi="Arial"/>
                <w:sz w:val="18"/>
                <w:szCs w:val="18"/>
                <w:color w:val="auto"/>
              </w:rPr>
              <w:t>Jean-Luc Butel</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Director at Takeda, Novo Holdings, and SG Innovate</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Laureen DeBuono</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8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Managing Partner, FLG Partners, Inc.</w:t>
            </w:r>
          </w:p>
        </w:tc>
        <w:tc>
          <w:tcPr>
            <w:tcW w:w="0" w:type="dxa"/>
            <w:vAlign w:val="bottom"/>
          </w:tcPr>
          <w:p>
            <w:pPr>
              <w:spacing w:after="0"/>
              <w:rPr>
                <w:sz w:val="1"/>
                <w:szCs w:val="1"/>
                <w:color w:val="auto"/>
              </w:rPr>
            </w:pPr>
          </w:p>
        </w:tc>
      </w:tr>
      <w:tr>
        <w:trPr>
          <w:trHeight w:val="270"/>
        </w:trPr>
        <w:tc>
          <w:tcPr>
            <w:tcW w:w="3320" w:type="dxa"/>
            <w:vAlign w:val="bottom"/>
            <w:gridSpan w:val="2"/>
          </w:tcPr>
          <w:p>
            <w:pPr>
              <w:spacing w:after="0"/>
              <w:rPr>
                <w:sz w:val="20"/>
                <w:szCs w:val="20"/>
                <w:color w:val="auto"/>
              </w:rPr>
            </w:pPr>
            <w:r>
              <w:rPr>
                <w:rFonts w:ascii="Arial" w:cs="Arial" w:eastAsia="Arial" w:hAnsi="Arial"/>
                <w:sz w:val="18"/>
                <w:szCs w:val="18"/>
                <w:color w:val="auto"/>
              </w:rPr>
              <w:t>Andrew Farquharson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8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Managing Director, InCube Ventures II, LP</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Maulik Nanavaty</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8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SVP and President, Neuromodulation, Boston Scientific</w:t>
            </w:r>
          </w:p>
        </w:tc>
        <w:tc>
          <w:tcPr>
            <w:tcW w:w="0" w:type="dxa"/>
            <w:vAlign w:val="bottom"/>
          </w:tcPr>
          <w:p>
            <w:pPr>
              <w:spacing w:after="0"/>
              <w:rPr>
                <w:sz w:val="1"/>
                <w:szCs w:val="1"/>
                <w:color w:val="auto"/>
              </w:rPr>
            </w:pPr>
          </w:p>
        </w:tc>
      </w:tr>
      <w:tr>
        <w:trPr>
          <w:trHeight w:val="270"/>
        </w:trPr>
        <w:tc>
          <w:tcPr>
            <w:tcW w:w="3320" w:type="dxa"/>
            <w:vAlign w:val="bottom"/>
            <w:gridSpan w:val="2"/>
          </w:tcPr>
          <w:p>
            <w:pPr>
              <w:spacing w:after="0"/>
              <w:rPr>
                <w:sz w:val="20"/>
                <w:szCs w:val="20"/>
                <w:color w:val="auto"/>
              </w:rPr>
            </w:pPr>
            <w:r>
              <w:rPr>
                <w:rFonts w:ascii="Arial" w:cs="Arial" w:eastAsia="Arial" w:hAnsi="Arial"/>
                <w:sz w:val="18"/>
                <w:szCs w:val="18"/>
                <w:color w:val="auto"/>
              </w:rPr>
              <w:t>Lisa Rometty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Independent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-1628140</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-1628140</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i w:val="1"/>
          <w:iCs w:val="1"/>
          <w:color w:val="auto"/>
        </w:rPr>
        <w:t>Talat Imran</w:t>
      </w:r>
      <w:r>
        <w:rPr>
          <w:rFonts w:ascii="Arial" w:cs="Arial" w:eastAsia="Arial" w:hAnsi="Arial"/>
          <w:sz w:val="16"/>
          <w:szCs w:val="16"/>
          <w:color w:val="auto"/>
        </w:rPr>
        <w:t>. Mr. Imran has served as a member of our Board of Directors and our Chief Executive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June 2021. From January 2014 to June 2021, Mr. Imran served as our Vice President, Strategy. Previously, Mr. Imran served as a partner at InCube Ventures, LP, a venture capital company in the healthcare sector, from May 2007 to June 2021, as co-founder and Managing Director of VentureHealth, a healthcare investment company, from December 2012 to June 2021, and as Chief Executive Officer of Venture Web Partners, a web design, development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and hosting firm, from June 2006 to December 2016. He earned a B.A. in Computer Science from the University of California, Santa Cruz. The Nominating and Corporate Governance Committee believes that Mr. Imran’s prior history as chief executive officer positions him to contribute to the Board of Directors his extensive knowledge of the Company and to provide Board continuity</w:t>
      </w:r>
      <w:r>
        <w:rPr>
          <w:rFonts w:ascii="Arial" w:cs="Arial" w:eastAsia="Arial" w:hAnsi="Arial"/>
          <w:sz w:val="17"/>
          <w:szCs w:val="17"/>
          <w:b w:val="1"/>
          <w:bCs w:val="1"/>
          <w:color w:val="auto"/>
        </w:rPr>
        <w:t>.</w:t>
      </w:r>
      <w:r>
        <w:rPr>
          <w:rFonts w:ascii="Arial" w:cs="Arial" w:eastAsia="Arial" w:hAnsi="Arial"/>
          <w:sz w:val="17"/>
          <w:szCs w:val="17"/>
          <w:color w:val="auto"/>
        </w:rPr>
        <w:t xml:space="preserve"> Mr. Imran is the son of Mir Imran, a director and the Chairman of the Company, and a nephew of Mir Hashim, the Company’s Chief Scientific Officer.</w:t>
      </w:r>
    </w:p>
    <w:p>
      <w:pPr>
        <w:spacing w:after="0" w:line="68"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i w:val="1"/>
          <w:iCs w:val="1"/>
          <w:color w:val="auto"/>
        </w:rPr>
        <w:t>Mir Imran</w:t>
      </w:r>
      <w:r>
        <w:rPr>
          <w:rFonts w:ascii="Arial" w:cs="Arial" w:eastAsia="Arial" w:hAnsi="Arial"/>
          <w:sz w:val="17"/>
          <w:szCs w:val="17"/>
          <w:color w:val="auto"/>
        </w:rPr>
        <w:t>. Mr. Imran founded Rani Therapeutics, LLC and has served as a member of our Board of Directors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2012. From February 2012 to June 2021, he served as our President and Chief Executive Officer, and since June 2021, as our Chairman. Since November 2012, Mr. Imran has served as a co-founder and a Managing Director of InCube Ventures, LP and InCube Crowdfunding, LLC, venture capital companies in the healthcare sector. Since 1995, Mr. Imran has also served as the Chairman of InCube Labs, LLC, a research company that he founded. Mr. Imran is a fellow of the American Institute of Medical and Biological Engineers, the National Academy of Engineering and the National Academy of Inventors. Mr. Imran earned a B.S. in Electrical Engineering from Rutgers University, and attended Rutgers Medical School. The Nominating and Corporate Governance Committee believes Mr. Imran is qualified to serve on our Board of Directors because of his experience in the healthcare sector and medical device research and his extensive knowledge of our Company. Mr. Imran is the father of Talat Imran, a director and the Chief Executive Officer of the Company, and a brother of Mir Hashim, the Company’s Chief Scientific Officer.</w:t>
      </w:r>
    </w:p>
    <w:p>
      <w:pPr>
        <w:spacing w:after="0" w:line="7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i w:val="1"/>
          <w:iCs w:val="1"/>
          <w:color w:val="auto"/>
        </w:rPr>
        <w:t>Dennis Ausiello, M.D</w:t>
      </w:r>
      <w:r>
        <w:rPr>
          <w:rFonts w:ascii="Arial" w:cs="Arial" w:eastAsia="Arial" w:hAnsi="Arial"/>
          <w:sz w:val="17"/>
          <w:szCs w:val="17"/>
          <w:color w:val="auto"/>
        </w:rPr>
        <w:t>. Dr. Ausiello has served as a member of our Board of Directors since September 2018.</w:t>
      </w:r>
      <w:r>
        <w:rPr>
          <w:rFonts w:ascii="Arial" w:cs="Arial" w:eastAsia="Arial" w:hAnsi="Arial"/>
          <w:sz w:val="17"/>
          <w:szCs w:val="17"/>
          <w:i w:val="1"/>
          <w:iCs w:val="1"/>
          <w:color w:val="auto"/>
        </w:rPr>
        <w:t xml:space="preserve"> </w:t>
      </w:r>
      <w:r>
        <w:rPr>
          <w:rFonts w:ascii="Arial" w:cs="Arial" w:eastAsia="Arial" w:hAnsi="Arial"/>
          <w:sz w:val="17"/>
          <w:szCs w:val="17"/>
          <w:color w:val="auto"/>
        </w:rPr>
        <w:t>Dr. Ausiello serves as the Director of the Center for Assessment Technology and Continuous Health (CATCH), which he co-founded,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Inc., an RNA interference company, since April 2012, the board of directors of Seres Therapeutics, Inc., a microbiome therapeutics company, since April 2015 and previously served on the board of directors of Pfizer Inc., a pharmaceuticals company. Dr. Ausiello received a B.A. in Biochemistry from Harvard College and an M.D. from the University of Pennsylvania. The Nominating and Corporate Governance Committee believes Dr. Ausiello is qualified to serve on our Board of Directors because of his leadership experience in the medical field, including in finance and research.</w:t>
      </w:r>
    </w:p>
    <w:p>
      <w:pPr>
        <w:spacing w:after="0" w:line="7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i w:val="1"/>
          <w:iCs w:val="1"/>
          <w:color w:val="auto"/>
        </w:rPr>
        <w:t>Jean-Luc Butel</w:t>
      </w:r>
      <w:r>
        <w:rPr>
          <w:rFonts w:ascii="Arial" w:cs="Arial" w:eastAsia="Arial" w:hAnsi="Arial"/>
          <w:sz w:val="17"/>
          <w:szCs w:val="17"/>
          <w:color w:val="auto"/>
        </w:rPr>
        <w:t>. Mr. Butel has served as a member of our Board of Directors since April 2021. Mr. Butel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serves on the board of directors of multiple companies, including Takeda Pharmaceutical Company Limited, a global pharmaceuticals company, since June 2016, Novo Holdings A/S, a life science investment company, since June 2017, JanaCare, a digital health company, since March 2019, and SGInnovate, a start-up investment company, since January 2017. Since June 2015, he has also served as President and Global Healthcare Advisor at K8 Global Pte Ltd., a business consulting firm. Mr. Butel served on the board of directors of Varian Medical Systems Inc., a medical equipment manufacturer, from February 2017 to April 2021, and A*ccelerate Technologies Pte. Ltd., an entity responsible for the commercialization of A*STAR’s IP portfolio, from September 2015 to December 2020. From July 2015 to September 2019, Mr. Butel served on the board of directors of BioMers Pte Ltd., a dental product manufacturer. Mr. Butel served as a member of the Singapore Economic Development Board, from January 2012 to January 2018, and as the Chair of the Finance Committee from March 2017 to March 2018. Mr. Butel also served as a Senior Advisor for the Healthcare Systems and Services group at McKinsey &amp; Company, a management consulting firm, from July 2015 to January 2017. Mr. Butel earned a B.A. from George Washington University and an M.B.A from Thunderbird School of Global Management. The Nominating and Corporate Governance Committee believes Mr. Butel is qualified to serve on our Board of Directors because of his leadership experience in healthcare companies.</w:t>
      </w:r>
    </w:p>
    <w:p>
      <w:pPr>
        <w:spacing w:after="0" w:line="7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i w:val="1"/>
          <w:iCs w:val="1"/>
          <w:color w:val="auto"/>
        </w:rPr>
        <w:t>Laureen DeBuono</w:t>
      </w:r>
      <w:r>
        <w:rPr>
          <w:rFonts w:ascii="Arial" w:cs="Arial" w:eastAsia="Arial" w:hAnsi="Arial"/>
          <w:sz w:val="18"/>
          <w:szCs w:val="18"/>
          <w:color w:val="auto"/>
        </w:rPr>
        <w:t>. Ms. DeBuono has served as a member of our Board of Directors since April 2021. Ms. DeBuono</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as a partner of FLG Partners, LLC, a financial consulting and advisory firm, since October 2011 and, since May 2020, she has served as the firm’s Managing Partner. From August 2018 to December 2019, she also served as Chief Executive Officer and a member of the board of directors of Govino, LLC, a sustainable wine glass distributor. From February 2018 to April 2019, Ms. DeBuono served as the Interim Chief Financial Officer and Advisor to the Chief Executive Officer of HotelTonight, a mobile travel booking company that was acquired in April 2019 by Airbnb, Inc. Prior to this, from May 2017 to February 2018, she served as the Chief Operating Officer for Circa of America, LLC, a private-label textiles company. From January 2014 to January 2017, Ms. DeBuono served as a member of the board of directors of Turtle Beach, a gaming headset company. She also served as an advisor to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319"/>
        <w:spacing w:after="0" w:line="272" w:lineRule="auto"/>
        <w:rPr>
          <w:sz w:val="20"/>
          <w:szCs w:val="20"/>
          <w:color w:val="auto"/>
        </w:rPr>
      </w:pPr>
      <w:r>
        <w:rPr>
          <w:rFonts w:ascii="Arial" w:cs="Arial" w:eastAsia="Arial" w:hAnsi="Arial"/>
          <w:sz w:val="17"/>
          <w:szCs w:val="17"/>
          <w:color w:val="auto"/>
        </w:rPr>
        <w:t>Chief Executive Officer and board of directors of BuildDirect Technologies Inc., a Vancouver-based building goods company, from September 2016 to January 2017. From July 2014 to September 2016, she served as an Advisor to the board of directors and Interim Chief Financial Officer of Rodan &amp; Fields, LLC, a premium skincare company. Ms. DeBuono earned a B.A. from Duke University, an M.A. from Stanford University and a J.D. from New York University School of Law. The Nominating and Corporate Governance Committee believes Ms. DeBuono is qualified to serve on our Board of Directors because of her financial management experience and experience in the healthcare and medical technology industries.</w:t>
      </w:r>
    </w:p>
    <w:p>
      <w:pPr>
        <w:spacing w:after="0" w:line="69"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i w:val="1"/>
          <w:iCs w:val="1"/>
          <w:color w:val="auto"/>
        </w:rPr>
        <w:t>Andrew Farquharson</w:t>
      </w:r>
      <w:r>
        <w:rPr>
          <w:rFonts w:ascii="Arial" w:cs="Arial" w:eastAsia="Arial" w:hAnsi="Arial"/>
          <w:sz w:val="16"/>
          <w:szCs w:val="16"/>
          <w:color w:val="auto"/>
        </w:rPr>
        <w:t>. Mr. Farquharson has served as a member of our Board of Directors since June 2012. Since</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2008, he has served as a Managing Director of InCube Ventures, LP, a venture capital firm in the healthcare sector that he co-founded. Mr. Farquharson is also the co-founder of VH Moll, and has been a Kauffman Fellow since 2006. Prior to entering venture capital, he served as Executive Vice President of Operon Technologies and held various roles within Genentech. Mr. Farquharson continues to serve on the boards of several private companies. Mr. Farquharson earned a B.A. from the University of California, Berkeley and an M.B.A. from Harvard Business School. The Nominating and Corporate Governance Committee believes Mr. Farquharson is qualified to serve on our Board of Directors because of his experience in the healthcare sector and extensive knowledge of our Company.</w:t>
      </w:r>
    </w:p>
    <w:p>
      <w:pPr>
        <w:spacing w:after="0" w:line="57"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i w:val="1"/>
          <w:iCs w:val="1"/>
          <w:color w:val="auto"/>
        </w:rPr>
        <w:t>Maulik Nanavaty</w:t>
      </w:r>
      <w:r>
        <w:rPr>
          <w:rFonts w:ascii="Arial" w:cs="Arial" w:eastAsia="Arial" w:hAnsi="Arial"/>
          <w:sz w:val="18"/>
          <w:szCs w:val="18"/>
          <w:color w:val="auto"/>
        </w:rPr>
        <w:t>. Dr. Nanavaty has served as a member of our Board of Directors since June 2016. Dr. Nanavaty</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as Senior Vice President and President, Neuromodulation, at Boston Scientific Corporation, a medical device company, since September 2011. Prior to this he served as President of Boston Scientific Japan and as Vice President and General Manager, Interventional Cardiology, Boston Scientific Japan. Dr. Nanavaty joined Boston Scientific in 2005 as Vice President, Corporate Strategy, Boston Scientific Japan. Prior to joining Boston Scientific, Dr. Nanavaty spent 16 years working in various executive positions at Baxter International, Inc., a healthcare products company. Dr. Nanavaty holds a Ph.D. in Pharmaceutical Sciences from the University of Illinois and an M.B.A. from the University of Chicago. The Nominating and Corporate Governance Committee believes Dr. Nanavaty is qualified to serve on our Board of Directors because of his extensive experience in the medical device industry.</w:t>
      </w:r>
    </w:p>
    <w:p>
      <w:pPr>
        <w:spacing w:after="0" w:line="86"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i w:val="1"/>
          <w:iCs w:val="1"/>
          <w:color w:val="auto"/>
        </w:rPr>
        <w:t>Lisa Rometty</w:t>
      </w:r>
      <w:r>
        <w:rPr>
          <w:rFonts w:ascii="Arial" w:cs="Arial" w:eastAsia="Arial" w:hAnsi="Arial"/>
          <w:sz w:val="16"/>
          <w:szCs w:val="16"/>
          <w:color w:val="auto"/>
        </w:rPr>
        <w:t>. Ms. Rometty has served as a member of our Board of Directors since January 2022. Ms. Rometty</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President of CVS Kidney Care, LLC, a subsidiary of CVS Health, Inc. focused on creating new products and services to slow the progression of chronic kidney disease, from August 2020 to June 2022. From July 2019 to August 2020, Ms. Rometty served as President, Global Client Solutions at Syneos Health, a public biopharmaceutical company. Prior to that, Ms. Rometty served as Vice President and General Manager of Oncology, Life Sciences and Personal Health-Watson Health and as Vice President and General Manager, Global Markets-Watson Health at IBM from January 2018 to July 2019 and October 2015 to December 2017, respectively. Ms. Rometty holds a B.S. in International Business from Michigan State University and an M.B.A. from the University of Notre Dame. The Nominating and Corporate Governance Committee believes Ms. Rometty is qualified to serve on our Board of Directors because of her leadership experience in the healthcare industry.</w:t>
      </w:r>
    </w:p>
    <w:p>
      <w:pPr>
        <w:spacing w:after="0" w:line="11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ecommends</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ach</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amed</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ominee</w:t>
      </w:r>
      <w:r>
        <w:rPr>
          <w:rFonts w:ascii="Arial" w:cs="Arial" w:eastAsia="Arial" w:hAnsi="Arial"/>
          <w:sz w:val="18"/>
          <w:szCs w:val="18"/>
          <w:b w:val="1"/>
          <w:bCs w:val="1"/>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oard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iversity</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Due to the global and complex nature of our business, the Board believes it is important to consider diversity of race, ethnicity, gender, sexual orientation, gender identity, age, education, cultural background, and professional experiences in evaluating board candidates in order to provide practical insights and diverse perspectives. Below is an overview of our director nominee diversity. The Board Diversity Matrix, below, provides diversity statistics for our Board of Directors.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oard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iversity</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atrix</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3320" w:type="dxa"/>
            <w:vAlign w:val="bottom"/>
            <w:gridSpan w:val="3"/>
          </w:tcPr>
          <w:p>
            <w:pPr>
              <w:ind w:left="100"/>
              <w:spacing w:after="0"/>
              <w:rPr>
                <w:sz w:val="20"/>
                <w:szCs w:val="20"/>
                <w:color w:val="auto"/>
              </w:rPr>
            </w:pPr>
            <w:r>
              <w:rPr>
                <w:rFonts w:ascii="Arial" w:cs="Arial" w:eastAsia="Arial" w:hAnsi="Arial"/>
                <w:sz w:val="18"/>
                <w:szCs w:val="18"/>
                <w:color w:val="auto"/>
              </w:rPr>
              <w:t>(as of March 30, 2023)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280" w:type="dxa"/>
            <w:vAlign w:val="bottom"/>
          </w:tcPr>
          <w:p>
            <w:pPr>
              <w:spacing w:after="0"/>
              <w:rPr>
                <w:sz w:val="20"/>
                <w:szCs w:val="20"/>
                <w:color w:val="auto"/>
              </w:rPr>
            </w:pPr>
            <w:r>
              <w:rPr>
                <w:rFonts w:ascii="Arial" w:cs="Arial" w:eastAsia="Arial" w:hAnsi="Arial"/>
                <w:sz w:val="18"/>
                <w:szCs w:val="18"/>
                <w:color w:val="auto"/>
              </w:rPr>
              <w:t>Total Number of Directors</w:t>
            </w:r>
          </w:p>
        </w:tc>
        <w:tc>
          <w:tcPr>
            <w:tcW w:w="2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jc w:val="center"/>
              <w:ind w:left="70"/>
              <w:spacing w:after="0"/>
              <w:rPr>
                <w:sz w:val="20"/>
                <w:szCs w:val="20"/>
                <w:color w:val="auto"/>
              </w:rPr>
            </w:pPr>
            <w:r>
              <w:rPr>
                <w:rFonts w:ascii="Arial" w:cs="Arial" w:eastAsia="Arial" w:hAnsi="Arial"/>
                <w:sz w:val="18"/>
                <w:szCs w:val="18"/>
                <w:color w:val="auto"/>
                <w:w w:val="99"/>
              </w:rPr>
              <w:t>9</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28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Non-</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Did Not</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Female</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Male</w:t>
            </w:r>
          </w:p>
        </w:tc>
        <w:tc>
          <w:tcPr>
            <w:tcW w:w="2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Disclose</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Binary</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7"/>
              </w:rPr>
              <w:t>Gender</w:t>
            </w:r>
          </w:p>
        </w:tc>
        <w:tc>
          <w:tcPr>
            <w:tcW w:w="0" w:type="dxa"/>
            <w:vAlign w:val="bottom"/>
          </w:tcPr>
          <w:p>
            <w:pPr>
              <w:spacing w:after="0"/>
              <w:rPr>
                <w:sz w:val="1"/>
                <w:szCs w:val="1"/>
                <w:color w:val="auto"/>
              </w:rPr>
            </w:pPr>
          </w:p>
        </w:tc>
      </w:tr>
      <w:tr>
        <w:trPr>
          <w:trHeight w:val="53"/>
        </w:trPr>
        <w:tc>
          <w:tcPr>
            <w:tcW w:w="3280" w:type="dxa"/>
            <w:vAlign w:val="bottom"/>
            <w:tcBorders>
              <w:bottom w:val="single" w:sz="8" w:color="CCEEFF"/>
            </w:tcBorders>
          </w:tcPr>
          <w:p>
            <w:pPr>
              <w:spacing w:after="0"/>
              <w:rPr>
                <w:sz w:val="4"/>
                <w:szCs w:val="4"/>
                <w:color w:val="auto"/>
              </w:rPr>
            </w:pPr>
          </w:p>
        </w:tc>
        <w:tc>
          <w:tcPr>
            <w:tcW w:w="26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Part I: Gender Identity</w:t>
            </w:r>
          </w:p>
        </w:tc>
        <w:tc>
          <w:tcPr>
            <w:tcW w:w="26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Directors</w:t>
            </w:r>
          </w:p>
        </w:tc>
        <w:tc>
          <w:tcPr>
            <w:tcW w:w="3060" w:type="dxa"/>
            <w:vAlign w:val="bottom"/>
            <w:gridSpan w:val="2"/>
          </w:tcPr>
          <w:p>
            <w:pPr>
              <w:jc w:val="right"/>
              <w:ind w:right="73"/>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3"/>
                <w:szCs w:val="23"/>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3"/>
                <w:szCs w:val="23"/>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Part II: Demographic Background</w:t>
            </w:r>
          </w:p>
        </w:tc>
        <w:tc>
          <w:tcPr>
            <w:tcW w:w="26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African American or Black</w:t>
            </w:r>
          </w:p>
        </w:tc>
        <w:tc>
          <w:tcPr>
            <w:tcW w:w="2600" w:type="dxa"/>
            <w:vAlign w:val="bottom"/>
          </w:tcPr>
          <w:p>
            <w:pPr>
              <w:spacing w:after="0"/>
              <w:rPr>
                <w:sz w:val="23"/>
                <w:szCs w:val="2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Alaskan Native or Native American</w:t>
            </w:r>
          </w:p>
        </w:tc>
        <w:tc>
          <w:tcPr>
            <w:tcW w:w="26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Asian</w:t>
            </w:r>
          </w:p>
        </w:tc>
        <w:tc>
          <w:tcPr>
            <w:tcW w:w="2600" w:type="dxa"/>
            <w:vAlign w:val="bottom"/>
          </w:tcPr>
          <w:p>
            <w:pPr>
              <w:spacing w:after="0"/>
              <w:rPr>
                <w:sz w:val="23"/>
                <w:szCs w:val="2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3"/>
                <w:szCs w:val="23"/>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Hispanic or Latinx</w:t>
            </w:r>
          </w:p>
        </w:tc>
        <w:tc>
          <w:tcPr>
            <w:tcW w:w="26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Native Hawaiian or Pacific Islander</w:t>
            </w:r>
          </w:p>
        </w:tc>
        <w:tc>
          <w:tcPr>
            <w:tcW w:w="2600" w:type="dxa"/>
            <w:vAlign w:val="bottom"/>
          </w:tcPr>
          <w:p>
            <w:pPr>
              <w:spacing w:after="0"/>
              <w:rPr>
                <w:sz w:val="23"/>
                <w:szCs w:val="2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White</w:t>
            </w:r>
          </w:p>
        </w:tc>
        <w:tc>
          <w:tcPr>
            <w:tcW w:w="30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Two or More Races or Ethnicities</w:t>
            </w:r>
          </w:p>
        </w:tc>
        <w:tc>
          <w:tcPr>
            <w:tcW w:w="2600" w:type="dxa"/>
            <w:vAlign w:val="bottom"/>
          </w:tcPr>
          <w:p>
            <w:pPr>
              <w:spacing w:after="0"/>
              <w:rPr>
                <w:sz w:val="23"/>
                <w:szCs w:val="2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LGBTQ+</w:t>
            </w:r>
          </w:p>
        </w:tc>
        <w:tc>
          <w:tcPr>
            <w:tcW w:w="26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w w:val="94"/>
              </w:rPr>
              <w:t>Did Not Disclose Demographic Background</w:t>
            </w:r>
          </w:p>
        </w:tc>
        <w:tc>
          <w:tcPr>
            <w:tcW w:w="2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-2451100</wp:posOffset>
            </wp:positionV>
            <wp:extent cx="1714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-2451100</wp:posOffset>
            </wp:positionV>
            <wp:extent cx="1714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-2451100</wp:posOffset>
            </wp:positionV>
            <wp:extent cx="1714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-2451100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ndependence of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p>
    <w:p>
      <w:pPr>
        <w:spacing w:after="0" w:line="12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68"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Nasdaq listing standards: Dr. Ausiello, Dr. Nanavaty, Mr. Butel, Ms. DeBuono, Ms. Baranowski and Ms. Rometty. In making this determination, the Board found that none of these directors or nominees for director had a material or other disqualifying relationship with the Company.</w:t>
      </w:r>
    </w:p>
    <w:p>
      <w:pPr>
        <w:spacing w:after="0" w:line="70"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In making these determinations, the Board of Directors considered the current and prior relationships that each non-employee director has with the Company and all other facts and circumstances our Board deemed relevant in determining their independence, including the beneficial ownership of our capital stock by each non-employee director and the transactions involving them described in the section titled “Certain Related Person Transactions.” Additionally, in determining the independence of Ms. Baranowski, the Board took into account an equity award made by Rani Therapeutics, LLC, a subsidiary of the Company, (“Rani LLC”) to Ms. Baranowski in exchange for certain consulting services provided in 2020 through February 2021. The Board does not believe that this transaction would interfere with Ms. Baranowski’s exercise of independent judgment in carrying out her responsibilities as a director.</w:t>
      </w:r>
    </w:p>
    <w:p>
      <w:pPr>
        <w:spacing w:after="0" w:line="88"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Based on this review, the Board affirmatively determined that all of the directors nominated for election at the annual meeting (other than Mir Imran and Talat Imran, who are not considered independent because they are or were executive officers of the Company, and Andrew Farquharson, who is not considered independent because of his affiliation with multiple entities with whom Mir Imran and/or Talat Imran are also affiliated), are independent under the standards set forth in the Company’s Corporate Governance Guidelines and applicable Nasdaq rules.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oard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eadership</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tructure</w:t>
      </w:r>
    </w:p>
    <w:p>
      <w:pPr>
        <w:spacing w:after="0" w:line="12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The Company’s Board of Directors is currently chaired by Mir Imran, the Company’s founder and former Chief Executive Officer. The role of Chief Executive Officer is held by Talat Imran and the Board has also appointed Ms. DeBuono as lead independent director.</w:t>
      </w:r>
    </w:p>
    <w:p>
      <w:pPr>
        <w:spacing w:after="0" w:line="76"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The Company believes that separation of the positions of Chairman and Chief Executive Officer reinforces the independence of the Board in its oversight of the business and affairs of the Company. The Company also believes that it is advantageous to have a Chairman with an extensive history with and knowledge of the Company (as is the case with the Company’s former Chief Executive Officer). The Company also believes that having a lead independent director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separating the positions of Chief Executive Officer and Chairman, and having a lead independent director, can enhance the effectiveness of the Board as a whole.</w:t>
      </w:r>
    </w:p>
    <w:p>
      <w:pPr>
        <w:spacing w:after="0" w:line="73"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The Board appointed Ms. DeBuono as the lead independent director to help reinforce the independence of the Board as a whole. The lead independent director is empowered to, among other duties and responsibilities, approve agendas and meeting schedules for regular Board meetings, preside over Board meetings in the absence of the chairperson, preside over and establish the agendas for meetings of the independent directors, act as liaison between the chairperson and the independent directors, approve information sent to the Board, preside over any portions of Board meetings at which the evaluation or compensation of the Chief Executive Officer is presented or discussed and, as appropriate upon request, act as a liaison to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positioned to build a consensus among directors and to serve as a conduit between the other independent directors and the chairperson and Chief Executive Officer, for example, by facilitating the inclusion on meeting agendas of matters of concern to the independent directors. In light of the Chairman’s and Chief Executive Officer’s extensive history with and knowledge of the Company, and because the Board’s lead independent director is empowered to play a significant role in the Board’s leadership and in reinforcing the independence of the Board, the Company believes that it is advantageous for the Company to separate the roles of Chairman, Chief Executive Officer and lead independent director.</w:t>
      </w:r>
    </w:p>
    <w:p>
      <w:pPr>
        <w:spacing w:after="0" w:line="3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ole of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in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isk</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versight</w:t>
      </w:r>
    </w:p>
    <w:p>
      <w:pPr>
        <w:spacing w:after="0" w:line="12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The Board of Directors is responsible for general oversight of risks and regular review of information regarding the Company’s risks, including credit risks, liquidity risks and operational risks, as well as providing strategic guidance to the senior management of the Company. The Compensation Committee is responsible for overseeing the management of risks relating to the Company’s executive and employee compensation plans and arrangements. The Audit Committee is responsible for overseeing the management of risks relating to financial risk management and financial risk assessment, including the Company’s major financial risk exposures. The Nominating and Corporate Governance Committee is responsible for overseeing the management of risks associated with the independence of the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The Board of Directors believes its administration of its risk oversight function has not negatively affected the Board of Directors’ leadership structure.</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eetings of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p>
    <w:p>
      <w:pPr>
        <w:spacing w:after="0" w:line="12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The Board of Directors met five times during the last fiscal year. Each Board member attended 75% or more of the aggregate number of meetings of the Board and of the committees on which he or she served, held during the portion of the last fiscal year for which he or she was a director or committee member.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egarding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ommittees of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Board has three committees: an Audit Committee, a Compensation Committee and a Nominating and Corporate Governance Committee. The following table provides membership and meeting information for fiscal year 2022 for each of the Board committees:</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Nominating and</w:t>
            </w:r>
          </w:p>
        </w:tc>
        <w:tc>
          <w:tcPr>
            <w:tcW w:w="0" w:type="dxa"/>
            <w:vAlign w:val="bottom"/>
          </w:tcPr>
          <w:p>
            <w:pPr>
              <w:spacing w:after="0"/>
              <w:rPr>
                <w:sz w:val="1"/>
                <w:szCs w:val="1"/>
                <w:color w:val="auto"/>
              </w:rPr>
            </w:pPr>
          </w:p>
        </w:tc>
      </w:tr>
      <w:tr>
        <w:trPr>
          <w:trHeight w:val="148"/>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Audit</w:t>
            </w: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Compensation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86"/>
        </w:trPr>
        <w:tc>
          <w:tcPr>
            <w:tcW w:w="582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53"/>
        </w:trPr>
        <w:tc>
          <w:tcPr>
            <w:tcW w:w="56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Talat Imran</w:t>
            </w:r>
          </w:p>
        </w:tc>
        <w:tc>
          <w:tcPr>
            <w:tcW w:w="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Mir Imran</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Dennis Ausiello</w:t>
            </w:r>
          </w:p>
        </w:tc>
        <w:tc>
          <w:tcPr>
            <w:tcW w:w="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5820" w:type="dxa"/>
            <w:vAlign w:val="bottom"/>
            <w:gridSpan w:val="2"/>
          </w:tcPr>
          <w:p>
            <w:pPr>
              <w:spacing w:after="0" w:line="324" w:lineRule="exact"/>
              <w:rPr>
                <w:sz w:val="20"/>
                <w:szCs w:val="20"/>
                <w:color w:val="auto"/>
              </w:rPr>
            </w:pPr>
            <w:r>
              <w:rPr>
                <w:rFonts w:ascii="Arial" w:cs="Arial" w:eastAsia="Arial" w:hAnsi="Arial"/>
                <w:sz w:val="18"/>
                <w:szCs w:val="18"/>
                <w:color w:val="auto"/>
              </w:rPr>
              <w:t>Lyn Baranowski</w:t>
            </w:r>
            <w:r>
              <w:rPr>
                <w:rFonts w:ascii="Arial" w:cs="Arial" w:eastAsia="Arial" w:hAnsi="Arial"/>
                <w:sz w:val="29"/>
                <w:szCs w:val="29"/>
                <w:color w:val="auto"/>
                <w:vertAlign w:val="superscript"/>
              </w:rPr>
              <w:t>(1)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Jean-Luc Butel</w:t>
            </w:r>
          </w:p>
        </w:tc>
        <w:tc>
          <w:tcPr>
            <w:tcW w:w="540" w:type="dxa"/>
            <w:vAlign w:val="bottom"/>
            <w:gridSpan w:val="2"/>
            <w:shd w:val="clear" w:color="auto" w:fill="CCEEFF"/>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ind w:left="440"/>
              <w:spacing w:after="0" w:line="324"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324"/>
        </w:trPr>
        <w:tc>
          <w:tcPr>
            <w:tcW w:w="5820" w:type="dxa"/>
            <w:vAlign w:val="bottom"/>
            <w:gridSpan w:val="2"/>
          </w:tcPr>
          <w:p>
            <w:pPr>
              <w:spacing w:after="0"/>
              <w:rPr>
                <w:sz w:val="20"/>
                <w:szCs w:val="20"/>
                <w:color w:val="auto"/>
              </w:rPr>
            </w:pPr>
            <w:r>
              <w:rPr>
                <w:rFonts w:ascii="Arial" w:cs="Arial" w:eastAsia="Arial" w:hAnsi="Arial"/>
                <w:sz w:val="18"/>
                <w:szCs w:val="18"/>
                <w:color w:val="auto"/>
              </w:rPr>
              <w:t>Laureen DeBuono</w:t>
            </w:r>
          </w:p>
        </w:tc>
        <w:tc>
          <w:tcPr>
            <w:tcW w:w="540" w:type="dxa"/>
            <w:vAlign w:val="bottom"/>
            <w:gridSpan w:val="2"/>
          </w:tcPr>
          <w:p>
            <w:pPr>
              <w:ind w:left="100"/>
              <w:spacing w:after="0" w:line="324"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29"/>
                <w:szCs w:val="29"/>
                <w:color w:val="auto"/>
                <w:vertAlign w:val="superscript"/>
              </w:rPr>
              <w:t>*</w:t>
            </w:r>
          </w:p>
        </w:tc>
        <w:tc>
          <w:tcPr>
            <w:tcW w:w="1060" w:type="dxa"/>
            <w:vAlign w:val="bottom"/>
            <w:gridSpan w:val="2"/>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Andrew Farquharson</w:t>
            </w:r>
          </w:p>
        </w:tc>
        <w:tc>
          <w:tcPr>
            <w:tcW w:w="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2"/>
          </w:tcPr>
          <w:p>
            <w:pPr>
              <w:spacing w:after="0"/>
              <w:rPr>
                <w:sz w:val="20"/>
                <w:szCs w:val="20"/>
                <w:color w:val="auto"/>
              </w:rPr>
            </w:pPr>
            <w:r>
              <w:rPr>
                <w:rFonts w:ascii="Arial" w:cs="Arial" w:eastAsia="Arial" w:hAnsi="Arial"/>
                <w:sz w:val="18"/>
                <w:szCs w:val="18"/>
                <w:color w:val="auto"/>
              </w:rPr>
              <w:t>Maulik Nanavaty</w:t>
            </w:r>
          </w:p>
        </w:tc>
        <w:tc>
          <w:tcPr>
            <w:tcW w:w="540" w:type="dxa"/>
            <w:vAlign w:val="bottom"/>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gridSpan w:val="2"/>
          </w:tcPr>
          <w:p>
            <w:pPr>
              <w:ind w:left="380"/>
              <w:spacing w:after="0" w:line="324"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29"/>
                <w:szCs w:val="29"/>
                <w:color w:val="auto"/>
                <w:vertAlign w:val="superscript"/>
              </w:rPr>
              <w: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Lisa Rometty</w:t>
            </w:r>
            <w:r>
              <w:rPr>
                <w:rFonts w:ascii="Arial" w:cs="Arial" w:eastAsia="Arial" w:hAnsi="Arial"/>
                <w:sz w:val="29"/>
                <w:szCs w:val="29"/>
                <w:color w:val="auto"/>
                <w:vertAlign w:val="superscript"/>
              </w:rPr>
              <w:t>(2)</w:t>
            </w:r>
          </w:p>
        </w:tc>
        <w:tc>
          <w:tcPr>
            <w:tcW w:w="540" w:type="dxa"/>
            <w:vAlign w:val="bottom"/>
            <w:gridSpan w:val="2"/>
            <w:shd w:val="clear" w:color="auto" w:fill="CCEEFF"/>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Total meetings in fiscal year 2022</w:t>
            </w:r>
          </w:p>
        </w:tc>
        <w:tc>
          <w:tcPr>
            <w:tcW w:w="360" w:type="dxa"/>
            <w:vAlign w:val="bottom"/>
          </w:tcPr>
          <w:p>
            <w:pPr>
              <w:ind w:left="1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3"/>
                <w:szCs w:val="23"/>
                <w:color w:val="auto"/>
              </w:rPr>
            </w:pPr>
          </w:p>
        </w:tc>
        <w:tc>
          <w:tcPr>
            <w:tcW w:w="900" w:type="dxa"/>
            <w:vAlign w:val="bottom"/>
          </w:tcPr>
          <w:p>
            <w:pPr>
              <w:jc w:val="right"/>
              <w:ind w:right="294"/>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-2039620</wp:posOffset>
            </wp:positionV>
            <wp:extent cx="102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-2039620</wp:posOffset>
            </wp:positionV>
            <wp:extent cx="111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-2039620</wp:posOffset>
            </wp:positionV>
            <wp:extent cx="1200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1" w:lineRule="exact"/>
        <w:rPr>
          <w:sz w:val="20"/>
          <w:szCs w:val="20"/>
          <w:color w:val="auto"/>
        </w:rPr>
      </w:pPr>
    </w:p>
    <w:p>
      <w:pPr>
        <w:ind w:left="640" w:hanging="34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Committee Chairperson</w:t>
      </w:r>
    </w:p>
    <w:p>
      <w:pPr>
        <w:spacing w:after="0" w:line="42" w:lineRule="exact"/>
        <w:rPr>
          <w:sz w:val="20"/>
          <w:szCs w:val="20"/>
          <w:color w:val="auto"/>
        </w:rPr>
      </w:pPr>
    </w:p>
    <w:p>
      <w:pPr>
        <w:ind w:left="640" w:right="319" w:hanging="348"/>
        <w:spacing w:after="0" w:line="253"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the date of the 2023 annual meeting of stockholders, Ms. Baranowski will cease to be a member of the Compensation Committee and the Nominating and Corporate Governance Committee.</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Ms. Rometty was appointed to the Audit Committee in November 2022.</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Below is a description of each committee of the Board of Directors.</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Board of Directors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Audit Committee of the Board of Directors was established by the Board in accordance with Section 3(a)(58)</w:t>
      </w:r>
    </w:p>
    <w:p>
      <w:pPr>
        <w:spacing w:after="0" w:line="46" w:lineRule="exact"/>
        <w:rPr>
          <w:sz w:val="20"/>
          <w:szCs w:val="20"/>
          <w:color w:val="auto"/>
        </w:rPr>
      </w:pPr>
    </w:p>
    <w:p>
      <w:pPr>
        <w:jc w:val="both"/>
        <w:ind w:left="300" w:right="299" w:hanging="8"/>
        <w:spacing w:after="0" w:line="283"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of the Securities Exchange Act of 1934, as amended (the “Exchange Act”), to oversee the Company’s corporate accounting and financial reporting processes, systems of internal control over financial reporting, and audits of its financial statements. For this purpose, the Audit Committee performs several functions. The Audit Committee evaluates the performance of and assesses the qualifications of the independent registered public accounting firm; determines and approves the engagement of the independent registered public accounting firm; determines whether to retain or terminate the existing independent registered public accounting firm or to appoint and engage a different independent registered public accounting firm; determines and approves the retention of the independent registered public accounting firm to perform any proposed permissible non-audit services; monitors the rotation of partners of the independent registered public accounting firm on the Company’s audit engagement team as required by law and considers any relationships of the independent registered public accounting firm that may affect the independent registered public accounting firm independence; reviews and approves or disapproves transactions between the company and any related persons; confers with management and the independent registered public accounting firm regarding the scope, adequacy and effectiveness of internal control over financial reporting; establishes procedures, when and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meets to review with management and the independent registered public accounting firm significant issues that arise regarding accounting principles and financial statement presentation; and meets to review the Company’s annual audited financial statements and quarterly financial statements with management and the independent registered public accounting firm, including a review of the Company’s disclosures under “Management’s Discussion and Analysis of Financial Condition and Results of Operations.”</w:t>
      </w:r>
    </w:p>
    <w:p>
      <w:pPr>
        <w:spacing w:after="0" w:line="74"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The Audit Committee is composed of four directors: Mr. Butel, Ms. DeBuono, Mr. Nanavaty and Ms. Rometty. The Audit Committee met four times during the fiscal year ended December 31, 2022. The Board has adopted a written Audit Committee charter that is available to stockholders on the Company’s website at ir.ranitherapeutics.com.</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The Board of Directors reviews the Nasdaq listing standards definition of independence for Audit Committee members on a quarterly basis and has determined that all members of the Company’s Audit Committee are independent (as independence is currently defined in Rule 5605(c)(2)(A)(i) and (ii) of the Nasdaq listing standards).</w:t>
      </w:r>
    </w:p>
    <w:p>
      <w:pPr>
        <w:spacing w:after="0" w:line="4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Board of Directors has also determined that Ms. DeBuono qualifies as an “audit committee financial expert,” as defined in applicable SEC rules. The Board of Directors made a qualitative assessment of Ms. DeBuono’s level of knowledge and experience based on a number of factors, including her formal education, experience as a chief executive officer and general counsel for public reporting companies and a chief financial officer for several large healthcare companies.</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2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The Audit Committee reviews our financial reporting process on behalf of the Board. Management has the primary responsibility for the preparation and integrity of the consolidated financial statements and the reporting process, including establishing and monitoring the system of internal financial controls. In fulfilling its oversight responsibilities, the Audit Committee hereby reports as follows:</w:t>
      </w:r>
    </w:p>
    <w:p>
      <w:pPr>
        <w:spacing w:after="0" w:line="79" w:lineRule="exact"/>
        <w:rPr>
          <w:sz w:val="20"/>
          <w:szCs w:val="20"/>
          <w:color w:val="auto"/>
        </w:rPr>
      </w:pPr>
    </w:p>
    <w:p>
      <w:pPr>
        <w:ind w:left="1000" w:right="31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Committee has reviewed and discussed the audited consolidated financial statements for the fiscal year ended December 31, 2022 with our management;</w:t>
      </w:r>
    </w:p>
    <w:p>
      <w:pPr>
        <w:spacing w:after="0" w:line="62" w:lineRule="exact"/>
        <w:rPr>
          <w:rFonts w:ascii="Arial" w:cs="Arial" w:eastAsia="Arial" w:hAnsi="Arial"/>
          <w:sz w:val="18"/>
          <w:szCs w:val="18"/>
          <w:color w:val="auto"/>
        </w:rPr>
      </w:pPr>
    </w:p>
    <w:p>
      <w:pPr>
        <w:jc w:val="both"/>
        <w:ind w:left="1000" w:right="299" w:hanging="348"/>
        <w:spacing w:after="0" w:line="254"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Committee has discussed with Ernst &amp; Young LLP, our independent registered public accounting firm, who is responsible for expressing an opinion on the conformity of our consolidated financial statements with generally accepted accounting principles in the United States, its judgments as to the quality, not just the acceptability, of the Company’s accounting principles and such other matters required to be discussed by the applicable requirements of Auditing Standards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issued by the Public Company Accounting Oversight Board (“PCAOB”); and</w:t>
      </w:r>
    </w:p>
    <w:p>
      <w:pPr>
        <w:spacing w:after="0" w:line="86"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and the letter from Ernst &amp; Young LLP required by PCAOB Ethics and Independence Rule 3526, “</w:t>
      </w:r>
      <w:r>
        <w:rPr>
          <w:rFonts w:ascii="Arial" w:cs="Arial" w:eastAsia="Arial" w:hAnsi="Arial"/>
          <w:sz w:val="18"/>
          <w:szCs w:val="18"/>
          <w:i w:val="1"/>
          <w:iCs w:val="1"/>
          <w:color w:val="auto"/>
        </w:rPr>
        <w:t>Communications with Audit Committees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Independence,</w:t>
      </w:r>
      <w:r>
        <w:rPr>
          <w:rFonts w:ascii="Arial" w:cs="Arial" w:eastAsia="Arial" w:hAnsi="Arial"/>
          <w:sz w:val="18"/>
          <w:szCs w:val="18"/>
          <w:color w:val="auto"/>
        </w:rPr>
        <w:t>” regarding the independent registered public accounting firm’s communications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concerning independence and has discussed with Ernst &amp; Young LLP its independence from the Company and management.</w:t>
      </w:r>
    </w:p>
    <w:p>
      <w:pPr>
        <w:spacing w:after="0" w:line="80"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Based on the foregoing, the Audit Committee has recommended to the Board of Directors that the audited consolidated financial statements be included in the Company’s Annual Report on Form 10-K for the fiscal year ended December 31, 2022.</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Respectfully submitted by:</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Mr. Jean-Luc Butel</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Ms. Laureen DeBuono</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Mr. Maulik Nanavaty</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Ms. Lisa Rometty</w:t>
      </w:r>
    </w:p>
    <w:p>
      <w:pPr>
        <w:spacing w:after="0" w:line="103"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*The material in this report is not “soliciting material,” is not deemed “filed” with the Commission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Compensation Committee is composed of three directors: Ms. DeBuono, Mr. Nanavaty and Ms. Baranowski. All members of the Company’s Compensation Committee are independent (as independence is currently defined in Rule 5605(d)(2) of the Nasdaq listing standards). The Compensation Committee met two times during the fiscal year. The Board has adopted a written Compensation Committee charter that is available to stockholders on the Company’s website at ir.ranitherapeutics.com/corporate-governance/governance-overview. As of the date of the 2023 annual meeting of stockholders, Ms. Baranowski will cease to be a member of the Compensation Committee.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spacing w:after="0" w:line="308" w:lineRule="auto"/>
        <w:rPr>
          <w:sz w:val="20"/>
          <w:szCs w:val="20"/>
          <w:color w:val="auto"/>
        </w:rPr>
      </w:pPr>
      <w:r>
        <w:rPr>
          <w:rFonts w:ascii="Arial" w:cs="Arial" w:eastAsia="Arial" w:hAnsi="Arial"/>
          <w:sz w:val="17"/>
          <w:szCs w:val="17"/>
          <w:color w:val="auto"/>
        </w:rPr>
        <w:t>The Compensation Committee of the Board of Directors acts on behalf of the Board to review, recommend for adoption and oversee the Company’s overall compensation strategy, policies, plans and programs, including:</w:t>
      </w:r>
    </w:p>
    <w:p>
      <w:pPr>
        <w:spacing w:after="0" w:line="38" w:lineRule="exact"/>
        <w:rPr>
          <w:sz w:val="20"/>
          <w:szCs w:val="20"/>
          <w:color w:val="auto"/>
        </w:rPr>
      </w:pPr>
    </w:p>
    <w:p>
      <w:pPr>
        <w:jc w:val="both"/>
        <w:ind w:left="1000" w:right="299" w:hanging="348"/>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and recommend to the Board for approval corporate and individual performance objectives relevant to the compensation of the Company’s executive officers, directors and other senior management and evaluation of performance in light of these stated objectives;</w:t>
      </w:r>
    </w:p>
    <w:p>
      <w:pPr>
        <w:spacing w:after="0" w:line="75"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 and recommend to the Board for approval the compensation and other terms of employment or service, including severance and change-in-control arrangements, of the Company’s Chief Executive Officer and evaluation of the Chief Executive Officer’s performance in light of these stated objectives;</w:t>
      </w:r>
    </w:p>
    <w:p>
      <w:pPr>
        <w:spacing w:after="0" w:line="57"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and recommend to the Board the type and amount of compensation to be paid or awarded to Board members;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 the appointment, compensation and work of the compensation consultants, independent legal counsel or other advisors engaged for the purpose of advising the committee;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administer the Company’s equity compensation plans, pension and profit-sharing plans, deferred compensation plans and other similar plan and programs.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Compensation Committee Processes and Procedures</w:t>
      </w:r>
    </w:p>
    <w:p>
      <w:pPr>
        <w:spacing w:after="0" w:line="117"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Typically, the Compensation Committee meets at least two times annually and with greater frequency if necessary. The agenda for each meeting is usually developed by the Chair of the Compensation Committee.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be present during any deliberations or determinations of the Compensation Committee regarding his compensation.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sole authority to approve the consultant’s reasonable fees and other retention terms, all at the expense of the Company. Under the charter, the Compensation Committee may select, or receive advice from, a compensation consultant, independent legal counsel or other advisers to the Compensation Committee, only after taking into consideration six factors, prescribed by the SEC and Nasdaq, that bear upon the adviser’s independence; however, there is no requirement that any adviser be independent.</w:t>
      </w:r>
    </w:p>
    <w:p>
      <w:pPr>
        <w:spacing w:after="0" w:line="6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During the past fiscal year, after taking into consideration the six factors prescribed by the SEC and Nasdaq described above, the Compensation Committee engaged Radford, a division of Aon Consulting, Inc. (“Radford”) as compensation consultants. The Compensation Committee requested that Radford:</w:t>
      </w:r>
    </w:p>
    <w:p>
      <w:pPr>
        <w:spacing w:after="0" w:line="76" w:lineRule="exact"/>
        <w:rPr>
          <w:sz w:val="20"/>
          <w:szCs w:val="20"/>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 the efficacy of the Company’s existing compensation strategy and practices in supporting and reinforcing the Company’s long-term strategic goals;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 in refining the Company’s compensation strategy and in developing and implementing an executive compensation program to execute that strategy.</w:t>
      </w:r>
    </w:p>
    <w:p>
      <w:pPr>
        <w:spacing w:after="0" w:line="62"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As part of its engagement, Radford was requested by the Compensation Committee to develop a comparative group of companies and to perform analyses of competitive performance and compensation levels for that group. At the request of the Compensation Committee, Radford also conducted individual interviews with members of the Compensation Committee and senior management to learn more about the Company’s business operations and strategy, key performance metrics and strategic goals, as well as the labor markets in which the Company competes. Radford ultimately developed recommendations that were presented to the Compensation Committee for its consideration. Following an active dialogue with Radford, the Compensation Committee recommended that the Board of Directors approve the modified recommendations of Radford.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Nominating and Corporate Governance Committee of the Board of Directors is responsible for identifying, reviewing and evaluating candidates to serve as directors of the Company (consistent with criteria approved by the Board), reviewing and evaluating incumbent directors, recommending to the Board candidates for election to the Board of Directors, making recommendations to the Board regarding the membership of the committees of the Board, reviewing and assessing the performance of the Board (including Board committees), and developing a set of corporate governance principles for the Company and reviewing and assessing those principles and their application.</w:t>
      </w:r>
    </w:p>
    <w:p>
      <w:pPr>
        <w:spacing w:after="0" w:line="56"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Nominating and Corporate Governance Committee is composed of three directors: Dr. Ausiello, Mr. Butel and Ms. Baranowski. All members of the Nominating and Corporate Governance Committee are independent (as independence is currently defined in Rule 5605(a)(2) of the Nasdaq listing standards). The Nominating and Corporate Governance Committee met two times during the fiscal year. The Board has adopted a written Nominating and Corporate Governance Committee charter that is available to stockholders on the Company’s website and ir.ranitherapeutics.com/corporate-governance/governance-overview. As of the date of the 2023 annual meeting of stockholders, Ms. Baranowski will cease to be a member of the Nominating and Corporate Governance Committee.</w:t>
      </w:r>
    </w:p>
    <w:p>
      <w:pPr>
        <w:spacing w:after="0" w:line="84"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having a diverse personal background, perspective and experience and having the commitment to rigorously represent the long-term interests of the Company’s stockholders. However, the Board of Directors and/or the Nominating and Corporate Governance Committee may modify these qualifications from time to time. When this occurs, the Board of Directors and the Nominating and Corporate Governance Committee will evaluate existing members according to the new criteria.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diversity of gender, race, ethnicity, age, sexual orientation and gender identity), age, skills and such other factors as it deems appropriate, given the current needs of the Board and the Company, to maintain a balance of knowledge, experience and capability.</w:t>
      </w:r>
    </w:p>
    <w:p>
      <w:pPr>
        <w:spacing w:after="0" w:line="7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76"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The Nominating and Corporate Governance Committee may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Secretary at the Company’s principal executive office not later than the 90th day nor earlier than the close of business on the 120th day prior to the first anniversary of the preceding year’s annual meeting.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the Company’s stock and has been a holder for at least one year. Any such submission must be accompanied by the written consent of the proposed nominee to be named as a nominee and to serve as a director if elected.</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ommunications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ith</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p>
    <w:p>
      <w:pPr>
        <w:spacing w:after="0" w:line="12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Historically, the Company has not provided a formal process related to stockholder communications with the Board. Nevertheless, every effort has been made to ensure that the views of stockholders are heard by the Board or individual directors, as applicable, and that appropriate responses are provided to stockholders in a timely manner. The Company believes its responsiveness to stockholder communications to the Board has been excellent. Nevertheless, during the upcoming year, the Nominating and Corporate Governance Committee will give full consideration to the adoption of a formal process for stockholder communications with the Board and, if adopted, publish it promptly and post it to the Company’s website.</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ode of</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thics</w:t>
      </w:r>
    </w:p>
    <w:p>
      <w:pPr>
        <w:spacing w:after="0" w:line="12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The Company has adopted the Rani Therapeutics Holdings, Inc. Code of Business Conduct and Ethics that applies to all officers, directors and employees. The Code of Business Conduct and Ethics is available on the Company’s website at ir.ranitherapeutics.com/corporate-governance/governance-overview. If the Company makes any substantive amendments to the Code of Business Conduct and Ethics or grants any waiver from a provision of the Code of Business Conduct and Ethics to any executive officer or director, the Company will promptly disclose the nature of the amendment or waiver on its website.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orporate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overnance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uidelines</w:t>
      </w:r>
    </w:p>
    <w:p>
      <w:pPr>
        <w:spacing w:after="0" w:line="12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In June 2021, the Board of Directors documented the governance practices followed by the Company by adopting Corporate Governance Guidelines to assure that the Board will have the necessary authority and practices in place to review and evaluate the Company’s business operations as needed and to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In May 2022, the Board of Directors amended the Corporate Governance Guidelines to add ten-year term limits for non-employee directors; provided however, that if a stockholder beneficially owns more than 50% of the outstanding voting power of the Company then such stockholder may designate a director to whom the term limit would not apply. The Corporate Governance Guidelines, as well as the charters for each committee of the Board, may be viewed at ir.ranitherapeutics.com/corporate-governance/governance-overview.</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rohibition on</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edging</w:t>
      </w:r>
      <w:r>
        <w:rPr>
          <w:rFonts w:ascii="Arial" w:cs="Arial" w:eastAsia="Arial" w:hAnsi="Arial"/>
          <w:sz w:val="18"/>
          <w:szCs w:val="18"/>
          <w:b w:val="1"/>
          <w:bCs w:val="1"/>
          <w:color w:val="auto"/>
        </w:rPr>
        <w:t>, S</w:t>
      </w:r>
      <w:r>
        <w:rPr>
          <w:rFonts w:ascii="Arial" w:cs="Arial" w:eastAsia="Arial" w:hAnsi="Arial"/>
          <w:sz w:val="12"/>
          <w:szCs w:val="12"/>
          <w:b w:val="1"/>
          <w:bCs w:val="1"/>
          <w:color w:val="auto"/>
        </w:rPr>
        <w:t>hort</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ales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ledging</w:t>
      </w:r>
    </w:p>
    <w:p>
      <w:pPr>
        <w:spacing w:after="0" w:line="12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Board of Directors has adopted an insider trading policy that applies to all of our employees, directors and consultants. This policy prohibits hedging or similar transactions designed to decrease the risks associated with holding shares of the Company’s stock. In addition, the insider trading policy prohibits trading in derivative securities related to the Company’s stock, which include publicly traded call and put options, engaging in short selling of the Company’s stock, purchasing the Company’s stock on margin or holding it in a margin account, and pledging the shares as collateral for a loan.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atification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election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ndependent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egistered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ublic</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irm</w:t>
      </w:r>
    </w:p>
    <w:p>
      <w:pPr>
        <w:spacing w:after="0" w:line="12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Audit Committee of the Board of Directors has selected Ernst &amp; Young LLP as the Company’s independent registered public accounting firm for the fiscal year ending December 31, 2023 and has further directed that management submit the selection of its independent registered public accounting firm for ratification by the stockholders at the annual meeting. Ernst &amp; Young LLP has audited the Company’s consolidated financial statements since 2019. Representatives of Ernst &amp; Young LLP are expected to be present at the annual meeting. They will have an opportunity to make a statement if they so desire and will be available to respond to appropriate questions.</w:t>
      </w:r>
    </w:p>
    <w:p>
      <w:pPr>
        <w:spacing w:after="0" w:line="8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Neither the Company’s Bylaws nor other governing documents or law require stockholder ratification of the selection of Ernst &amp; Young LLP as the Company’s independent registered public accounting firm. However, the Audit Committee of the Board is submitting the selection of Ernst &amp; Young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a different independent registered public accounting firm at any time during the year if they determine that such a change would be in the best interests of the Company and its stockholders.</w:t>
      </w:r>
    </w:p>
    <w:p>
      <w:pPr>
        <w:spacing w:after="0" w:line="84"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affirmative vote of the holders of a majority of the voting power of the shares present in person or virtually or represented by proxy and entitled to vote on the matter at the annual meeting will be required to ratify the selection of Ernst &amp; Young LLP as the independent registered public accounting firm of the Company for the fiscal year ending December 31, 2023.</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ccountant</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ees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ervices</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following table represents aggregate fees billed to the Company for the fiscal years ended December 31, 2022 and 2021 by Ernst &amp; Young LLP, the Company’s principal accountant.</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4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Fiscal Year Ended</w:t>
            </w:r>
          </w:p>
        </w:tc>
      </w:tr>
      <w:tr>
        <w:trPr>
          <w:trHeight w:val="53"/>
        </w:trPr>
        <w:tc>
          <w:tcPr>
            <w:tcW w:w="1280" w:type="dxa"/>
            <w:vAlign w:val="bottom"/>
          </w:tcPr>
          <w:p>
            <w:pPr>
              <w:spacing w:after="0"/>
              <w:rPr>
                <w:sz w:val="4"/>
                <w:szCs w:val="4"/>
                <w:color w:val="auto"/>
              </w:rPr>
            </w:pPr>
          </w:p>
        </w:tc>
        <w:tc>
          <w:tcPr>
            <w:tcW w:w="56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5"/>
        </w:trPr>
        <w:tc>
          <w:tcPr>
            <w:tcW w:w="128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500" w:type="dxa"/>
            <w:vAlign w:val="bottom"/>
          </w:tcPr>
          <w:p>
            <w:pPr>
              <w:jc w:val="right"/>
              <w:ind w:right="1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9"/>
                <w:szCs w:val="19"/>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r>
      <w:tr>
        <w:trPr>
          <w:trHeight w:val="52"/>
        </w:trPr>
        <w:tc>
          <w:tcPr>
            <w:tcW w:w="1280" w:type="dxa"/>
            <w:vAlign w:val="bottom"/>
          </w:tcPr>
          <w:p>
            <w:pPr>
              <w:spacing w:after="0"/>
              <w:rPr>
                <w:sz w:val="4"/>
                <w:szCs w:val="4"/>
                <w:color w:val="auto"/>
              </w:rPr>
            </w:pPr>
          </w:p>
        </w:tc>
        <w:tc>
          <w:tcPr>
            <w:tcW w:w="56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5"/>
        </w:trPr>
        <w:tc>
          <w:tcPr>
            <w:tcW w:w="128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4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(in thousands)</w:t>
            </w:r>
          </w:p>
        </w:tc>
      </w:tr>
      <w:tr>
        <w:trPr>
          <w:trHeight w:val="53"/>
        </w:trPr>
        <w:tc>
          <w:tcPr>
            <w:tcW w:w="1280" w:type="dxa"/>
            <w:vAlign w:val="bottom"/>
          </w:tcPr>
          <w:p>
            <w:pPr>
              <w:spacing w:after="0"/>
              <w:rPr>
                <w:sz w:val="4"/>
                <w:szCs w:val="4"/>
                <w:color w:val="auto"/>
              </w:rPr>
            </w:pPr>
          </w:p>
        </w:tc>
        <w:tc>
          <w:tcPr>
            <w:tcW w:w="5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38"/>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$1,167</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$2,337</w:t>
            </w:r>
          </w:p>
        </w:tc>
      </w:tr>
      <w:tr>
        <w:trPr>
          <w:trHeight w:val="270"/>
        </w:trPr>
        <w:tc>
          <w:tcPr>
            <w:tcW w:w="694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1280" w:type="dxa"/>
            <w:vAlign w:val="bottom"/>
          </w:tcPr>
          <w:p>
            <w:pPr>
              <w:spacing w:after="0"/>
              <w:rPr>
                <w:sz w:val="4"/>
                <w:szCs w:val="4"/>
                <w:color w:val="auto"/>
              </w:rPr>
            </w:pPr>
          </w:p>
        </w:tc>
        <w:tc>
          <w:tcPr>
            <w:tcW w:w="5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694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(2)</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24"/>
                <w:szCs w:val="24"/>
                <w:color w:val="auto"/>
              </w:rPr>
            </w:pPr>
          </w:p>
        </w:tc>
      </w:tr>
      <w:tr>
        <w:trPr>
          <w:trHeight w:val="257"/>
        </w:trPr>
        <w:tc>
          <w:tcPr>
            <w:tcW w:w="694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61"/>
        </w:trPr>
        <w:tc>
          <w:tcPr>
            <w:tcW w:w="1280" w:type="dxa"/>
            <w:vAlign w:val="bottom"/>
          </w:tcPr>
          <w:p>
            <w:pPr>
              <w:spacing w:after="0"/>
              <w:rPr>
                <w:sz w:val="5"/>
                <w:szCs w:val="5"/>
                <w:color w:val="auto"/>
              </w:rPr>
            </w:pPr>
          </w:p>
        </w:tc>
        <w:tc>
          <w:tcPr>
            <w:tcW w:w="56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6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$1,167</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$2,537</w:t>
            </w:r>
          </w:p>
        </w:tc>
      </w:tr>
      <w:tr>
        <w:trPr>
          <w:trHeight w:val="162"/>
        </w:trPr>
        <w:tc>
          <w:tcPr>
            <w:tcW w:w="1280" w:type="dxa"/>
            <w:vAlign w:val="bottom"/>
            <w:tcBorders>
              <w:bottom w:val="single" w:sz="8" w:color="auto"/>
            </w:tcBorders>
          </w:tcPr>
          <w:p>
            <w:pPr>
              <w:spacing w:after="0"/>
              <w:rPr>
                <w:sz w:val="14"/>
                <w:szCs w:val="14"/>
                <w:color w:val="auto"/>
              </w:rPr>
            </w:pPr>
          </w:p>
        </w:tc>
        <w:tc>
          <w:tcPr>
            <w:tcW w:w="5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-1353820</wp:posOffset>
            </wp:positionV>
            <wp:extent cx="2825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15" w:lineRule="exact"/>
        <w:rPr>
          <w:sz w:val="20"/>
          <w:szCs w:val="20"/>
          <w:color w:val="auto"/>
        </w:rPr>
      </w:pPr>
    </w:p>
    <w:p>
      <w:pPr>
        <w:jc w:val="both"/>
        <w:ind w:left="640" w:right="299" w:hanging="348"/>
        <w:spacing w:after="0" w:line="233"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Audit Fees consisted of fees and expenses covering the audit of the Company’s consolidated financial statements; review of the interim condensed consolidated financial statements; accounting and financial reporting consultations; and comfort letters, consents and assistance with and review of documents relating to our securities. The audit fees for the year ended December 31, 2021 include services associated with the Company’s initial public offering (“IPO”), which was completed in August 2021.</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Tax Fees consisted of fees and expenses for tax planning services associated with the IPO.</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All fees described above were pre-approved by the Audit Committee.</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re</w:t>
      </w:r>
      <w:r>
        <w:rPr>
          <w:rFonts w:ascii="Arial" w:cs="Arial" w:eastAsia="Arial" w:hAnsi="Arial"/>
          <w:sz w:val="18"/>
          <w:szCs w:val="18"/>
          <w:b w:val="1"/>
          <w:bCs w:val="1"/>
          <w:color w:val="auto"/>
        </w:rPr>
        <w:t>-A</w:t>
      </w:r>
      <w:r>
        <w:rPr>
          <w:rFonts w:ascii="Arial" w:cs="Arial" w:eastAsia="Arial" w:hAnsi="Arial"/>
          <w:sz w:val="12"/>
          <w:szCs w:val="12"/>
          <w:b w:val="1"/>
          <w:bCs w:val="1"/>
          <w:color w:val="auto"/>
        </w:rPr>
        <w:t>pproval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12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Audit Committee has adopted a policy and procedures for the pre-approval of audit and non-audit services rendered by the Company’s independent registered public accounting firm, Ernst &amp; Young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roposal</w:t>
      </w:r>
      <w:r>
        <w:rPr>
          <w:rFonts w:ascii="Arial" w:cs="Arial" w:eastAsia="Arial" w:hAnsi="Arial"/>
          <w:sz w:val="18"/>
          <w:szCs w:val="18"/>
          <w:b w:val="1"/>
          <w:bCs w:val="1"/>
          <w:color w:val="auto"/>
        </w:rPr>
        <w:t xml:space="preserve"> 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103"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The following table sets forth certain information regarding the ownership of the Company’s capital stock as of March 31, 2023 by: (i) each nominee for director; (ii) each of the executive officers named in the Summary Compensation Table; (iii) all executive officers and directors of the Company as a group; and (iv) all those known by the Company to be beneficial owners of more than five percent of its common stock.</w:t>
      </w:r>
    </w:p>
    <w:p>
      <w:pPr>
        <w:spacing w:after="0" w:line="63"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Our Class A common stock entitles holders thereof to one vote per share and our Class B common stock entitles holders thereof to ten votes per share, voting together as a single class.</w:t>
      </w:r>
    </w:p>
    <w:p>
      <w:pPr>
        <w:spacing w:after="0" w:line="62"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Subject to the terms of Rani LLC’s fifth amended and restated limited liability company agreement (“Rani LLC Agreement”), Class A units of Rani LLC together with Class B common stock of the Company (together referred to as a “Paired Interest”) are exchangeable for shares of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holder, the Company redeems or exchanges such Paired Interest pursuant to the terms of the Rani LLC Agreement.</w:t>
      </w:r>
    </w:p>
    <w:p>
      <w:pPr>
        <w:spacing w:after="0" w:line="84"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Subject to the terms of the Rani LLC Agreement, certain individuals who own Class A units of Rani LLC without corresponding shares of Class B common stock of the Company (“non-corresponding Class A units”) have the ability to exchange such Class A units of Rani LLC for shares of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non-corresponding Class A unit of Rani LLC redeemed. Beneficial ownership of Class A units of Rani LLC is not reflected in this table; however, information concerning ownership of Class A units of Rani LLC is included in the footnotes below, where applicable.</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gridSpan w:val="8"/>
          </w:tcPr>
          <w:p>
            <w:pPr>
              <w:ind w:left="520"/>
              <w:spacing w:after="0"/>
              <w:rPr>
                <w:sz w:val="20"/>
                <w:szCs w:val="20"/>
                <w:color w:val="auto"/>
              </w:rPr>
            </w:pPr>
            <w:r>
              <w:rPr>
                <w:rFonts w:ascii="Arial" w:cs="Arial" w:eastAsia="Arial" w:hAnsi="Arial"/>
                <w:sz w:val="14"/>
                <w:szCs w:val="14"/>
                <w:b w:val="1"/>
                <w:bCs w:val="1"/>
                <w:color w:val="auto"/>
              </w:rPr>
              <w:t>Common Stock Beneficially Owned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9"/>
                <w:szCs w:val="19"/>
                <w:color w:val="auto"/>
              </w:rPr>
            </w:pPr>
          </w:p>
        </w:tc>
        <w:tc>
          <w:tcPr>
            <w:tcW w:w="1680" w:type="dxa"/>
            <w:vAlign w:val="bottom"/>
            <w:gridSpan w:val="4"/>
          </w:tcPr>
          <w:p>
            <w:pPr>
              <w:ind w:left="580"/>
              <w:spacing w:after="0"/>
              <w:rPr>
                <w:sz w:val="20"/>
                <w:szCs w:val="20"/>
                <w:color w:val="auto"/>
              </w:rPr>
            </w:pPr>
            <w:r>
              <w:rPr>
                <w:rFonts w:ascii="Arial" w:cs="Arial" w:eastAsia="Arial" w:hAnsi="Arial"/>
                <w:sz w:val="14"/>
                <w:szCs w:val="14"/>
                <w:b w:val="1"/>
                <w:bCs w:val="1"/>
                <w:color w:val="auto"/>
              </w:rPr>
              <w:t>Class B</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Percentage</w:t>
            </w:r>
          </w:p>
        </w:tc>
        <w:tc>
          <w:tcPr>
            <w:tcW w:w="8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Percentage</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48"/>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Beneficial Owner</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Voting</w:t>
            </w:r>
          </w:p>
        </w:tc>
        <w:tc>
          <w:tcPr>
            <w:tcW w:w="0" w:type="dxa"/>
            <w:vAlign w:val="bottom"/>
          </w:tcPr>
          <w:p>
            <w:pPr>
              <w:spacing w:after="0"/>
              <w:rPr>
                <w:sz w:val="1"/>
                <w:szCs w:val="1"/>
                <w:color w:val="auto"/>
              </w:rPr>
            </w:pPr>
          </w:p>
        </w:tc>
      </w:tr>
      <w:tr>
        <w:trPr>
          <w:trHeight w:val="186"/>
        </w:trPr>
        <w:tc>
          <w:tcPr>
            <w:tcW w:w="3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of Shares</w:t>
            </w:r>
          </w:p>
        </w:tc>
        <w:tc>
          <w:tcPr>
            <w:tcW w:w="700" w:type="dxa"/>
            <w:vAlign w:val="bottom"/>
          </w:tcPr>
          <w:p>
            <w:pPr>
              <w:jc w:val="right"/>
              <w:ind w:right="32"/>
              <w:spacing w:after="0"/>
              <w:rPr>
                <w:sz w:val="20"/>
                <w:szCs w:val="20"/>
                <w:color w:val="auto"/>
              </w:rPr>
            </w:pPr>
            <w:r>
              <w:rPr>
                <w:rFonts w:ascii="Arial" w:cs="Arial" w:eastAsia="Arial" w:hAnsi="Arial"/>
                <w:sz w:val="14"/>
                <w:szCs w:val="14"/>
                <w:b w:val="1"/>
                <w:bCs w:val="1"/>
                <w:color w:val="auto"/>
              </w:rPr>
              <w:t>of Total</w:t>
            </w:r>
          </w:p>
        </w:tc>
        <w:tc>
          <w:tcPr>
            <w:tcW w:w="8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of Shares</w:t>
            </w: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of Total</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Power</w:t>
            </w:r>
          </w:p>
        </w:tc>
        <w:tc>
          <w:tcPr>
            <w:tcW w:w="0" w:type="dxa"/>
            <w:vAlign w:val="bottom"/>
          </w:tcPr>
          <w:p>
            <w:pPr>
              <w:spacing w:after="0"/>
              <w:rPr>
                <w:sz w:val="1"/>
                <w:szCs w:val="1"/>
                <w:color w:val="auto"/>
              </w:rPr>
            </w:pPr>
          </w:p>
        </w:tc>
      </w:tr>
      <w:tr>
        <w:trPr>
          <w:trHeight w:val="53"/>
        </w:trPr>
        <w:tc>
          <w:tcPr>
            <w:tcW w:w="3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Arial" w:cs="Arial" w:eastAsia="Arial" w:hAnsi="Arial"/>
                <w:sz w:val="18"/>
                <w:szCs w:val="18"/>
                <w:color w:val="auto"/>
              </w:rPr>
              <w:t>InCube Labs, LLC</w:t>
            </w:r>
            <w:r>
              <w:rPr>
                <w:rFonts w:ascii="Arial" w:cs="Arial" w:eastAsia="Arial" w:hAnsi="Arial"/>
                <w:sz w:val="29"/>
                <w:szCs w:val="29"/>
                <w:color w:val="auto"/>
                <w:vertAlign w:val="superscript"/>
              </w:rPr>
              <w:t>(1)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13,664</w:t>
            </w:r>
          </w:p>
        </w:tc>
        <w:tc>
          <w:tcPr>
            <w:tcW w:w="80" w:type="dxa"/>
            <w:vAlign w:val="bottom"/>
          </w:tcPr>
          <w:p>
            <w:pPr>
              <w:spacing w:after="0"/>
              <w:rPr>
                <w:sz w:val="24"/>
                <w:szCs w:val="24"/>
                <w:color w:val="auto"/>
              </w:rPr>
            </w:pPr>
          </w:p>
        </w:tc>
        <w:tc>
          <w:tcPr>
            <w:tcW w:w="700" w:type="dxa"/>
            <w:vAlign w:val="bottom"/>
          </w:tcPr>
          <w:p>
            <w:pPr>
              <w:jc w:val="center"/>
              <w:ind w:left="15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22,411,124</w:t>
            </w:r>
          </w:p>
        </w:tc>
        <w:tc>
          <w:tcPr>
            <w:tcW w:w="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22,424,788</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24"/>
        </w:trPr>
        <w:tc>
          <w:tcPr>
            <w:tcW w:w="348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South Lake One LLC and Affiliates</w:t>
            </w:r>
            <w:r>
              <w:rPr>
                <w:rFonts w:ascii="Arial" w:cs="Arial" w:eastAsia="Arial" w:hAnsi="Arial"/>
                <w:sz w:val="29"/>
                <w:szCs w:val="29"/>
                <w:color w:val="auto"/>
                <w:vertAlign w:val="superscript"/>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6,803,108</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6,803,108</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Arial" w:cs="Arial" w:eastAsia="Arial" w:hAnsi="Arial"/>
                <w:sz w:val="18"/>
                <w:szCs w:val="18"/>
                <w:color w:val="auto"/>
              </w:rPr>
              <w:t>Aequanimitas LP and Affiliates</w:t>
            </w:r>
            <w:r>
              <w:rPr>
                <w:rFonts w:ascii="Arial" w:cs="Arial" w:eastAsia="Arial" w:hAnsi="Arial"/>
                <w:sz w:val="29"/>
                <w:szCs w:val="29"/>
                <w:color w:val="auto"/>
                <w:vertAlign w:val="superscript"/>
              </w:rPr>
              <w:t>(3)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5,271,378</w:t>
            </w:r>
          </w:p>
        </w:tc>
        <w:tc>
          <w:tcPr>
            <w:tcW w:w="8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5,271,378</w:t>
            </w:r>
          </w:p>
        </w:tc>
        <w:tc>
          <w:tcPr>
            <w:tcW w:w="80" w:type="dxa"/>
            <w:vAlign w:val="bottom"/>
          </w:tcPr>
          <w:p>
            <w:pPr>
              <w:spacing w:after="0"/>
              <w:rPr>
                <w:sz w:val="24"/>
                <w:szCs w:val="24"/>
                <w:color w:val="auto"/>
              </w:rPr>
            </w:pPr>
          </w:p>
        </w:tc>
        <w:tc>
          <w:tcPr>
            <w:tcW w:w="520" w:type="dxa"/>
            <w:vAlign w:val="bottom"/>
          </w:tcPr>
          <w:p>
            <w:pPr>
              <w:jc w:val="center"/>
              <w:ind w:left="114"/>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30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Arial" w:cs="Arial" w:eastAsia="Arial" w:hAnsi="Arial"/>
                <w:sz w:val="18"/>
                <w:szCs w:val="18"/>
                <w:color w:val="auto"/>
              </w:rPr>
              <w:t>Dennis Ausiello</w:t>
            </w:r>
            <w:r>
              <w:rPr>
                <w:rFonts w:ascii="Arial" w:cs="Arial" w:eastAsia="Arial" w:hAnsi="Arial"/>
                <w:sz w:val="29"/>
                <w:szCs w:val="29"/>
                <w:color w:val="auto"/>
                <w:vertAlign w:val="superscript"/>
              </w:rPr>
              <w:t>(4)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92,090</w:t>
            </w:r>
          </w:p>
        </w:tc>
        <w:tc>
          <w:tcPr>
            <w:tcW w:w="80" w:type="dxa"/>
            <w:vAlign w:val="bottom"/>
          </w:tcPr>
          <w:p>
            <w:pPr>
              <w:spacing w:after="0"/>
              <w:rPr>
                <w:sz w:val="24"/>
                <w:szCs w:val="24"/>
                <w:color w:val="auto"/>
              </w:rPr>
            </w:pPr>
          </w:p>
        </w:tc>
        <w:tc>
          <w:tcPr>
            <w:tcW w:w="700" w:type="dxa"/>
            <w:vAlign w:val="bottom"/>
          </w:tcPr>
          <w:p>
            <w:pPr>
              <w:jc w:val="center"/>
              <w:ind w:left="1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92,090</w:t>
            </w:r>
          </w:p>
        </w:tc>
        <w:tc>
          <w:tcPr>
            <w:tcW w:w="80" w:type="dxa"/>
            <w:vAlign w:val="bottom"/>
          </w:tcPr>
          <w:p>
            <w:pPr>
              <w:spacing w:after="0"/>
              <w:rPr>
                <w:sz w:val="24"/>
                <w:szCs w:val="24"/>
                <w:color w:val="auto"/>
              </w:rPr>
            </w:pPr>
          </w:p>
        </w:tc>
        <w:tc>
          <w:tcPr>
            <w:tcW w:w="520" w:type="dxa"/>
            <w:vAlign w:val="bottom"/>
          </w:tcPr>
          <w:p>
            <w:pPr>
              <w:jc w:val="center"/>
              <w:ind w:lef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48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Lyn Baranowski</w:t>
            </w:r>
            <w:r>
              <w:rPr>
                <w:rFonts w:ascii="Arial" w:cs="Arial" w:eastAsia="Arial" w:hAnsi="Arial"/>
                <w:sz w:val="29"/>
                <w:szCs w:val="29"/>
                <w:color w:val="auto"/>
                <w:vertAlign w:val="superscript"/>
              </w:rPr>
              <w:t>(5)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44,174</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44,174</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lef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Arial" w:cs="Arial" w:eastAsia="Arial" w:hAnsi="Arial"/>
                <w:sz w:val="18"/>
                <w:szCs w:val="18"/>
                <w:color w:val="auto"/>
              </w:rPr>
              <w:t>Jean-Luc Butel</w:t>
            </w:r>
            <w:r>
              <w:rPr>
                <w:rFonts w:ascii="Arial" w:cs="Arial" w:eastAsia="Arial" w:hAnsi="Arial"/>
                <w:sz w:val="29"/>
                <w:szCs w:val="29"/>
                <w:color w:val="auto"/>
                <w:vertAlign w:val="superscript"/>
              </w:rPr>
              <w:t>(6)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135,788</w:t>
            </w:r>
          </w:p>
        </w:tc>
        <w:tc>
          <w:tcPr>
            <w:tcW w:w="80" w:type="dxa"/>
            <w:vAlign w:val="bottom"/>
          </w:tcPr>
          <w:p>
            <w:pPr>
              <w:spacing w:after="0"/>
              <w:rPr>
                <w:sz w:val="24"/>
                <w:szCs w:val="24"/>
                <w:color w:val="auto"/>
              </w:rPr>
            </w:pPr>
          </w:p>
        </w:tc>
        <w:tc>
          <w:tcPr>
            <w:tcW w:w="700" w:type="dxa"/>
            <w:vAlign w:val="bottom"/>
          </w:tcPr>
          <w:p>
            <w:pPr>
              <w:jc w:val="center"/>
              <w:ind w:left="92"/>
              <w:spacing w:after="0"/>
              <w:rPr>
                <w:sz w:val="20"/>
                <w:szCs w:val="20"/>
                <w:color w:val="auto"/>
              </w:rPr>
            </w:pPr>
            <w:r>
              <w:rPr>
                <w:rFonts w:ascii="Arial" w:cs="Arial" w:eastAsia="Arial" w:hAnsi="Arial"/>
                <w:sz w:val="18"/>
                <w:szCs w:val="18"/>
                <w:color w:val="auto"/>
                <w:w w:val="92"/>
              </w:rPr>
              <w:t>1%</w:t>
            </w: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135,788</w:t>
            </w:r>
          </w:p>
        </w:tc>
        <w:tc>
          <w:tcPr>
            <w:tcW w:w="80" w:type="dxa"/>
            <w:vAlign w:val="bottom"/>
          </w:tcPr>
          <w:p>
            <w:pPr>
              <w:spacing w:after="0"/>
              <w:rPr>
                <w:sz w:val="24"/>
                <w:szCs w:val="24"/>
                <w:color w:val="auto"/>
              </w:rPr>
            </w:pPr>
          </w:p>
        </w:tc>
        <w:tc>
          <w:tcPr>
            <w:tcW w:w="520" w:type="dxa"/>
            <w:vAlign w:val="bottom"/>
          </w:tcPr>
          <w:p>
            <w:pPr>
              <w:jc w:val="center"/>
              <w:ind w:lef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48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Laureen DeBuono</w:t>
            </w:r>
            <w:r>
              <w:rPr>
                <w:rFonts w:ascii="Arial" w:cs="Arial" w:eastAsia="Arial" w:hAnsi="Arial"/>
                <w:sz w:val="29"/>
                <w:szCs w:val="29"/>
                <w:color w:val="auto"/>
                <w:vertAlign w:val="superscript"/>
              </w:rPr>
              <w:t>(6)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135,788</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92"/>
              </w:rPr>
              <w:t>1%</w:t>
            </w: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135,788</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lef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Arial" w:cs="Arial" w:eastAsia="Arial" w:hAnsi="Arial"/>
                <w:sz w:val="18"/>
                <w:szCs w:val="18"/>
                <w:color w:val="auto"/>
              </w:rPr>
              <w:t>Andrew Farquharson</w:t>
            </w:r>
            <w:r>
              <w:rPr>
                <w:rFonts w:ascii="Arial" w:cs="Arial" w:eastAsia="Arial" w:hAnsi="Arial"/>
                <w:sz w:val="29"/>
                <w:szCs w:val="29"/>
                <w:color w:val="auto"/>
                <w:vertAlign w:val="superscript"/>
              </w:rPr>
              <w:t>(7)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114,234</w:t>
            </w:r>
          </w:p>
        </w:tc>
        <w:tc>
          <w:tcPr>
            <w:tcW w:w="80" w:type="dxa"/>
            <w:vAlign w:val="bottom"/>
          </w:tcPr>
          <w:p>
            <w:pPr>
              <w:spacing w:after="0"/>
              <w:rPr>
                <w:sz w:val="24"/>
                <w:szCs w:val="24"/>
                <w:color w:val="auto"/>
              </w:rPr>
            </w:pPr>
          </w:p>
        </w:tc>
        <w:tc>
          <w:tcPr>
            <w:tcW w:w="700" w:type="dxa"/>
            <w:vAlign w:val="bottom"/>
          </w:tcPr>
          <w:p>
            <w:pPr>
              <w:jc w:val="center"/>
              <w:ind w:left="15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436,500</w:t>
            </w:r>
          </w:p>
        </w:tc>
        <w:tc>
          <w:tcPr>
            <w:tcW w:w="80" w:type="dxa"/>
            <w:vAlign w:val="bottom"/>
          </w:tcPr>
          <w:p>
            <w:pPr>
              <w:spacing w:after="0"/>
              <w:rPr>
                <w:sz w:val="24"/>
                <w:szCs w:val="24"/>
                <w:color w:val="auto"/>
              </w:rPr>
            </w:pPr>
          </w:p>
        </w:tc>
        <w:tc>
          <w:tcPr>
            <w:tcW w:w="700" w:type="dxa"/>
            <w:vAlign w:val="bottom"/>
          </w:tcPr>
          <w:p>
            <w:pPr>
              <w:jc w:val="center"/>
              <w:ind w:left="132"/>
              <w:spacing w:after="0"/>
              <w:rPr>
                <w:sz w:val="20"/>
                <w:szCs w:val="20"/>
                <w:color w:val="auto"/>
              </w:rPr>
            </w:pPr>
            <w:r>
              <w:rPr>
                <w:rFonts w:ascii="Arial" w:cs="Arial" w:eastAsia="Arial" w:hAnsi="Arial"/>
                <w:sz w:val="18"/>
                <w:szCs w:val="18"/>
                <w:color w:val="auto"/>
                <w:w w:val="92"/>
              </w:rPr>
              <w:t>2%</w:t>
            </w:r>
          </w:p>
        </w:tc>
        <w:tc>
          <w:tcPr>
            <w:tcW w:w="80" w:type="dxa"/>
            <w:vAlign w:val="bottom"/>
          </w:tcPr>
          <w:p>
            <w:pPr>
              <w:spacing w:after="0"/>
              <w:rPr>
                <w:sz w:val="24"/>
                <w:szCs w:val="24"/>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550,734</w:t>
            </w:r>
          </w:p>
        </w:tc>
        <w:tc>
          <w:tcPr>
            <w:tcW w:w="80" w:type="dxa"/>
            <w:vAlign w:val="bottom"/>
          </w:tcPr>
          <w:p>
            <w:pPr>
              <w:spacing w:after="0"/>
              <w:rPr>
                <w:sz w:val="24"/>
                <w:szCs w:val="24"/>
                <w:color w:val="auto"/>
              </w:rPr>
            </w:pPr>
          </w:p>
        </w:tc>
        <w:tc>
          <w:tcPr>
            <w:tcW w:w="520" w:type="dxa"/>
            <w:vAlign w:val="bottom"/>
          </w:tcPr>
          <w:p>
            <w:pPr>
              <w:jc w:val="center"/>
              <w:ind w:left="114"/>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324"/>
        </w:trPr>
        <w:tc>
          <w:tcPr>
            <w:tcW w:w="348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Mir Imran</w:t>
            </w:r>
            <w:r>
              <w:rPr>
                <w:rFonts w:ascii="Arial" w:cs="Arial" w:eastAsia="Arial" w:hAnsi="Arial"/>
                <w:sz w:val="29"/>
                <w:szCs w:val="29"/>
                <w:color w:val="auto"/>
                <w:vertAlign w:val="superscript"/>
              </w:rPr>
              <w:t>(8)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115,555</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22,660,053</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22,775,608</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Arial" w:cs="Arial" w:eastAsia="Arial" w:hAnsi="Arial"/>
                <w:sz w:val="18"/>
                <w:szCs w:val="18"/>
                <w:color w:val="auto"/>
              </w:rPr>
              <w:t>Maulik Nanavaty</w:t>
            </w:r>
            <w:r>
              <w:rPr>
                <w:rFonts w:ascii="Arial" w:cs="Arial" w:eastAsia="Arial" w:hAnsi="Arial"/>
                <w:sz w:val="29"/>
                <w:szCs w:val="29"/>
                <w:color w:val="auto"/>
                <w:vertAlign w:val="superscript"/>
              </w:rPr>
              <w:t>(9)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103,107</w:t>
            </w:r>
          </w:p>
        </w:tc>
        <w:tc>
          <w:tcPr>
            <w:tcW w:w="80" w:type="dxa"/>
            <w:vAlign w:val="bottom"/>
          </w:tcPr>
          <w:p>
            <w:pPr>
              <w:spacing w:after="0"/>
              <w:rPr>
                <w:sz w:val="24"/>
                <w:szCs w:val="24"/>
                <w:color w:val="auto"/>
              </w:rPr>
            </w:pPr>
          </w:p>
        </w:tc>
        <w:tc>
          <w:tcPr>
            <w:tcW w:w="700" w:type="dxa"/>
            <w:vAlign w:val="bottom"/>
          </w:tcPr>
          <w:p>
            <w:pPr>
              <w:jc w:val="center"/>
              <w:ind w:left="15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52,878</w:t>
            </w:r>
          </w:p>
        </w:tc>
        <w:tc>
          <w:tcPr>
            <w:tcW w:w="80" w:type="dxa"/>
            <w:vAlign w:val="bottom"/>
          </w:tcPr>
          <w:p>
            <w:pPr>
              <w:spacing w:after="0"/>
              <w:rPr>
                <w:sz w:val="24"/>
                <w:szCs w:val="24"/>
                <w:color w:val="auto"/>
              </w:rPr>
            </w:pPr>
          </w:p>
        </w:tc>
        <w:tc>
          <w:tcPr>
            <w:tcW w:w="700" w:type="dxa"/>
            <w:vAlign w:val="bottom"/>
          </w:tcPr>
          <w:p>
            <w:pPr>
              <w:jc w:val="center"/>
              <w:ind w:left="1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155,985</w:t>
            </w:r>
          </w:p>
        </w:tc>
        <w:tc>
          <w:tcPr>
            <w:tcW w:w="80" w:type="dxa"/>
            <w:vAlign w:val="bottom"/>
          </w:tcPr>
          <w:p>
            <w:pPr>
              <w:spacing w:after="0"/>
              <w:rPr>
                <w:sz w:val="24"/>
                <w:szCs w:val="24"/>
                <w:color w:val="auto"/>
              </w:rPr>
            </w:pPr>
          </w:p>
        </w:tc>
        <w:tc>
          <w:tcPr>
            <w:tcW w:w="520" w:type="dxa"/>
            <w:vAlign w:val="bottom"/>
          </w:tcPr>
          <w:p>
            <w:pPr>
              <w:jc w:val="center"/>
              <w:ind w:lef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48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Lisa Rometty</w:t>
            </w:r>
            <w:r>
              <w:rPr>
                <w:rFonts w:ascii="Arial" w:cs="Arial" w:eastAsia="Arial" w:hAnsi="Arial"/>
                <w:sz w:val="29"/>
                <w:szCs w:val="29"/>
                <w:color w:val="auto"/>
                <w:vertAlign w:val="superscript"/>
              </w:rPr>
              <w:t>(6)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37,906</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37,906</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lef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Arial" w:cs="Arial" w:eastAsia="Arial" w:hAnsi="Arial"/>
                <w:sz w:val="18"/>
                <w:szCs w:val="18"/>
                <w:color w:val="auto"/>
              </w:rPr>
              <w:t>Mir Hashim</w:t>
            </w:r>
            <w:r>
              <w:rPr>
                <w:rFonts w:ascii="Arial" w:cs="Arial" w:eastAsia="Arial" w:hAnsi="Arial"/>
                <w:sz w:val="29"/>
                <w:szCs w:val="29"/>
                <w:color w:val="auto"/>
                <w:vertAlign w:val="superscript"/>
              </w:rPr>
              <w:t>(10)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191,064</w:t>
            </w:r>
          </w:p>
        </w:tc>
        <w:tc>
          <w:tcPr>
            <w:tcW w:w="80" w:type="dxa"/>
            <w:vAlign w:val="bottom"/>
          </w:tcPr>
          <w:p>
            <w:pPr>
              <w:spacing w:after="0"/>
              <w:rPr>
                <w:sz w:val="24"/>
                <w:szCs w:val="24"/>
                <w:color w:val="auto"/>
              </w:rPr>
            </w:pPr>
          </w:p>
        </w:tc>
        <w:tc>
          <w:tcPr>
            <w:tcW w:w="700" w:type="dxa"/>
            <w:vAlign w:val="bottom"/>
          </w:tcPr>
          <w:p>
            <w:pPr>
              <w:jc w:val="center"/>
              <w:ind w:left="92"/>
              <w:spacing w:after="0"/>
              <w:rPr>
                <w:sz w:val="20"/>
                <w:szCs w:val="20"/>
                <w:color w:val="auto"/>
              </w:rPr>
            </w:pPr>
            <w:r>
              <w:rPr>
                <w:rFonts w:ascii="Arial" w:cs="Arial" w:eastAsia="Arial" w:hAnsi="Arial"/>
                <w:sz w:val="18"/>
                <w:szCs w:val="18"/>
                <w:color w:val="auto"/>
                <w:w w:val="92"/>
              </w:rPr>
              <w:t>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172,148</w:t>
            </w:r>
          </w:p>
        </w:tc>
        <w:tc>
          <w:tcPr>
            <w:tcW w:w="80" w:type="dxa"/>
            <w:vAlign w:val="bottom"/>
          </w:tcPr>
          <w:p>
            <w:pPr>
              <w:spacing w:after="0"/>
              <w:rPr>
                <w:sz w:val="24"/>
                <w:szCs w:val="24"/>
                <w:color w:val="auto"/>
              </w:rPr>
            </w:pPr>
          </w:p>
        </w:tc>
        <w:tc>
          <w:tcPr>
            <w:tcW w:w="700" w:type="dxa"/>
            <w:vAlign w:val="bottom"/>
          </w:tcPr>
          <w:p>
            <w:pPr>
              <w:jc w:val="center"/>
              <w:ind w:left="132"/>
              <w:spacing w:after="0"/>
              <w:rPr>
                <w:sz w:val="20"/>
                <w:szCs w:val="20"/>
                <w:color w:val="auto"/>
              </w:rPr>
            </w:pPr>
            <w:r>
              <w:rPr>
                <w:rFonts w:ascii="Arial" w:cs="Arial" w:eastAsia="Arial" w:hAnsi="Arial"/>
                <w:sz w:val="18"/>
                <w:szCs w:val="18"/>
                <w:color w:val="auto"/>
                <w:w w:val="92"/>
              </w:rPr>
              <w:t>1%</w:t>
            </w:r>
          </w:p>
        </w:tc>
        <w:tc>
          <w:tcPr>
            <w:tcW w:w="80" w:type="dxa"/>
            <w:vAlign w:val="bottom"/>
          </w:tcPr>
          <w:p>
            <w:pPr>
              <w:spacing w:after="0"/>
              <w:rPr>
                <w:sz w:val="24"/>
                <w:szCs w:val="24"/>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363,212</w:t>
            </w:r>
          </w:p>
        </w:tc>
        <w:tc>
          <w:tcPr>
            <w:tcW w:w="80" w:type="dxa"/>
            <w:vAlign w:val="bottom"/>
          </w:tcPr>
          <w:p>
            <w:pPr>
              <w:spacing w:after="0"/>
              <w:rPr>
                <w:sz w:val="24"/>
                <w:szCs w:val="24"/>
                <w:color w:val="auto"/>
              </w:rPr>
            </w:pPr>
          </w:p>
        </w:tc>
        <w:tc>
          <w:tcPr>
            <w:tcW w:w="520" w:type="dxa"/>
            <w:vAlign w:val="bottom"/>
          </w:tcPr>
          <w:p>
            <w:pPr>
              <w:jc w:val="center"/>
              <w:ind w:left="114"/>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324"/>
        </w:trPr>
        <w:tc>
          <w:tcPr>
            <w:tcW w:w="348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Talat Imran</w:t>
            </w:r>
            <w:r>
              <w:rPr>
                <w:rFonts w:ascii="Arial" w:cs="Arial" w:eastAsia="Arial" w:hAnsi="Arial"/>
                <w:sz w:val="29"/>
                <w:szCs w:val="29"/>
                <w:color w:val="auto"/>
                <w:vertAlign w:val="superscript"/>
              </w:rPr>
              <w:t>(11)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512,038</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92"/>
              </w:rPr>
              <w:t>2%</w:t>
            </w: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512,038</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lef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480" w:type="dxa"/>
            <w:vAlign w:val="bottom"/>
          </w:tcPr>
          <w:p>
            <w:pPr>
              <w:spacing w:after="0" w:line="324" w:lineRule="exact"/>
              <w:rPr>
                <w:sz w:val="20"/>
                <w:szCs w:val="20"/>
                <w:color w:val="auto"/>
              </w:rPr>
            </w:pPr>
            <w:r>
              <w:rPr>
                <w:rFonts w:ascii="Arial" w:cs="Arial" w:eastAsia="Arial" w:hAnsi="Arial"/>
                <w:sz w:val="18"/>
                <w:szCs w:val="18"/>
                <w:color w:val="auto"/>
              </w:rPr>
              <w:t>Svai Sanford</w:t>
            </w:r>
            <w:r>
              <w:rPr>
                <w:rFonts w:ascii="Arial" w:cs="Arial" w:eastAsia="Arial" w:hAnsi="Arial"/>
                <w:sz w:val="29"/>
                <w:szCs w:val="29"/>
                <w:color w:val="auto"/>
                <w:vertAlign w:val="superscript"/>
              </w:rPr>
              <w:t>(12)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180,912</w:t>
            </w:r>
          </w:p>
        </w:tc>
        <w:tc>
          <w:tcPr>
            <w:tcW w:w="80" w:type="dxa"/>
            <w:vAlign w:val="bottom"/>
          </w:tcPr>
          <w:p>
            <w:pPr>
              <w:spacing w:after="0"/>
              <w:rPr>
                <w:sz w:val="24"/>
                <w:szCs w:val="24"/>
                <w:color w:val="auto"/>
              </w:rPr>
            </w:pPr>
          </w:p>
        </w:tc>
        <w:tc>
          <w:tcPr>
            <w:tcW w:w="700" w:type="dxa"/>
            <w:vAlign w:val="bottom"/>
          </w:tcPr>
          <w:p>
            <w:pPr>
              <w:jc w:val="center"/>
              <w:ind w:left="92"/>
              <w:spacing w:after="0"/>
              <w:rPr>
                <w:sz w:val="20"/>
                <w:szCs w:val="20"/>
                <w:color w:val="auto"/>
              </w:rPr>
            </w:pPr>
            <w:r>
              <w:rPr>
                <w:rFonts w:ascii="Arial" w:cs="Arial" w:eastAsia="Arial" w:hAnsi="Arial"/>
                <w:sz w:val="18"/>
                <w:szCs w:val="18"/>
                <w:color w:val="auto"/>
                <w:w w:val="92"/>
              </w:rPr>
              <w:t>1%</w:t>
            </w: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180,912</w:t>
            </w:r>
          </w:p>
        </w:tc>
        <w:tc>
          <w:tcPr>
            <w:tcW w:w="80" w:type="dxa"/>
            <w:vAlign w:val="bottom"/>
          </w:tcPr>
          <w:p>
            <w:pPr>
              <w:spacing w:after="0"/>
              <w:rPr>
                <w:sz w:val="24"/>
                <w:szCs w:val="24"/>
                <w:color w:val="auto"/>
              </w:rPr>
            </w:pPr>
          </w:p>
        </w:tc>
        <w:tc>
          <w:tcPr>
            <w:tcW w:w="520" w:type="dxa"/>
            <w:vAlign w:val="bottom"/>
          </w:tcPr>
          <w:p>
            <w:pPr>
              <w:jc w:val="center"/>
              <w:ind w:lef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5"/>
              </w:rPr>
              <w:t>All directors and executive officers as a group</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 persons)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1,685,537</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92"/>
              </w:rPr>
              <w:t>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23,072,650</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24,758,187</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54"/>
        </w:trPr>
        <w:tc>
          <w:tcPr>
            <w:tcW w:w="3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5157470</wp:posOffset>
            </wp:positionH>
            <wp:positionV relativeFrom="paragraph">
              <wp:posOffset>-3651250</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-3651250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-3651250</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-3651250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-3651250</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-3651250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Represents beneficial ownership of less than 1% of the outstanding shares of our Class A common stock or Class B common stock.</w:t>
      </w:r>
    </w:p>
    <w:p>
      <w:pPr>
        <w:spacing w:after="0" w:line="53" w:lineRule="exact"/>
        <w:rPr>
          <w:sz w:val="20"/>
          <w:szCs w:val="20"/>
          <w:color w:val="auto"/>
        </w:rPr>
      </w:pPr>
    </w:p>
    <w:p>
      <w:pPr>
        <w:ind w:left="640" w:right="319" w:hanging="348"/>
        <w:spacing w:after="0" w:line="253"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shares held by InCube Labs, LLC (“ICL”). Mir Imran is the sole managing member of ICL, which is wholly-owned by Mir Imran and his family. The address of this entity is 2051 Ringwood Avenue, San Jose, California 95131.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both"/>
        <w:ind w:left="640" w:right="299" w:hanging="348"/>
        <w:spacing w:after="0" w:line="244" w:lineRule="auto"/>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shares held by South Lake One LLC (“South Lake One”) as disclosed pursuant to a Schedule 13D/A filed with the SEC by South Lake One on March 15, 2023 and a Form 4 filed with the SEC by South Lake One on April 3, 2023. South Lake Management LLC (“South Lake Management”) is controlled and managed by the Class A and Class B members of its board of managers whereby no member of the board of managers has direct or indirect control of South Lake Management, and no member of South Lake Management individually has the power to control South Lake Management or replace its board of managers. South Lake Management directly controls South Cone Investments Limited Partnership (“South Cone”) as its general partner with the power to manage South Cone. South Cone directly owns 100% of the issued and outstanding membership interest of South Lake One. South Lake One is managed by the Class A and Class B members of its board of managers whereby no member of the board of managers has direct or indirect control of South Lake One. South Cone, as the sole member of South Lake One, has the power to control South Lake One and replace its board of managers. The address of these entities is Avenida Presidente Riesco 5711 oficina 1603, Las Condes, Santiago, Chile.</w:t>
      </w:r>
    </w:p>
    <w:p>
      <w:pPr>
        <w:spacing w:after="0" w:line="19" w:lineRule="exact"/>
        <w:rPr>
          <w:rFonts w:ascii="Arial" w:cs="Arial" w:eastAsia="Arial" w:hAnsi="Arial"/>
          <w:sz w:val="13"/>
          <w:szCs w:val="13"/>
          <w:color w:val="auto"/>
        </w:rPr>
      </w:pPr>
    </w:p>
    <w:p>
      <w:pPr>
        <w:jc w:val="both"/>
        <w:ind w:left="640" w:right="319" w:hanging="348"/>
        <w:spacing w:after="0" w:line="233"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shares held by Aequanimitas Limited Partnership (“Aequanimitas”) as disclosed pursuant to a Schedule 13D filed with the SEC by Aequanimitas on February 1, 2022 and a Form 4 filed with the SEC by Aequanimitas on January 3, 2023. Aequanimitas has a general partner, Aequanimitas Management LLC, whose sole and controlling member is Isidoro Alfonso Quiroga Cortés. The address of these entities is Avenida Presidente Riesco 5711 oficina 1603, Las Condes, Santiago, Chile.</w:t>
      </w:r>
    </w:p>
    <w:p>
      <w:pPr>
        <w:spacing w:after="0" w:line="22"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shares of Class A common stock underlying options that are exercisable within 60 days of March 31, 2023. Dr. Ausiello beneficially owns 92,074 non-corresponding Class A units of Rani LLC.</w:t>
      </w:r>
    </w:p>
    <w:p>
      <w:pPr>
        <w:spacing w:after="0" w:line="1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(i) 38,087 shares of Class A common stock underlying options which are exercisable within 60 days of March 31, 2023, and (ii) 6,087 restricted shares of Class A common stock.</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shares of Class A common stock underlying options that are exercisable within 60 days of March 31, 2023.</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(i) 41,416 shares of Class A common stock underlying options that are exercisable within 60 days of March 31, 2023,</w:t>
      </w:r>
    </w:p>
    <w:p>
      <w:pPr>
        <w:jc w:val="both"/>
        <w:ind w:left="640" w:right="299" w:firstLine="3"/>
        <w:spacing w:after="0" w:line="226" w:lineRule="auto"/>
        <w:tabs>
          <w:tab w:leader="none" w:pos="864" w:val="left"/>
        </w:tabs>
        <w:numPr>
          <w:ilvl w:val="1"/>
          <w:numId w:val="18"/>
        </w:numPr>
        <w:rPr>
          <w:rFonts w:ascii="Arial" w:cs="Arial" w:eastAsia="Arial" w:hAnsi="Arial"/>
          <w:sz w:val="14"/>
          <w:szCs w:val="14"/>
          <w:color w:val="auto"/>
        </w:rPr>
      </w:pPr>
      <w:r>
        <w:rPr>
          <w:rFonts w:ascii="Arial" w:cs="Arial" w:eastAsia="Arial" w:hAnsi="Arial"/>
          <w:sz w:val="14"/>
          <w:szCs w:val="14"/>
          <w:color w:val="auto"/>
        </w:rPr>
        <w:t>12,343 shares of Class A common stock held by VH Moll, LP, (iii) 7,694 shares of Class A common stock held by Rani Investment Corporation, (iv) 52,718 shares of Class A common stock held by InCube Ventures II and (v) 248,929 shares of Class B common stock held by InCube Ventures II. InCube Ventures II is a limited partnership and its general partners are Mir Imran, Andrew Farquharson and Wayne Roe. VH Moll, LP is a limited partnership and the members of the general partner are Andrew Farquharson and Talat Imran. Andrew Farquharson and Mir Imran are general partners of Rani Investment Corporation. The address of VH Moll, LP, Rani Investment Corporation, and InCube Ventures II is 2051 Ringwood Avenue, San Jose, California 95131. Mr. Farquharson beneficially owns 242,421 non-corresponding Class A units of Rani LLC.</w:t>
      </w:r>
    </w:p>
    <w:p>
      <w:pPr>
        <w:spacing w:after="0" w:line="20" w:lineRule="exact"/>
        <w:rPr>
          <w:rFonts w:ascii="Arial" w:cs="Arial" w:eastAsia="Arial" w:hAnsi="Arial"/>
          <w:sz w:val="14"/>
          <w:szCs w:val="14"/>
          <w:color w:val="auto"/>
        </w:rPr>
      </w:pPr>
    </w:p>
    <w:p>
      <w:pPr>
        <w:jc w:val="both"/>
        <w:ind w:left="640" w:right="299" w:hanging="348"/>
        <w:spacing w:after="0" w:line="248" w:lineRule="auto"/>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(i) 41,416 shares of Class A common stock underlying options that are exercisable within 60 days of March 31, 2023, (ii) shares held by ICL (refer to footnote 1 above), (iii) 7,694 shares of Class A common stock held by Rani Investment Corporation, (iv) 52,718 shares of Class A common stock held by InCube Ventures II, L.P. and its affiliates (“InCube Ventures II”), and (v) 248,929 shares of Class B common stock held by InCube Ventures II. InCube Ventures II is a limited partnership and its general partners are Mir Imran, Andrew Farquharson and Wayne Roe. Andrew Farquharson and Mir Imran are general partners of Rani Investment Corporation. The address of InCube Ventures II and Rani Investment Corporation is 2051 Ringwood Avenue, San Jose, California 95131.</w:t>
      </w:r>
    </w:p>
    <w:p>
      <w:pPr>
        <w:spacing w:after="0" w:line="18" w:lineRule="exact"/>
        <w:rPr>
          <w:rFonts w:ascii="Arial" w:cs="Arial" w:eastAsia="Arial" w:hAnsi="Arial"/>
          <w:sz w:val="13"/>
          <w:szCs w:val="13"/>
          <w:color w:val="auto"/>
        </w:rPr>
      </w:pPr>
    </w:p>
    <w:p>
      <w:pPr>
        <w:ind w:left="640" w:hanging="348"/>
        <w:spacing w:after="0"/>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(i) 92,090 shares of Class A common stock underlying options which are exercisable within sixty days of March 31, 2023, and</w:t>
      </w:r>
    </w:p>
    <w:p>
      <w:pPr>
        <w:spacing w:after="0" w:line="11" w:lineRule="exact"/>
        <w:rPr>
          <w:rFonts w:ascii="Arial" w:cs="Arial" w:eastAsia="Arial" w:hAnsi="Arial"/>
          <w:sz w:val="13"/>
          <w:szCs w:val="13"/>
          <w:color w:val="auto"/>
        </w:rPr>
      </w:pPr>
    </w:p>
    <w:p>
      <w:pPr>
        <w:ind w:left="640" w:right="319" w:firstLine="3"/>
        <w:spacing w:after="0" w:line="237" w:lineRule="auto"/>
        <w:tabs>
          <w:tab w:leader="none" w:pos="870" w:val="left"/>
        </w:tabs>
        <w:numPr>
          <w:ilvl w:val="1"/>
          <w:numId w:val="18"/>
        </w:numPr>
        <w:rPr>
          <w:rFonts w:ascii="Arial" w:cs="Arial" w:eastAsia="Arial" w:hAnsi="Arial"/>
          <w:sz w:val="14"/>
          <w:szCs w:val="14"/>
          <w:color w:val="auto"/>
        </w:rPr>
      </w:pPr>
      <w:r>
        <w:rPr>
          <w:rFonts w:ascii="Arial" w:cs="Arial" w:eastAsia="Arial" w:hAnsi="Arial"/>
          <w:sz w:val="14"/>
          <w:szCs w:val="14"/>
          <w:color w:val="auto"/>
        </w:rPr>
        <w:t>11,017 shares of Class A common stock held by a family member of Mr. Nanavaty. Mr. Nanavaty beneficially owns 155,118 non-corresponding Class A units of Rani LLC.</w:t>
      </w:r>
    </w:p>
    <w:p>
      <w:pPr>
        <w:spacing w:after="0" w:line="2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146,499 shares of Class A common stock underlying options which are exercisable within 60 days of March 31, 2023. Dr. Hashim beneficially owns 374,119 non-corresponding Class A units of Rani LLC.</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(i) 486,033 shares of Class A common stock underlying options that are exercisable within 60 days of March 31, 2023 and</w:t>
      </w:r>
    </w:p>
    <w:p>
      <w:pPr>
        <w:spacing w:after="0" w:line="11" w:lineRule="exact"/>
        <w:rPr>
          <w:rFonts w:ascii="Arial" w:cs="Arial" w:eastAsia="Arial" w:hAnsi="Arial"/>
          <w:sz w:val="13"/>
          <w:szCs w:val="13"/>
          <w:color w:val="auto"/>
        </w:rPr>
      </w:pPr>
    </w:p>
    <w:p>
      <w:pPr>
        <w:jc w:val="both"/>
        <w:ind w:left="640" w:right="299" w:firstLine="3"/>
        <w:spacing w:after="0" w:line="232" w:lineRule="auto"/>
        <w:tabs>
          <w:tab w:leader="none" w:pos="853" w:val="left"/>
        </w:tabs>
        <w:numPr>
          <w:ilvl w:val="1"/>
          <w:numId w:val="18"/>
        </w:numPr>
        <w:rPr>
          <w:rFonts w:ascii="Arial" w:cs="Arial" w:eastAsia="Arial" w:hAnsi="Arial"/>
          <w:sz w:val="14"/>
          <w:szCs w:val="14"/>
          <w:color w:val="auto"/>
        </w:rPr>
      </w:pPr>
      <w:r>
        <w:rPr>
          <w:rFonts w:ascii="Arial" w:cs="Arial" w:eastAsia="Arial" w:hAnsi="Arial"/>
          <w:sz w:val="14"/>
          <w:szCs w:val="14"/>
          <w:color w:val="auto"/>
        </w:rPr>
        <w:t>12,343 shares of Class A common stock held by VH Moll, LP. VH Moll, LP is a limited partnership and members of the general partner are Andrew Farquharson and Talat Imran. The address of VH Moll, LP is 2051 Ringwood Avenue, San Jose, California 95131. Talat Imran beneficially owns 43,484 non-corresponding Class A units of Rani LLC.</w:t>
      </w:r>
    </w:p>
    <w:p>
      <w:pPr>
        <w:spacing w:after="0" w:line="20"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139,090 shares of Class A common stock underlying options which are exercisable within 60 days of March 31, 2023. Mr. Sanford beneficially owns 142,350 non-corresponding Class A units of Rani LLC.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following table sets forth the names, ages, and positions of the Company’s executive officers as of March 30, 2023:</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9"/>
                <w:szCs w:val="9"/>
                <w:b w:val="1"/>
                <w:bCs w:val="1"/>
                <w:color w:val="auto"/>
              </w:rPr>
              <w:t>ame</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9"/>
                <w:szCs w:val="9"/>
                <w:b w:val="1"/>
                <w:bCs w:val="1"/>
                <w:color w:val="auto"/>
              </w:rPr>
              <w:t>ge</w:t>
            </w:r>
          </w:p>
        </w:tc>
        <w:tc>
          <w:tcPr>
            <w:tcW w:w="80" w:type="dxa"/>
            <w:vAlign w:val="bottom"/>
          </w:tcPr>
          <w:p>
            <w:pPr>
              <w:spacing w:after="0"/>
              <w:rPr>
                <w:sz w:val="16"/>
                <w:szCs w:val="16"/>
                <w:color w:val="auto"/>
              </w:rPr>
            </w:pPr>
          </w:p>
        </w:tc>
        <w:tc>
          <w:tcPr>
            <w:tcW w:w="4320" w:type="dxa"/>
            <w:vAlign w:val="bottom"/>
          </w:tcPr>
          <w:p>
            <w:pPr>
              <w:ind w:left="1920"/>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9"/>
                <w:szCs w:val="9"/>
                <w:b w:val="1"/>
                <w:bCs w:val="1"/>
                <w:color w:val="auto"/>
              </w:rPr>
              <w:t>osition</w:t>
            </w:r>
          </w:p>
        </w:tc>
      </w:tr>
      <w:tr>
        <w:trPr>
          <w:trHeight w:val="53"/>
        </w:trPr>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r>
      <w:tr>
        <w:trPr>
          <w:trHeight w:val="311"/>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Talat Imran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Chief Executive Officer and Director</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Svai Sanford</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Mir Hashim</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Chief Scientific Officer</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Eric Groen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General Counsel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-805180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-805180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 xml:space="preserve">Talat Imran. </w:t>
      </w:r>
      <w:r>
        <w:rPr>
          <w:rFonts w:ascii="Arial" w:cs="Arial" w:eastAsia="Arial" w:hAnsi="Arial"/>
          <w:sz w:val="18"/>
          <w:szCs w:val="18"/>
          <w:color w:val="auto"/>
        </w:rPr>
        <w:t>For Mr. Imran’s biography please refer to “Proposal 1: Election of Directors” above.</w:t>
      </w:r>
    </w:p>
    <w:p>
      <w:pPr>
        <w:spacing w:after="0" w:line="11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i w:val="1"/>
          <w:iCs w:val="1"/>
          <w:color w:val="auto"/>
        </w:rPr>
        <w:t xml:space="preserve">Svai Sanford. </w:t>
      </w:r>
      <w:r>
        <w:rPr>
          <w:rFonts w:ascii="Arial" w:cs="Arial" w:eastAsia="Arial" w:hAnsi="Arial"/>
          <w:sz w:val="17"/>
          <w:szCs w:val="17"/>
          <w:color w:val="auto"/>
        </w:rPr>
        <w:t>Mr. Sanford has served as our Chief Financial Officer since November 2018. Prior to joining us, from</w:t>
      </w:r>
      <w:r>
        <w:rPr>
          <w:rFonts w:ascii="Arial" w:cs="Arial" w:eastAsia="Arial" w:hAnsi="Arial"/>
          <w:sz w:val="17"/>
          <w:szCs w:val="17"/>
          <w:i w:val="1"/>
          <w:iCs w:val="1"/>
          <w:color w:val="auto"/>
        </w:rPr>
        <w:t xml:space="preserve"> </w:t>
      </w:r>
      <w:r>
        <w:rPr>
          <w:rFonts w:ascii="Arial" w:cs="Arial" w:eastAsia="Arial" w:hAnsi="Arial"/>
          <w:sz w:val="17"/>
          <w:szCs w:val="17"/>
          <w:color w:val="auto"/>
        </w:rPr>
        <w:t>June 2017 to November 2018, Mr. Sanford served as an executive consultant and acting Chief Financial Officer for pH Pharma Inc., a consumer skin care company. From September 2015 to March 2017, he served as the Chief Financial Officer of SFJ Pharmaceuticals, Inc., a drug development company, and from July 2012 to September 2015, he served as the Chief Financial Officer and Chief Accounting Officer of VIVUS, Inc., a public biopharmaceutical company. Mr. Sanford was a member of the audit practice at KPMG LLP from 1996 to 2002. He earned a B.S. in Accounting from Kansas State University and is a Certified Public Accountant (inactive).</w:t>
      </w:r>
    </w:p>
    <w:p>
      <w:pPr>
        <w:spacing w:after="0" w:line="69"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i w:val="1"/>
          <w:iCs w:val="1"/>
          <w:color w:val="auto"/>
        </w:rPr>
        <w:t xml:space="preserve">Mir Hashim. </w:t>
      </w:r>
      <w:r>
        <w:rPr>
          <w:rFonts w:ascii="Arial" w:cs="Arial" w:eastAsia="Arial" w:hAnsi="Arial"/>
          <w:sz w:val="16"/>
          <w:szCs w:val="16"/>
          <w:color w:val="auto"/>
        </w:rPr>
        <w:t>Dr. Hashim has served as our Chief Scientific Officer since June 2013 and was a member of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from June 2013 to June 2021. Dr. Hashim has served as Vice President, Research and Development, at InCube Labs, LLC, a medical device research company, since September 2008. Prior to this, he spent 18 years serving in multiple scientific roles at GlaxoSmithKline plc, a global pharmaceutical company, including as Head of Pharmacology. Dr. Hashim earned a B.S. in Biology and Chemistry from Osmania University, a M.S. in Life Sciences from the University of Hyderabad and a Ph.D. in Pharmacology from the School of Medicine, Memorial University of Newfoundland. Dr. Hashim is the brother of Mir Imran, a director and the Chairman of the Company, and uncle of Talat Imran, a director and the Chief Executive Officer of the Company.</w:t>
      </w:r>
    </w:p>
    <w:p>
      <w:pPr>
        <w:spacing w:after="0" w:line="57"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i w:val="1"/>
          <w:iCs w:val="1"/>
          <w:color w:val="auto"/>
        </w:rPr>
        <w:t xml:space="preserve">Eric Groen. </w:t>
      </w:r>
      <w:r>
        <w:rPr>
          <w:rFonts w:ascii="Arial" w:cs="Arial" w:eastAsia="Arial" w:hAnsi="Arial"/>
          <w:sz w:val="16"/>
          <w:szCs w:val="16"/>
          <w:color w:val="auto"/>
        </w:rPr>
        <w:t>Mr. Groen has served as our General Counsel since July 2021. Prior to joining us, Mr. Groen served in</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domestic and international roles of increasing responsibility over nearly 20 years at Amgen Inc., a global biotechnology company, including leading the legal teams responsible for business development transactions, operations and manufacturing and clinical trials. Most recently, he served as regional general counsel to Amgen Inc.’s commercial business in Canada, Latin America, Middle East and Africa. Mr. Groen earned a B.A. in Political Science from the University of California, Santa Barbara and a J.D. from Harvard Law School.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Descriptions of our 2021 Equity Incentive Plan (the “2021 Plan”) and our 2021 Employee Stock Purchase Plan (the “ESPP”) are contained in Note 2 and Note 11, respectively, of the Notes to the Consolidated Financial Statements contained in the Company’s Annual Report on Form 10-K for the fiscal year ended December 31, 2022.</w:t>
      </w:r>
    </w:p>
    <w:p>
      <w:pPr>
        <w:spacing w:after="0" w:line="4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following table provides certain information with respect to all of the Company’s equity compensation plans in effect as of December 31, 2022.</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Number of securities to be issued</w:t>
            </w:r>
          </w:p>
        </w:tc>
        <w:tc>
          <w:tcPr>
            <w:tcW w:w="1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Weighted-average exercise</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available for issuance under</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 plans</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upon exercise of outstanding</w:t>
            </w:r>
          </w:p>
        </w:tc>
        <w:tc>
          <w:tcPr>
            <w:tcW w:w="1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price of outstanding options,</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 in</w:t>
            </w:r>
          </w:p>
        </w:tc>
        <w:tc>
          <w:tcPr>
            <w:tcW w:w="0" w:type="dxa"/>
            <w:vAlign w:val="bottom"/>
          </w:tcPr>
          <w:p>
            <w:pPr>
              <w:spacing w:after="0"/>
              <w:rPr>
                <w:sz w:val="1"/>
                <w:szCs w:val="1"/>
                <w:color w:val="auto"/>
              </w:rPr>
            </w:pPr>
          </w:p>
        </w:tc>
      </w:tr>
      <w:tr>
        <w:trPr>
          <w:trHeight w:val="145"/>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20" w:type="dxa"/>
            <w:vAlign w:val="bottom"/>
            <w:vMerge w:val="restart"/>
          </w:tcPr>
          <w:p>
            <w:pPr>
              <w:spacing w:after="0"/>
              <w:rPr>
                <w:sz w:val="12"/>
                <w:szCs w:val="12"/>
                <w:color w:val="auto"/>
              </w:rPr>
            </w:pPr>
          </w:p>
        </w:tc>
        <w:tc>
          <w:tcPr>
            <w:tcW w:w="22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options, warrants and rights</w:t>
            </w:r>
          </w:p>
        </w:tc>
        <w:tc>
          <w:tcPr>
            <w:tcW w:w="19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warrants and rights</w:t>
            </w:r>
          </w:p>
        </w:tc>
        <w:tc>
          <w:tcPr>
            <w:tcW w:w="2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42"/>
        </w:trPr>
        <w:tc>
          <w:tcPr>
            <w:tcW w:w="19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vMerge w:val="continue"/>
          </w:tcPr>
          <w:p>
            <w:pPr>
              <w:spacing w:after="0"/>
              <w:rPr>
                <w:sz w:val="21"/>
                <w:szCs w:val="21"/>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Borders>
              <w:bottom w:val="single" w:sz="8" w:color="CCEEFF"/>
            </w:tcBorders>
          </w:tcPr>
          <w:p>
            <w:pPr>
              <w:spacing w:after="0"/>
              <w:rPr>
                <w:sz w:val="21"/>
                <w:szCs w:val="21"/>
                <w:color w:val="auto"/>
              </w:rPr>
            </w:pPr>
          </w:p>
        </w:tc>
        <w:tc>
          <w:tcPr>
            <w:tcW w:w="17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7"/>
              </w:rPr>
              <w:t>(b)</w:t>
            </w:r>
            <w:r>
              <w:rPr>
                <w:rFonts w:ascii="Arial" w:cs="Arial" w:eastAsia="Arial" w:hAnsi="Arial"/>
                <w:sz w:val="23"/>
                <w:szCs w:val="23"/>
                <w:b w:val="1"/>
                <w:bCs w:val="1"/>
                <w:color w:val="auto"/>
                <w:w w:val="87"/>
                <w:vertAlign w:val="superscript"/>
              </w:rPr>
              <w:t>(1)</w:t>
            </w:r>
          </w:p>
        </w:tc>
        <w:tc>
          <w:tcPr>
            <w:tcW w:w="18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9"/>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compensation</w:t>
            </w:r>
          </w:p>
        </w:tc>
        <w:tc>
          <w:tcPr>
            <w:tcW w:w="20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plans approved by</w:t>
            </w:r>
          </w:p>
        </w:tc>
        <w:tc>
          <w:tcPr>
            <w:tcW w:w="2080" w:type="dxa"/>
            <w:vAlign w:val="bottom"/>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4,454,086</w:t>
            </w:r>
            <w:r>
              <w:rPr>
                <w:rFonts w:ascii="Arial" w:cs="Arial" w:eastAsia="Arial" w:hAnsi="Arial"/>
                <w:sz w:val="29"/>
                <w:szCs w:val="29"/>
                <w:color w:val="auto"/>
                <w:vertAlign w:val="superscript"/>
              </w:rPr>
              <w:t>(2)</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vMerge w:val="restart"/>
            <w:shd w:val="clear" w:color="auto" w:fill="CCEEFF"/>
          </w:tcPr>
          <w:p>
            <w:pPr>
              <w:jc w:val="right"/>
              <w:ind w:right="402"/>
              <w:spacing w:after="0"/>
              <w:rPr>
                <w:sz w:val="20"/>
                <w:szCs w:val="20"/>
                <w:color w:val="auto"/>
              </w:rPr>
            </w:pPr>
            <w:r>
              <w:rPr>
                <w:rFonts w:ascii="Arial" w:cs="Arial" w:eastAsia="Arial" w:hAnsi="Arial"/>
                <w:sz w:val="18"/>
                <w:szCs w:val="18"/>
                <w:color w:val="auto"/>
              </w:rPr>
              <w:t>5,072,582</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88"/>
        </w:trPr>
        <w:tc>
          <w:tcPr>
            <w:tcW w:w="21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w:t>
            </w:r>
          </w:p>
        </w:tc>
        <w:tc>
          <w:tcPr>
            <w:tcW w:w="2080" w:type="dxa"/>
            <w:vAlign w:val="bottom"/>
            <w:vMerge w:val="continue"/>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560"/>
              <w:spacing w:after="0"/>
              <w:rPr>
                <w:sz w:val="20"/>
                <w:szCs w:val="20"/>
                <w:color w:val="auto"/>
              </w:rPr>
            </w:pPr>
            <w:r>
              <w:rPr>
                <w:rFonts w:ascii="Arial" w:cs="Arial" w:eastAsia="Arial" w:hAnsi="Arial"/>
                <w:sz w:val="18"/>
                <w:szCs w:val="18"/>
                <w:color w:val="auto"/>
              </w:rPr>
              <w:t>$13.40</w:t>
            </w:r>
          </w:p>
        </w:tc>
        <w:tc>
          <w:tcPr>
            <w:tcW w:w="180" w:type="dxa"/>
            <w:vAlign w:val="bottom"/>
            <w:shd w:val="clear" w:color="auto" w:fill="CCEEFF"/>
          </w:tcPr>
          <w:p>
            <w:pPr>
              <w:spacing w:after="0"/>
              <w:rPr>
                <w:sz w:val="24"/>
                <w:szCs w:val="24"/>
                <w:color w:val="auto"/>
              </w:rPr>
            </w:pPr>
          </w:p>
        </w:tc>
        <w:tc>
          <w:tcPr>
            <w:tcW w:w="202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compensation</w:t>
            </w:r>
          </w:p>
        </w:tc>
        <w:tc>
          <w:tcPr>
            <w:tcW w:w="2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plans not approved by</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w:t>
            </w:r>
          </w:p>
        </w:tc>
        <w:tc>
          <w:tcPr>
            <w:tcW w:w="2080" w:type="dxa"/>
            <w:vAlign w:val="bottom"/>
            <w:tcBorders>
              <w:bottom w:val="single" w:sz="8" w:color="CCEEFF"/>
            </w:tcBorders>
            <w:shd w:val="clear" w:color="auto" w:fill="CCEEFF"/>
          </w:tcPr>
          <w:p>
            <w:pPr>
              <w:jc w:val="right"/>
              <w:ind w:right="600"/>
              <w:spacing w:after="0"/>
              <w:rPr>
                <w:sz w:val="20"/>
                <w:szCs w:val="20"/>
                <w:color w:val="auto"/>
              </w:rPr>
            </w:pPr>
            <w:r>
              <w:rPr>
                <w:rFonts w:ascii="Arial" w:cs="Arial" w:eastAsia="Arial" w:hAnsi="Arial"/>
                <w:sz w:val="18"/>
                <w:szCs w:val="18"/>
                <w:color w:val="auto"/>
              </w:rPr>
              <w:t>__</w:t>
            </w: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580"/>
              <w:spacing w:after="0"/>
              <w:rPr>
                <w:sz w:val="20"/>
                <w:szCs w:val="20"/>
                <w:color w:val="auto"/>
              </w:rPr>
            </w:pPr>
            <w:r>
              <w:rPr>
                <w:rFonts w:ascii="Arial" w:cs="Arial" w:eastAsia="Arial" w:hAnsi="Arial"/>
                <w:sz w:val="18"/>
                <w:szCs w:val="18"/>
                <w:color w:val="auto"/>
              </w:rPr>
              <w:t>__</w:t>
            </w:r>
          </w:p>
        </w:tc>
        <w:tc>
          <w:tcPr>
            <w:tcW w:w="18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8"/>
                <w:szCs w:val="18"/>
                <w:color w:val="auto"/>
              </w:rPr>
              <w:t>__</w:t>
            </w:r>
          </w:p>
        </w:tc>
        <w:tc>
          <w:tcPr>
            <w:tcW w:w="0" w:type="dxa"/>
            <w:vAlign w:val="bottom"/>
          </w:tcPr>
          <w:p>
            <w:pPr>
              <w:spacing w:after="0"/>
              <w:rPr>
                <w:sz w:val="1"/>
                <w:szCs w:val="1"/>
                <w:color w:val="auto"/>
              </w:rPr>
            </w:pPr>
          </w:p>
        </w:tc>
      </w:tr>
      <w:tr>
        <w:trPr>
          <w:trHeight w:val="324"/>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80" w:type="dxa"/>
            <w:vAlign w:val="bottom"/>
            <w:shd w:val="clear" w:color="auto" w:fill="CCEEFF"/>
          </w:tcPr>
          <w:p>
            <w:pPr>
              <w:jc w:val="right"/>
              <w:ind w:right="600"/>
              <w:spacing w:after="0"/>
              <w:rPr>
                <w:sz w:val="20"/>
                <w:szCs w:val="20"/>
                <w:color w:val="auto"/>
              </w:rPr>
            </w:pPr>
            <w:r>
              <w:rPr>
                <w:rFonts w:ascii="Arial" w:cs="Arial" w:eastAsia="Arial" w:hAnsi="Arial"/>
                <w:sz w:val="18"/>
                <w:szCs w:val="18"/>
                <w:color w:val="auto"/>
              </w:rPr>
              <w:t>4,454,086</w:t>
            </w:r>
          </w:p>
        </w:tc>
        <w:tc>
          <w:tcPr>
            <w:tcW w:w="2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560"/>
              <w:spacing w:after="0"/>
              <w:rPr>
                <w:sz w:val="20"/>
                <w:szCs w:val="20"/>
                <w:color w:val="auto"/>
              </w:rPr>
            </w:pPr>
            <w:r>
              <w:rPr>
                <w:rFonts w:ascii="Arial" w:cs="Arial" w:eastAsia="Arial" w:hAnsi="Arial"/>
                <w:sz w:val="18"/>
                <w:szCs w:val="18"/>
                <w:color w:val="auto"/>
              </w:rPr>
              <w:t>$13.40</w:t>
            </w: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5,072,582</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0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-1593850</wp:posOffset>
            </wp:positionV>
            <wp:extent cx="120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-1593850</wp:posOffset>
            </wp:positionV>
            <wp:extent cx="120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-1593850</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weighted average exercise price excludes restricted stock units, which have no exercise price.</w:t>
      </w:r>
    </w:p>
    <w:p>
      <w:pPr>
        <w:spacing w:after="0" w:line="41" w:lineRule="exact"/>
        <w:rPr>
          <w:rFonts w:ascii="Arial" w:cs="Arial" w:eastAsia="Arial" w:hAnsi="Arial"/>
          <w:sz w:val="14"/>
          <w:szCs w:val="14"/>
          <w:color w:val="auto"/>
        </w:rPr>
      </w:pPr>
    </w:p>
    <w:p>
      <w:pPr>
        <w:jc w:val="both"/>
        <w:ind w:left="640" w:right="299" w:hanging="348"/>
        <w:spacing w:after="0" w:line="233"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2,609,511 shares of Class A common stock issuable pursuant to outstanding stock options under the 2021 Plan, 1,179,075 shares of our Class A common stock issuable pursuant to outstanding stock options, which were issued under the 2016 Equity Incentive Plan and amended in connection with the IPO, and 665,500 shares of Class A common stock issuable pursuant to outstanding restricted stock units under the 2021 Plan.</w:t>
      </w:r>
    </w:p>
    <w:p>
      <w:pPr>
        <w:spacing w:after="0" w:line="22" w:lineRule="exact"/>
        <w:rPr>
          <w:rFonts w:ascii="Arial" w:cs="Arial" w:eastAsia="Arial" w:hAnsi="Arial"/>
          <w:sz w:val="14"/>
          <w:szCs w:val="14"/>
          <w:color w:val="auto"/>
        </w:rPr>
      </w:pPr>
    </w:p>
    <w:p>
      <w:pPr>
        <w:jc w:val="both"/>
        <w:ind w:left="640" w:right="299" w:hanging="348"/>
        <w:spacing w:after="0" w:line="244" w:lineRule="auto"/>
        <w:tabs>
          <w:tab w:leader="none" w:pos="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Includes 4,511,017 shares of Class A common stock available for issuance under the 2021 Plan and 561,565 shares of Class A common stock available for issuance under the ESPP. The number of shares of Class A common stock reserved for issuance under the 2021 Plan automatically increases on January 1 of each year, starting on January 1, 2022 and continuing through January 1, 2031, by 5% of the aggregate number of shares of common stock of all classes issued and outstanding on December 31 of the immediately preceding calendar year, or a lesser number of shares determined by our Board of Directors prior to the applicable January 1. The maximum number of shares that may be issued upon the exercise of incentive stock options (“ISOs”) under the 2021 Plan is 16,500,000 shares. The number of shares of Class A common stock reserved under the 2021 ESPP for issuance automatically increases on January 1 of each calendar year, beginning on January 1, 2022 and continuing through January 1, 2031, by the lesser of (1) 1% of the aggregate number of shares of common stock of all classes issued and outstanding on December 31 of the preceding calendar year, (2) 100,000 shares and (3) a number of shares determined by our Board of Directors.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We are an “emerging growth company” under applicable federal securities laws and are therefore permitted to take advantage of certain reduced public company reporting requirements. As an emerging growth company, we provide in this proxy statement the scaled disclosure permitted under the Jumpstart Our Business Startups Act of 2012. In addition, as an emerging growth company, we are not required to conduct votes seeking approval, on an advisory basis, of the compensation of our named executive officers or the frequency that such votes must be conducted.</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able</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following table shows, for the fiscal years ended December 31, 2022 and 2021, compensation awarded to or paid to, or earned by, our Chief Executive Officer and our two other most highly-compensated executive officers as of December 31, 2022 (“Named Executive Officers”).</w:t>
      </w:r>
    </w:p>
    <w:p>
      <w:pPr>
        <w:spacing w:after="0" w:line="328"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60" w:type="dxa"/>
            <w:vAlign w:val="bottom"/>
            <w:gridSpan w:val="8"/>
          </w:tcPr>
          <w:p>
            <w:pPr>
              <w:ind w:left="6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able</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24"/>
                <w:szCs w:val="24"/>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Non-Equity</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Salary</w:t>
            </w: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Bonus</w:t>
            </w: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vMerge w:val="restart"/>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Awards</w:t>
            </w:r>
          </w:p>
        </w:tc>
        <w:tc>
          <w:tcPr>
            <w:tcW w:w="98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(3)</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1"/>
        </w:trPr>
        <w:tc>
          <w:tcPr>
            <w:tcW w:w="2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Talat Imran</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2022</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$515,000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6"/>
              </w:rPr>
              <w:t>$1,143,986</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9"/>
              </w:rPr>
              <w:t>$ 2,340,204</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$312,000</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4,311,190</w:t>
            </w:r>
          </w:p>
        </w:tc>
        <w:tc>
          <w:tcPr>
            <w:tcW w:w="0" w:type="dxa"/>
            <w:vAlign w:val="bottom"/>
          </w:tcPr>
          <w:p>
            <w:pPr>
              <w:spacing w:after="0"/>
              <w:rPr>
                <w:sz w:val="1"/>
                <w:szCs w:val="1"/>
                <w:color w:val="auto"/>
              </w:rPr>
            </w:pPr>
          </w:p>
        </w:tc>
      </w:tr>
      <w:tr>
        <w:trPr>
          <w:trHeight w:val="209"/>
        </w:trPr>
        <w:tc>
          <w:tcPr>
            <w:tcW w:w="200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Chief Executive Officer</w:t>
            </w:r>
          </w:p>
        </w:tc>
        <w:tc>
          <w:tcPr>
            <w:tcW w:w="6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2021</w:t>
            </w:r>
          </w:p>
        </w:tc>
        <w:tc>
          <w:tcPr>
            <w:tcW w:w="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7"/>
              </w:rPr>
              <w:t>$408,333</w:t>
            </w:r>
          </w:p>
        </w:tc>
        <w:tc>
          <w:tcPr>
            <w:tcW w:w="8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ind w:left="560"/>
              <w:spacing w:after="0"/>
              <w:rPr>
                <w:sz w:val="20"/>
                <w:szCs w:val="20"/>
                <w:color w:val="auto"/>
              </w:rPr>
            </w:pPr>
            <w:r>
              <w:rPr>
                <w:rFonts w:ascii="Arial" w:cs="Arial" w:eastAsia="Arial" w:hAnsi="Arial"/>
                <w:sz w:val="17"/>
                <w:szCs w:val="17"/>
                <w:color w:val="auto"/>
                <w:w w:val="93"/>
              </w:rPr>
              <w:t>—</w:t>
            </w:r>
          </w:p>
        </w:tc>
        <w:tc>
          <w:tcPr>
            <w:tcW w:w="920" w:type="dxa"/>
            <w:vAlign w:val="bottom"/>
            <w:gridSpan w:val="2"/>
            <w:vMerge w:val="restart"/>
            <w:shd w:val="clear" w:color="auto" w:fill="CCEEFF"/>
          </w:tcPr>
          <w:p>
            <w:pPr>
              <w:ind w:left="100"/>
              <w:spacing w:after="0"/>
              <w:rPr>
                <w:sz w:val="20"/>
                <w:szCs w:val="20"/>
                <w:color w:val="auto"/>
              </w:rPr>
            </w:pPr>
            <w:r>
              <w:rPr>
                <w:rFonts w:ascii="Arial" w:cs="Arial" w:eastAsia="Arial" w:hAnsi="Arial"/>
                <w:sz w:val="17"/>
                <w:szCs w:val="17"/>
                <w:color w:val="auto"/>
                <w:w w:val="84"/>
              </w:rPr>
              <w:t>$10,999,490</w:t>
            </w:r>
          </w:p>
        </w:tc>
        <w:tc>
          <w:tcPr>
            <w:tcW w:w="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7"/>
              </w:rPr>
              <w:t>$375,000</w:t>
            </w:r>
          </w:p>
        </w:tc>
        <w:tc>
          <w:tcPr>
            <w:tcW w:w="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gridSpan w:val="3"/>
            <w:vMerge w:val="restart"/>
            <w:shd w:val="clear" w:color="auto" w:fill="CCEEFF"/>
          </w:tcPr>
          <w:p>
            <w:pPr>
              <w:ind w:left="80"/>
              <w:spacing w:after="0"/>
              <w:rPr>
                <w:sz w:val="20"/>
                <w:szCs w:val="20"/>
                <w:color w:val="auto"/>
              </w:rPr>
            </w:pPr>
            <w:r>
              <w:rPr>
                <w:rFonts w:ascii="Arial" w:cs="Arial" w:eastAsia="Arial" w:hAnsi="Arial"/>
                <w:sz w:val="17"/>
                <w:szCs w:val="17"/>
                <w:color w:val="auto"/>
                <w:w w:val="84"/>
              </w:rPr>
              <w:t>$11,782,823</w:t>
            </w:r>
          </w:p>
        </w:tc>
        <w:tc>
          <w:tcPr>
            <w:tcW w:w="0" w:type="dxa"/>
            <w:vAlign w:val="bottom"/>
          </w:tcPr>
          <w:p>
            <w:pPr>
              <w:spacing w:after="0"/>
              <w:rPr>
                <w:sz w:val="1"/>
                <w:szCs w:val="1"/>
                <w:color w:val="auto"/>
              </w:rPr>
            </w:pPr>
          </w:p>
        </w:tc>
      </w:tr>
      <w:tr>
        <w:trPr>
          <w:trHeight w:val="148"/>
        </w:trPr>
        <w:tc>
          <w:tcPr>
            <w:tcW w:w="19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00" w:type="dxa"/>
            <w:vAlign w:val="bottom"/>
            <w:gridSpan w:val="2"/>
          </w:tcPr>
          <w:p>
            <w:pPr>
              <w:spacing w:after="0"/>
              <w:rPr>
                <w:sz w:val="20"/>
                <w:szCs w:val="20"/>
                <w:color w:val="auto"/>
              </w:rPr>
            </w:pPr>
            <w:r>
              <w:rPr>
                <w:rFonts w:ascii="Arial" w:cs="Arial" w:eastAsia="Arial" w:hAnsi="Arial"/>
                <w:sz w:val="17"/>
                <w:szCs w:val="17"/>
                <w:b w:val="1"/>
                <w:bCs w:val="1"/>
                <w:color w:val="auto"/>
              </w:rPr>
              <w:t>Mir Hashim</w:t>
            </w:r>
          </w:p>
        </w:tc>
        <w:tc>
          <w:tcPr>
            <w:tcW w:w="4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4"/>
              </w:rPr>
              <w:t>2022</w:t>
            </w:r>
          </w:p>
        </w:tc>
        <w:tc>
          <w:tcPr>
            <w:tcW w:w="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7"/>
              </w:rPr>
              <w:t>$412,000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gridSpan w:val="2"/>
          </w:tcPr>
          <w:p>
            <w:pPr>
              <w:jc w:val="center"/>
              <w:spacing w:after="0"/>
              <w:rPr>
                <w:sz w:val="20"/>
                <w:szCs w:val="20"/>
                <w:color w:val="auto"/>
              </w:rPr>
            </w:pPr>
            <w:r>
              <w:rPr>
                <w:rFonts w:ascii="Arial" w:cs="Arial" w:eastAsia="Arial" w:hAnsi="Arial"/>
                <w:sz w:val="17"/>
                <w:szCs w:val="17"/>
                <w:color w:val="auto"/>
                <w:w w:val="92"/>
              </w:rPr>
              <w:t>$  544,252</w:t>
            </w:r>
          </w:p>
        </w:tc>
        <w:tc>
          <w:tcPr>
            <w:tcW w:w="920" w:type="dxa"/>
            <w:vAlign w:val="bottom"/>
            <w:gridSpan w:val="2"/>
          </w:tcPr>
          <w:p>
            <w:pPr>
              <w:ind w:left="100"/>
              <w:spacing w:after="0"/>
              <w:rPr>
                <w:sz w:val="20"/>
                <w:szCs w:val="20"/>
                <w:color w:val="auto"/>
              </w:rPr>
            </w:pPr>
            <w:r>
              <w:rPr>
                <w:rFonts w:ascii="Arial" w:cs="Arial" w:eastAsia="Arial" w:hAnsi="Arial"/>
                <w:sz w:val="17"/>
                <w:szCs w:val="17"/>
                <w:color w:val="auto"/>
                <w:w w:val="89"/>
              </w:rPr>
              <w:t>$ 1,114,129</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7"/>
              </w:rPr>
              <w:t>$249,600</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89"/>
              </w:rPr>
              <w:t>2,319,981</w:t>
            </w:r>
          </w:p>
        </w:tc>
        <w:tc>
          <w:tcPr>
            <w:tcW w:w="0" w:type="dxa"/>
            <w:vAlign w:val="bottom"/>
          </w:tcPr>
          <w:p>
            <w:pPr>
              <w:spacing w:after="0"/>
              <w:rPr>
                <w:sz w:val="1"/>
                <w:szCs w:val="1"/>
                <w:color w:val="auto"/>
              </w:rPr>
            </w:pPr>
          </w:p>
        </w:tc>
      </w:tr>
      <w:tr>
        <w:trPr>
          <w:trHeight w:val="209"/>
        </w:trPr>
        <w:tc>
          <w:tcPr>
            <w:tcW w:w="2000" w:type="dxa"/>
            <w:vAlign w:val="bottom"/>
            <w:gridSpan w:val="2"/>
          </w:tcPr>
          <w:p>
            <w:pPr>
              <w:ind w:left="160"/>
              <w:spacing w:after="0"/>
              <w:rPr>
                <w:sz w:val="20"/>
                <w:szCs w:val="20"/>
                <w:color w:val="auto"/>
              </w:rPr>
            </w:pPr>
            <w:r>
              <w:rPr>
                <w:rFonts w:ascii="Arial" w:cs="Arial" w:eastAsia="Arial" w:hAnsi="Arial"/>
                <w:sz w:val="17"/>
                <w:szCs w:val="17"/>
                <w:i w:val="1"/>
                <w:iCs w:val="1"/>
                <w:color w:val="auto"/>
              </w:rPr>
              <w:t>Chief Scientific Officer</w:t>
            </w:r>
          </w:p>
        </w:tc>
        <w:tc>
          <w:tcPr>
            <w:tcW w:w="40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84"/>
              </w:rPr>
              <w:t>2021</w:t>
            </w:r>
          </w:p>
        </w:tc>
        <w:tc>
          <w:tcPr>
            <w:tcW w:w="8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w w:val="87"/>
              </w:rPr>
              <w:t>$396,923</w:t>
            </w:r>
          </w:p>
        </w:tc>
        <w:tc>
          <w:tcPr>
            <w:tcW w:w="80" w:type="dxa"/>
            <w:vAlign w:val="bottom"/>
          </w:tcPr>
          <w:p>
            <w:pPr>
              <w:spacing w:after="0"/>
              <w:rPr>
                <w:sz w:val="18"/>
                <w:szCs w:val="18"/>
                <w:color w:val="auto"/>
              </w:rPr>
            </w:pPr>
          </w:p>
        </w:tc>
        <w:tc>
          <w:tcPr>
            <w:tcW w:w="400" w:type="dxa"/>
            <w:vAlign w:val="bottom"/>
            <w:vMerge w:val="restart"/>
          </w:tcPr>
          <w:p>
            <w:pPr>
              <w:ind w:left="140"/>
              <w:spacing w:after="0"/>
              <w:rPr>
                <w:sz w:val="20"/>
                <w:szCs w:val="20"/>
                <w:color w:val="auto"/>
              </w:rPr>
            </w:pPr>
            <w:r>
              <w:rPr>
                <w:rFonts w:ascii="Arial" w:cs="Arial" w:eastAsia="Arial" w:hAnsi="Arial"/>
                <w:sz w:val="17"/>
                <w:szCs w:val="17"/>
                <w:color w:val="auto"/>
              </w:rPr>
              <w:t>—</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86"/>
              </w:rPr>
              <w:t>$2,300,256</w:t>
            </w:r>
          </w:p>
        </w:tc>
        <w:tc>
          <w:tcPr>
            <w:tcW w:w="920" w:type="dxa"/>
            <w:vAlign w:val="bottom"/>
            <w:gridSpan w:val="2"/>
            <w:vMerge w:val="restart"/>
          </w:tcPr>
          <w:p>
            <w:pPr>
              <w:ind w:left="100"/>
              <w:spacing w:after="0"/>
              <w:rPr>
                <w:sz w:val="20"/>
                <w:szCs w:val="20"/>
                <w:color w:val="auto"/>
              </w:rPr>
            </w:pPr>
            <w:r>
              <w:rPr>
                <w:rFonts w:ascii="Arial" w:cs="Arial" w:eastAsia="Arial" w:hAnsi="Arial"/>
                <w:sz w:val="17"/>
                <w:szCs w:val="17"/>
                <w:color w:val="auto"/>
                <w:w w:val="89"/>
              </w:rPr>
              <w:t>$ 2,010,118</w:t>
            </w:r>
          </w:p>
        </w:tc>
        <w:tc>
          <w:tcPr>
            <w:tcW w:w="8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87"/>
              </w:rPr>
              <w:t>$300,000</w:t>
            </w:r>
          </w:p>
        </w:tc>
        <w:tc>
          <w:tcPr>
            <w:tcW w:w="8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3"/>
              </w:rPr>
              <w:t>—</w:t>
            </w:r>
          </w:p>
        </w:tc>
        <w:tc>
          <w:tcPr>
            <w:tcW w:w="180" w:type="dxa"/>
            <w:vAlign w:val="bottom"/>
            <w:gridSpan w:val="2"/>
            <w:vMerge w:val="restart"/>
          </w:tcPr>
          <w:p>
            <w:pPr>
              <w:ind w:left="80"/>
              <w:spacing w:after="0"/>
              <w:rPr>
                <w:sz w:val="20"/>
                <w:szCs w:val="20"/>
                <w:color w:val="auto"/>
              </w:rPr>
            </w:pPr>
            <w:r>
              <w:rPr>
                <w:rFonts w:ascii="Arial" w:cs="Arial" w:eastAsia="Arial" w:hAnsi="Arial"/>
                <w:sz w:val="17"/>
                <w:szCs w:val="17"/>
                <w:color w:val="auto"/>
                <w:w w:val="84"/>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w w:val="89"/>
              </w:rPr>
              <w:t>5,007,297</w:t>
            </w:r>
          </w:p>
        </w:tc>
        <w:tc>
          <w:tcPr>
            <w:tcW w:w="0" w:type="dxa"/>
            <w:vAlign w:val="bottom"/>
          </w:tcPr>
          <w:p>
            <w:pPr>
              <w:spacing w:after="0"/>
              <w:rPr>
                <w:sz w:val="1"/>
                <w:szCs w:val="1"/>
                <w:color w:val="auto"/>
              </w:rPr>
            </w:pPr>
          </w:p>
        </w:tc>
      </w:tr>
      <w:tr>
        <w:trPr>
          <w:trHeight w:val="108"/>
        </w:trPr>
        <w:tc>
          <w:tcPr>
            <w:tcW w:w="1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9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Svai Sanford</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2022</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$412,000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  434,609</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3"/>
              </w:rPr>
              <w:t>$   888,460</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$249,600</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1,984,669</w:t>
            </w:r>
          </w:p>
        </w:tc>
        <w:tc>
          <w:tcPr>
            <w:tcW w:w="0" w:type="dxa"/>
            <w:vAlign w:val="bottom"/>
          </w:tcPr>
          <w:p>
            <w:pPr>
              <w:spacing w:after="0"/>
              <w:rPr>
                <w:sz w:val="1"/>
                <w:szCs w:val="1"/>
                <w:color w:val="auto"/>
              </w:rPr>
            </w:pPr>
          </w:p>
        </w:tc>
      </w:tr>
      <w:tr>
        <w:trPr>
          <w:trHeight w:val="209"/>
        </w:trPr>
        <w:tc>
          <w:tcPr>
            <w:tcW w:w="200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Chief Financial Officer</w:t>
            </w:r>
          </w:p>
        </w:tc>
        <w:tc>
          <w:tcPr>
            <w:tcW w:w="6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2021</w:t>
            </w:r>
          </w:p>
        </w:tc>
        <w:tc>
          <w:tcPr>
            <w:tcW w:w="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7"/>
              </w:rPr>
              <w:t>$375,737</w:t>
            </w:r>
          </w:p>
        </w:tc>
        <w:tc>
          <w:tcPr>
            <w:tcW w:w="8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20" w:type="dxa"/>
            <w:vAlign w:val="bottom"/>
            <w:gridSpan w:val="2"/>
            <w:vMerge w:val="restart"/>
            <w:shd w:val="clear" w:color="auto" w:fill="CCEEFF"/>
          </w:tcPr>
          <w:p>
            <w:pPr>
              <w:jc w:val="center"/>
              <w:spacing w:after="0"/>
              <w:rPr>
                <w:sz w:val="20"/>
                <w:szCs w:val="20"/>
                <w:color w:val="auto"/>
              </w:rPr>
            </w:pPr>
            <w:r>
              <w:rPr>
                <w:rFonts w:ascii="Arial" w:cs="Arial" w:eastAsia="Arial" w:hAnsi="Arial"/>
                <w:sz w:val="17"/>
                <w:szCs w:val="17"/>
                <w:color w:val="auto"/>
                <w:w w:val="86"/>
              </w:rPr>
              <w:t>$2,077,272</w:t>
            </w:r>
          </w:p>
        </w:tc>
        <w:tc>
          <w:tcPr>
            <w:tcW w:w="920" w:type="dxa"/>
            <w:vAlign w:val="bottom"/>
            <w:gridSpan w:val="2"/>
            <w:vMerge w:val="restart"/>
            <w:shd w:val="clear" w:color="auto" w:fill="CCEEFF"/>
          </w:tcPr>
          <w:p>
            <w:pPr>
              <w:ind w:left="100"/>
              <w:spacing w:after="0"/>
              <w:rPr>
                <w:sz w:val="20"/>
                <w:szCs w:val="20"/>
                <w:color w:val="auto"/>
              </w:rPr>
            </w:pPr>
            <w:r>
              <w:rPr>
                <w:rFonts w:ascii="Arial" w:cs="Arial" w:eastAsia="Arial" w:hAnsi="Arial"/>
                <w:sz w:val="17"/>
                <w:szCs w:val="17"/>
                <w:color w:val="auto"/>
                <w:w w:val="89"/>
              </w:rPr>
              <w:t>$ 1,918,675</w:t>
            </w:r>
          </w:p>
        </w:tc>
        <w:tc>
          <w:tcPr>
            <w:tcW w:w="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7"/>
              </w:rPr>
              <w:t>$300,000</w:t>
            </w:r>
          </w:p>
        </w:tc>
        <w:tc>
          <w:tcPr>
            <w:tcW w:w="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80" w:type="dxa"/>
            <w:vAlign w:val="bottom"/>
            <w:gridSpan w:val="2"/>
            <w:vMerge w:val="restart"/>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9"/>
              </w:rPr>
              <w:t>4,671,684</w:t>
            </w:r>
          </w:p>
        </w:tc>
        <w:tc>
          <w:tcPr>
            <w:tcW w:w="0" w:type="dxa"/>
            <w:vAlign w:val="bottom"/>
          </w:tcPr>
          <w:p>
            <w:pPr>
              <w:spacing w:after="0"/>
              <w:rPr>
                <w:sz w:val="1"/>
                <w:szCs w:val="1"/>
                <w:color w:val="auto"/>
              </w:rPr>
            </w:pPr>
          </w:p>
        </w:tc>
      </w:tr>
      <w:tr>
        <w:trPr>
          <w:trHeight w:val="108"/>
        </w:trPr>
        <w:tc>
          <w:tcPr>
            <w:tcW w:w="19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continue"/>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8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9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-1199515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-1199515</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-1199515</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-1199515</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-1199515</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-1199515</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-1199515</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-1199515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51" w:lineRule="auto"/>
        <w:tabs>
          <w:tab w:leader="none" w:pos="6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Amounts contain the aggregate grant date fair value of restricted stock units granted to our Named Executive Officers during 2022 and 2021 under the 2021 Plan, each computed in accordance with Financial Accounting Standards Board Accounting Standards Codification Topic 718 (ASC Topic 718). The assumptions used in calculating the grant date fair value of the award disclosed in this column are set forth in the notes to the audited consolidated financial statements included in the Company’s Annual Report on Form 10-K for the year ended December 31, 2022. These amounts do not correspond to the actual value that may be recognized by the Named Executive Officers..</w:t>
      </w:r>
    </w:p>
    <w:p>
      <w:pPr>
        <w:spacing w:after="0" w:line="14" w:lineRule="exact"/>
        <w:rPr>
          <w:rFonts w:ascii="Arial" w:cs="Arial" w:eastAsia="Arial" w:hAnsi="Arial"/>
          <w:sz w:val="13"/>
          <w:szCs w:val="13"/>
          <w:color w:val="auto"/>
        </w:rPr>
      </w:pPr>
    </w:p>
    <w:p>
      <w:pPr>
        <w:jc w:val="both"/>
        <w:ind w:left="640" w:right="299" w:hanging="348"/>
        <w:spacing w:after="0" w:line="228"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contain the aggregate grant date fair value of Profits Interests granted to our Named Executive Officers during 2021 under the 2016 Equity Incentive Plan, including incremental equity-based compensation expense recognized as a result of a modification in connection with the IPO, and options to purchase Class A common stock granted to our Named Executive Officers during 2022 and 2021 under the 2021 Plan, each computed in accordance with ASC Topic 718. The assumptions used in calculating the grant date fair value of the award disclosed in this column are set forth in the notes to the audited consolidated financial statements included in the Company’s Annual Report on Form 10-K for the year ended December 31, 2022. These amounts do not correspond to the actual value that may be recognized by the Named Executive Officers.</w:t>
      </w:r>
    </w:p>
    <w:p>
      <w:pPr>
        <w:spacing w:after="0" w:line="22"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shown represent performance bonuses earned in 2022 and 2021, which were paid in cash in December 2021 and December 2022,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utstanding</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wards at</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2"/>
          <w:szCs w:val="12"/>
          <w:b w:val="1"/>
          <w:bCs w:val="1"/>
          <w:color w:val="auto"/>
        </w:rPr>
        <w:t>ear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nd</w:t>
      </w:r>
    </w:p>
    <w:p>
      <w:pPr>
        <w:spacing w:after="0" w:line="12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The following table shows for the fiscal year ended December 31, 2022, certain information regarding outstanding equity awards at fiscal year-end for the Named Executive Officers.</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80" w:type="dxa"/>
            <w:vAlign w:val="bottom"/>
            <w:gridSpan w:val="10"/>
          </w:tcPr>
          <w:p>
            <w:pPr>
              <w:ind w:left="4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utstanding</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wards on</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ecember</w:t>
            </w:r>
            <w:r>
              <w:rPr>
                <w:rFonts w:ascii="Arial" w:cs="Arial" w:eastAsia="Arial" w:hAnsi="Arial"/>
                <w:sz w:val="18"/>
                <w:szCs w:val="18"/>
                <w:b w:val="1"/>
                <w:bCs w:val="1"/>
                <w:color w:val="auto"/>
              </w:rPr>
              <w:t xml:space="preserve"> 31, 2022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4"/>
          </w:tcPr>
          <w:p>
            <w:pPr>
              <w:ind w:left="22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Incentive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Market</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 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Value of</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Units of</w:t>
            </w:r>
          </w:p>
        </w:tc>
        <w:tc>
          <w:tcPr>
            <w:tcW w:w="2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 or</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Unearned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Units of</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 or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00" w:type="dxa"/>
            <w:vAlign w:val="bottom"/>
            <w:gridSpan w:val="2"/>
            <w:vMerge w:val="continue"/>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That</w:t>
            </w:r>
          </w:p>
        </w:tc>
        <w:tc>
          <w:tcPr>
            <w:tcW w:w="2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 That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Units That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Units That</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Exercise</w:t>
            </w:r>
          </w:p>
        </w:tc>
        <w:tc>
          <w:tcPr>
            <w:tcW w:w="760" w:type="dxa"/>
            <w:vAlign w:val="bottom"/>
            <w:gridSpan w:val="2"/>
            <w:vMerge w:val="continue"/>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2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 Not</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 Not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Grant Date</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Vested</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6"/>
        </w:trPr>
        <w:tc>
          <w:tcPr>
            <w:tcW w:w="13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Exercisable</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Unexercisable</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Date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right="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12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Talat Imran</w:t>
            </w:r>
          </w:p>
        </w:tc>
        <w:tc>
          <w:tcPr>
            <w:tcW w:w="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3/22/2022</w:t>
            </w:r>
            <w:r>
              <w:rPr>
                <w:rFonts w:ascii="Arial" w:cs="Arial" w:eastAsia="Arial" w:hAnsi="Arial"/>
                <w:sz w:val="26"/>
                <w:szCs w:val="26"/>
                <w:color w:val="auto"/>
                <w:w w:val="88"/>
                <w:vertAlign w:val="superscript"/>
              </w:rPr>
              <w:t>(3)</w:t>
            </w:r>
          </w:p>
        </w:tc>
        <w:tc>
          <w:tcPr>
            <w:tcW w:w="84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49,387</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214,013</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$13.21</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3/21/2032</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3/22/2022</w:t>
            </w:r>
            <w:r>
              <w:rPr>
                <w:rFonts w:ascii="Arial" w:cs="Arial" w:eastAsia="Arial" w:hAnsi="Arial"/>
                <w:sz w:val="26"/>
                <w:szCs w:val="26"/>
                <w:color w:val="auto"/>
                <w:w w:val="88"/>
                <w:vertAlign w:val="superscript"/>
              </w:rPr>
              <w:t>(4)</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86,600</w:t>
            </w:r>
          </w:p>
        </w:tc>
        <w:tc>
          <w:tcPr>
            <w:tcW w:w="60" w:type="dxa"/>
            <w:vAlign w:val="bottom"/>
            <w:shd w:val="clear" w:color="auto" w:fill="CCEEFF"/>
          </w:tcPr>
          <w:p>
            <w:pPr>
              <w:spacing w:after="0"/>
              <w:rPr>
                <w:sz w:val="24"/>
                <w:szCs w:val="2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1,143,986</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6/17/2021</w:t>
            </w:r>
            <w:r>
              <w:rPr>
                <w:rFonts w:ascii="Arial" w:cs="Arial" w:eastAsia="Arial" w:hAnsi="Arial"/>
                <w:sz w:val="26"/>
                <w:szCs w:val="26"/>
                <w:color w:val="auto"/>
                <w:w w:val="88"/>
                <w:vertAlign w:val="superscript"/>
              </w:rPr>
              <w:t>(1)</w:t>
            </w:r>
          </w:p>
        </w:tc>
        <w:tc>
          <w:tcPr>
            <w:tcW w:w="84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29,606</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49,345</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$ 9.44</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6/16/2031</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9/9/2021</w:t>
            </w:r>
            <w:r>
              <w:rPr>
                <w:rFonts w:ascii="Arial" w:cs="Arial" w:eastAsia="Arial" w:hAnsi="Arial"/>
                <w:sz w:val="26"/>
                <w:szCs w:val="26"/>
                <w:color w:val="auto"/>
                <w:w w:val="88"/>
                <w:vertAlign w:val="superscript"/>
              </w:rPr>
              <w:t>(2)</w:t>
            </w:r>
          </w:p>
        </w:tc>
        <w:tc>
          <w:tcPr>
            <w:tcW w:w="84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271,876</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453,125</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$19.56</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9/8/2031</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0"/>
        </w:trPr>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Mir Hashim</w:t>
            </w:r>
          </w:p>
        </w:tc>
        <w:tc>
          <w:tcPr>
            <w:tcW w:w="860" w:type="dxa"/>
            <w:vAlign w:val="bottom"/>
            <w:gridSpan w:val="2"/>
          </w:tcPr>
          <w:p>
            <w:pPr>
              <w:jc w:val="center"/>
              <w:spacing w:after="0"/>
              <w:rPr>
                <w:sz w:val="20"/>
                <w:szCs w:val="20"/>
                <w:color w:val="auto"/>
              </w:rPr>
            </w:pPr>
            <w:r>
              <w:rPr>
                <w:rFonts w:ascii="Arial" w:cs="Arial" w:eastAsia="Arial" w:hAnsi="Arial"/>
                <w:sz w:val="16"/>
                <w:szCs w:val="16"/>
                <w:color w:val="auto"/>
                <w:w w:val="88"/>
              </w:rPr>
              <w:t>3/22/2022</w:t>
            </w:r>
            <w:r>
              <w:rPr>
                <w:rFonts w:ascii="Arial" w:cs="Arial" w:eastAsia="Arial" w:hAnsi="Arial"/>
                <w:sz w:val="26"/>
                <w:szCs w:val="26"/>
                <w:color w:val="auto"/>
                <w:w w:val="88"/>
                <w:vertAlign w:val="superscript"/>
              </w:rPr>
              <w:t>(3)</w:t>
            </w:r>
          </w:p>
        </w:tc>
        <w:tc>
          <w:tcPr>
            <w:tcW w:w="840" w:type="dxa"/>
            <w:vAlign w:val="bottom"/>
            <w:gridSpan w:val="2"/>
          </w:tcPr>
          <w:p>
            <w:pPr>
              <w:jc w:val="right"/>
              <w:ind w:right="43"/>
              <w:spacing w:after="0"/>
              <w:rPr>
                <w:sz w:val="20"/>
                <w:szCs w:val="20"/>
                <w:color w:val="auto"/>
              </w:rPr>
            </w:pPr>
            <w:r>
              <w:rPr>
                <w:rFonts w:ascii="Arial" w:cs="Arial" w:eastAsia="Arial" w:hAnsi="Arial"/>
                <w:sz w:val="16"/>
                <w:szCs w:val="16"/>
                <w:color w:val="auto"/>
              </w:rPr>
              <w:t>23,512</w:t>
            </w:r>
          </w:p>
        </w:tc>
        <w:tc>
          <w:tcPr>
            <w:tcW w:w="80" w:type="dxa"/>
            <w:vAlign w:val="bottom"/>
          </w:tcPr>
          <w:p>
            <w:pPr>
              <w:spacing w:after="0"/>
              <w:rPr>
                <w:sz w:val="24"/>
                <w:szCs w:val="24"/>
                <w:color w:val="auto"/>
              </w:rPr>
            </w:pPr>
          </w:p>
        </w:tc>
        <w:tc>
          <w:tcPr>
            <w:tcW w:w="860" w:type="dxa"/>
            <w:vAlign w:val="bottom"/>
          </w:tcPr>
          <w:p>
            <w:pPr>
              <w:jc w:val="right"/>
              <w:ind w:right="83"/>
              <w:spacing w:after="0"/>
              <w:rPr>
                <w:sz w:val="20"/>
                <w:szCs w:val="20"/>
                <w:color w:val="auto"/>
              </w:rPr>
            </w:pPr>
            <w:r>
              <w:rPr>
                <w:rFonts w:ascii="Arial" w:cs="Arial" w:eastAsia="Arial" w:hAnsi="Arial"/>
                <w:sz w:val="16"/>
                <w:szCs w:val="16"/>
                <w:color w:val="auto"/>
              </w:rPr>
              <w:t>101,888</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3"/>
              </w:rPr>
              <w:t>$13.21</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3/21/2032</w:t>
            </w: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80" w:type="dxa"/>
            <w:vAlign w:val="bottom"/>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16"/>
                <w:szCs w:val="16"/>
                <w:color w:val="auto"/>
                <w:w w:val="88"/>
              </w:rPr>
              <w:t>3/22/2022</w:t>
            </w:r>
            <w:r>
              <w:rPr>
                <w:rFonts w:ascii="Arial" w:cs="Arial" w:eastAsia="Arial" w:hAnsi="Arial"/>
                <w:sz w:val="26"/>
                <w:szCs w:val="26"/>
                <w:color w:val="auto"/>
                <w:w w:val="88"/>
                <w:vertAlign w:val="superscript"/>
              </w:rPr>
              <w:t>(4)</w:t>
            </w:r>
          </w:p>
        </w:tc>
        <w:tc>
          <w:tcPr>
            <w:tcW w:w="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41,200</w:t>
            </w:r>
          </w:p>
        </w:tc>
        <w:tc>
          <w:tcPr>
            <w:tcW w:w="6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544,252</w:t>
            </w:r>
          </w:p>
        </w:tc>
        <w:tc>
          <w:tcPr>
            <w:tcW w:w="80" w:type="dxa"/>
            <w:vAlign w:val="bottom"/>
          </w:tcPr>
          <w:p>
            <w:pPr>
              <w:spacing w:after="0"/>
              <w:rPr>
                <w:sz w:val="24"/>
                <w:szCs w:val="24"/>
                <w:color w:val="auto"/>
              </w:rPr>
            </w:pP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80" w:type="dxa"/>
            <w:vAlign w:val="bottom"/>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16"/>
                <w:szCs w:val="16"/>
                <w:color w:val="auto"/>
                <w:w w:val="88"/>
              </w:rPr>
              <w:t>6/17/2021</w:t>
            </w:r>
            <w:r>
              <w:rPr>
                <w:rFonts w:ascii="Arial" w:cs="Arial" w:eastAsia="Arial" w:hAnsi="Arial"/>
                <w:sz w:val="26"/>
                <w:szCs w:val="26"/>
                <w:color w:val="auto"/>
                <w:w w:val="88"/>
                <w:vertAlign w:val="superscript"/>
              </w:rPr>
              <w:t>(1)</w:t>
            </w:r>
          </w:p>
        </w:tc>
        <w:tc>
          <w:tcPr>
            <w:tcW w:w="840" w:type="dxa"/>
            <w:vAlign w:val="bottom"/>
            <w:gridSpan w:val="2"/>
          </w:tcPr>
          <w:p>
            <w:pPr>
              <w:jc w:val="right"/>
              <w:ind w:right="43"/>
              <w:spacing w:after="0"/>
              <w:rPr>
                <w:sz w:val="20"/>
                <w:szCs w:val="20"/>
                <w:color w:val="auto"/>
              </w:rPr>
            </w:pPr>
            <w:r>
              <w:rPr>
                <w:rFonts w:ascii="Arial" w:cs="Arial" w:eastAsia="Arial" w:hAnsi="Arial"/>
                <w:sz w:val="16"/>
                <w:szCs w:val="16"/>
                <w:color w:val="auto"/>
              </w:rPr>
              <w:t>79,317</w:t>
            </w:r>
          </w:p>
        </w:tc>
        <w:tc>
          <w:tcPr>
            <w:tcW w:w="80" w:type="dxa"/>
            <w:vAlign w:val="bottom"/>
          </w:tcPr>
          <w:p>
            <w:pPr>
              <w:spacing w:after="0"/>
              <w:rPr>
                <w:sz w:val="24"/>
                <w:szCs w:val="24"/>
                <w:color w:val="auto"/>
              </w:rPr>
            </w:pPr>
          </w:p>
        </w:tc>
        <w:tc>
          <w:tcPr>
            <w:tcW w:w="860" w:type="dxa"/>
            <w:vAlign w:val="bottom"/>
          </w:tcPr>
          <w:p>
            <w:pPr>
              <w:jc w:val="right"/>
              <w:ind w:right="83"/>
              <w:spacing w:after="0"/>
              <w:rPr>
                <w:sz w:val="20"/>
                <w:szCs w:val="20"/>
                <w:color w:val="auto"/>
              </w:rPr>
            </w:pPr>
            <w:r>
              <w:rPr>
                <w:rFonts w:ascii="Arial" w:cs="Arial" w:eastAsia="Arial" w:hAnsi="Arial"/>
                <w:sz w:val="16"/>
                <w:szCs w:val="16"/>
                <w:color w:val="auto"/>
              </w:rPr>
              <w:t>132,195</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$ 9.44</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6/16/2031</w:t>
            </w: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80" w:type="dxa"/>
            <w:vAlign w:val="bottom"/>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1"/>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jc w:val="center"/>
              <w:spacing w:after="0" w:line="281" w:lineRule="exact"/>
              <w:rPr>
                <w:sz w:val="20"/>
                <w:szCs w:val="20"/>
                <w:color w:val="auto"/>
              </w:rPr>
            </w:pPr>
            <w:r>
              <w:rPr>
                <w:rFonts w:ascii="Arial" w:cs="Arial" w:eastAsia="Arial" w:hAnsi="Arial"/>
                <w:sz w:val="16"/>
                <w:szCs w:val="16"/>
                <w:color w:val="auto"/>
                <w:w w:val="88"/>
              </w:rPr>
              <w:t>9/9/2021</w:t>
            </w:r>
            <w:r>
              <w:rPr>
                <w:rFonts w:ascii="Arial" w:cs="Arial" w:eastAsia="Arial" w:hAnsi="Arial"/>
                <w:sz w:val="26"/>
                <w:szCs w:val="26"/>
                <w:color w:val="auto"/>
                <w:w w:val="88"/>
                <w:vertAlign w:val="superscript"/>
              </w:rPr>
              <w:t>(2)</w:t>
            </w:r>
          </w:p>
        </w:tc>
        <w:tc>
          <w:tcPr>
            <w:tcW w:w="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58,800</w:t>
            </w:r>
          </w:p>
        </w:tc>
        <w:tc>
          <w:tcPr>
            <w:tcW w:w="6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1,150,128</w:t>
            </w:r>
          </w:p>
        </w:tc>
        <w:tc>
          <w:tcPr>
            <w:tcW w:w="80" w:type="dxa"/>
            <w:vAlign w:val="bottom"/>
          </w:tcPr>
          <w:p>
            <w:pPr>
              <w:spacing w:after="0"/>
              <w:rPr>
                <w:sz w:val="24"/>
                <w:szCs w:val="24"/>
                <w:color w:val="auto"/>
              </w:rPr>
            </w:pP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80" w:type="dxa"/>
            <w:vAlign w:val="bottom"/>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1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Svai Sanford</w:t>
            </w:r>
          </w:p>
        </w:tc>
        <w:tc>
          <w:tcPr>
            <w:tcW w:w="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3/22/2022</w:t>
            </w:r>
            <w:r>
              <w:rPr>
                <w:rFonts w:ascii="Arial" w:cs="Arial" w:eastAsia="Arial" w:hAnsi="Arial"/>
                <w:sz w:val="26"/>
                <w:szCs w:val="26"/>
                <w:color w:val="auto"/>
                <w:w w:val="88"/>
                <w:vertAlign w:val="superscript"/>
              </w:rPr>
              <w:t>(3)</w:t>
            </w:r>
          </w:p>
        </w:tc>
        <w:tc>
          <w:tcPr>
            <w:tcW w:w="84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18,750</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81,250</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$13.21</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3/21/2032</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3/22/2022</w:t>
            </w:r>
            <w:r>
              <w:rPr>
                <w:rFonts w:ascii="Arial" w:cs="Arial" w:eastAsia="Arial" w:hAnsi="Arial"/>
                <w:sz w:val="26"/>
                <w:szCs w:val="26"/>
                <w:color w:val="auto"/>
                <w:w w:val="88"/>
                <w:vertAlign w:val="superscript"/>
              </w:rPr>
              <w:t>(4)</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32,900</w:t>
            </w:r>
          </w:p>
        </w:tc>
        <w:tc>
          <w:tcPr>
            <w:tcW w:w="60" w:type="dxa"/>
            <w:vAlign w:val="bottom"/>
            <w:shd w:val="clear" w:color="auto" w:fill="CCEEFF"/>
          </w:tcPr>
          <w:p>
            <w:pPr>
              <w:spacing w:after="0"/>
              <w:rPr>
                <w:sz w:val="24"/>
                <w:szCs w:val="2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434,609</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6/17/2021</w:t>
            </w:r>
            <w:r>
              <w:rPr>
                <w:rFonts w:ascii="Arial" w:cs="Arial" w:eastAsia="Arial" w:hAnsi="Arial"/>
                <w:sz w:val="26"/>
                <w:szCs w:val="26"/>
                <w:color w:val="auto"/>
                <w:w w:val="88"/>
                <w:vertAlign w:val="superscript"/>
              </w:rPr>
              <w:t>(1)</w:t>
            </w:r>
          </w:p>
        </w:tc>
        <w:tc>
          <w:tcPr>
            <w:tcW w:w="84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79,317</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132,195</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$ 9.44</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6/16/2031</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9/9/2021</w:t>
            </w:r>
            <w:r>
              <w:rPr>
                <w:rFonts w:ascii="Arial" w:cs="Arial" w:eastAsia="Arial" w:hAnsi="Arial"/>
                <w:sz w:val="26"/>
                <w:szCs w:val="26"/>
                <w:color w:val="auto"/>
                <w:w w:val="88"/>
                <w:vertAlign w:val="superscript"/>
              </w:rPr>
              <w:t>(2)</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53,100</w:t>
            </w:r>
          </w:p>
        </w:tc>
        <w:tc>
          <w:tcPr>
            <w:tcW w:w="60" w:type="dxa"/>
            <w:vAlign w:val="bottom"/>
            <w:shd w:val="clear" w:color="auto" w:fill="CCEEFF"/>
          </w:tcPr>
          <w:p>
            <w:pPr>
              <w:spacing w:after="0"/>
              <w:rPr>
                <w:sz w:val="24"/>
                <w:szCs w:val="2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1,038,636</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-2382520</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-2382520</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-2382520</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-2382520</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-2382520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-2382520</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-2382520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-2382520</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-2382520</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jc w:val="both"/>
        <w:ind w:left="640" w:right="299" w:hanging="348"/>
        <w:spacing w:after="0" w:line="238"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Award issued pursuant to Rani LLC’s 2016 Equity Incentive Plan and assumed by Rani Holdings in connection with the IPO. The shares subject to the option vest over 4 years, with 1/48th of the shares vesting on each monthly anniversary of the Grant Date, subject to the Named Executive Officer providing continued service through each such date.</w:t>
      </w:r>
    </w:p>
    <w:p>
      <w:pPr>
        <w:spacing w:after="0" w:line="20"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Award issued pursuant to the 2021 Plan. One-half of the shares subject to the restricted stock unit vest on each yearly anniversary of the Grant Date, subject to the Named Executive Officer providing continued service through each such date.</w:t>
      </w:r>
    </w:p>
    <w:p>
      <w:pPr>
        <w:spacing w:after="0" w:line="7" w:lineRule="exact"/>
        <w:rPr>
          <w:rFonts w:ascii="Arial" w:cs="Arial" w:eastAsia="Arial" w:hAnsi="Arial"/>
          <w:sz w:val="14"/>
          <w:szCs w:val="14"/>
          <w:color w:val="auto"/>
        </w:rPr>
      </w:pPr>
    </w:p>
    <w:p>
      <w:pPr>
        <w:ind w:left="640" w:right="319" w:hanging="348"/>
        <w:spacing w:after="0" w:line="205"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Award issued pursuant to the 2021 Plan. The shares subject to the options vest over 4 years, with 1/48</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of the shares vesting on each monthly anniversary of the Grant Date, subject to the Named Executive Officer providing continued service through each such date.</w:t>
      </w:r>
    </w:p>
    <w:p>
      <w:pPr>
        <w:spacing w:after="0" w:line="20" w:lineRule="exact"/>
        <w:rPr>
          <w:rFonts w:ascii="Arial" w:cs="Arial" w:eastAsia="Arial" w:hAnsi="Arial"/>
          <w:sz w:val="13"/>
          <w:szCs w:val="13"/>
          <w:color w:val="auto"/>
        </w:rPr>
      </w:pPr>
    </w:p>
    <w:p>
      <w:pPr>
        <w:ind w:left="640" w:right="299" w:hanging="348"/>
        <w:spacing w:after="0" w:line="253"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Award issued pursuant to the 2021 Plan. One-quarter of the shares subject to the restricted stock unit vest on each yearly anniversary of the Grant Date, subject to the Named Executive Officer providing continued service through each such date.</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arrative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able</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Below are descriptions of the offer letters with each of our Named Executive Officers setting forth the terms and conditions of such executive’s employment with Rani LLC, and Rani Management Services, Inc. (“RMS”) prior to transitioning and assigning employment agreements to Rani LLC, each a wholly owned subsidiary of the Company. All of our Named Executive Officers are employed at-will.</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Talat Imran</w:t>
      </w:r>
    </w:p>
    <w:p>
      <w:pPr>
        <w:spacing w:after="0" w:line="11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In December 2019, RMS entered into an offer letter with Talat Imran, our Chief Executive Officer, effective January 1, 2020, which was amended and restated as an employment agreement in June of 2021, as further amended in September 2022 to transfer his employment agreement from RMS to Rani LLC on the same terms and to reflect the then-current salary of $520,000. The employment agreement provides Talat Imran with an opportunity to earn an annual bonus with a target amount equal to 75% of his annual base salary. Talat Imran is also entitled to certain benefits upon his termination of employment as discussed below in the section titled “–Potential Payments Upon Termination or Change in Control”.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Mir Hashim</w:t>
      </w:r>
    </w:p>
    <w:p>
      <w:pPr>
        <w:spacing w:after="0" w:line="11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In December 2019, RMS entered into an offer letter with Dr. Hashim, to serve as our Chief Scientific Officer, effective January 1, 2020, which was amended and restated as an employment agreement in June of 2021, as further amended in September 2022 to transfer his employment agreement from RMS to Rani LLC on the same terms and to reflect the then-current salary of $416,000. The employment agreement provides Dr. Hashim with an opportunity to earn an annual bonus with a target amount equal to 75% of his annual base salary. Dr. Hashim is also entitled to certain benefits upon his termination of employment as discussed below in the section titled “–Potential Payments Upon Termination or Change in Control”</w:t>
      </w:r>
      <w:r>
        <w:rPr>
          <w:rFonts w:ascii="Arial" w:cs="Arial" w:eastAsia="Arial" w:hAnsi="Arial"/>
          <w:sz w:val="17"/>
          <w:szCs w:val="17"/>
          <w:i w:val="1"/>
          <w:iCs w:val="1"/>
          <w:color w:val="auto"/>
        </w:rPr>
        <w:t>.</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Svai Sanford</w:t>
      </w:r>
    </w:p>
    <w:p>
      <w:pPr>
        <w:spacing w:after="0" w:line="11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In December 2019, RMS entered into an offer letter with Mr. Sanford, our Chief Financial Officer, effective January 1, 2020, which was amended and restated as an employment agreement in June of 2021, as further amended in September 2022 to transfer his employment agreement from RMS to Rani LLC on the same terms and to reflect the then-current salary of $416,000. The employment agreement provides Mr. Sanford with an opportunity to earn an annual bonus with a target amount equal to 75% of his annual base salary. Mr. Sanford is also entitled to certain benefits upon his termination of employment as discussed below in the section titled “–Potential Payments Upon Termination or Change in Control”</w:t>
      </w:r>
      <w:r>
        <w:rPr>
          <w:rFonts w:ascii="Arial" w:cs="Arial" w:eastAsia="Arial" w:hAnsi="Arial"/>
          <w:sz w:val="18"/>
          <w:szCs w:val="18"/>
          <w:i w:val="1"/>
          <w:iCs w:val="1"/>
          <w:color w:val="auto"/>
        </w:rPr>
        <w:t>.</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Equity Incentives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On March 22, 2022, each of our Named Executive Officers was granted an option to purchase Class A common stock of the Company under the 2021 Equity Incentive Plan. Talat Imran, Mir Hashim and Svai Sanford were granted options to purchase 263,400, 125,400 and 100,000 shares of Class A common stock of the Company, respectively. Each option had a per-share exercise price of $13.21, which was the per-share fair market value of the underlying shares of Class A common stock on the grant date. Each option vests in substantially equal monthly installments from the grant date, subject to the Named Executive Officer’s continuous service to us through each such vesting date.</w:t>
      </w:r>
    </w:p>
    <w:p>
      <w:pPr>
        <w:spacing w:after="0" w:line="8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In addition, on March 22, 2022, each of Talat Imran, Mir Hashim and Svai Sanford was granted restricted stock units with respect to 86,600, 41,200 and 32,900 shares of our Class A common stock, respectively, which vest in four substantially equal installments on each annual anniversary of their grant date, subject in each case to the Named Executive Officer’s continuous service to us through each such vesting date.</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Annual Bonus</w:t>
      </w:r>
    </w:p>
    <w:p>
      <w:pPr>
        <w:spacing w:after="0" w:line="12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In December 2022, our compensation committee approved annual bonuses for Talat Imran, Dr. Hashim and Mr. Sanford for 2022 in the amount of $312,000 with respect to Talat Imran and $249,600 with respect to each of Dr. Hashim and Mr. Sanford, which were paid in December 2022, as reflected in the “Non-Equity Incentive Plan Compensation” column of the Summary Compensation Table above.</w:t>
      </w:r>
    </w:p>
    <w:p>
      <w:pPr>
        <w:spacing w:after="0" w:line="79"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Each Named Executive Officer is eligible for a performance bonus based upon the achievement of certain corporate performance goals and objectives approved by our board of directors.</w:t>
      </w:r>
    </w:p>
    <w:p>
      <w:pPr>
        <w:spacing w:after="0" w:line="62"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color w:val="auto"/>
        </w:rPr>
        <w:t>Bonuses are set based on the executive’s base salary as of the end of the bonus year. The target level for executive bonuses for 2022 was 75% of base salary for each of Talat Imran, Dr. Hashim and Mr. Sanford.</w:t>
      </w:r>
    </w:p>
    <w:p>
      <w:pPr>
        <w:spacing w:after="0" w:line="38"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Board of Directors (considering the recommendations of the compensation committee and management) sets corporate goals for each year. These goals and the proportional emphasis placed on each are set by the Board of Directors after considering management input and our overall strategic objectives. The Board of Directors, upon recommendation of the compensation committee, determines the level of achievement of the corporate goals for each year. The actual bonuses awarded in any year, if any, may be more or less than the target, depending on the achievement of corporate objectives and may also vary based on other factors at the discretion of the Board of Directors.</w:t>
      </w:r>
    </w:p>
    <w:p>
      <w:pPr>
        <w:spacing w:after="0" w:line="87"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For 2022, the corporate goals fell into the following categories: achievement of product development, regulatory and partnering objectives; device platform and manufacturing activities, financial measures; company visibility and reputation; and organizational progress. In evaluating management’s performance against our 2022 corporate goals, our Board of Directors determined to award a corporate achievement level of 80% relative to those goals. Both qualitative and quantitative measures were considered in evaluating performance relative to the corporate objectives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during 2022. These performance objectives were used as a guide by the Board of Directors in subjectively determining overall corporate performance as they represented those areas in which the named executive officers and our employees generally were expected to focus their efforts.</w:t>
      </w:r>
    </w:p>
    <w:p>
      <w:pPr>
        <w:spacing w:after="0" w:line="7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In determining achievement of corporate goals, our Board of Directors noted our completion of the Phase 1 clinical trial of RT-102, the advancement of our preclinical programs, the development of a high-capacity device (the RaniPill HC), financial performance, advancement of our manufacturing capabilities, business development activities and third-party engagement, and organizational growth and retention.</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Prior to April 2022, the Company’s eligible employees were permitted to participate in ICL’s 401(k) Plan. In April 2022, the Company established its own 401(k) Plan (“401(k) Plan”) and eligible employees are permitted to participate in the Company’s 401(k) Plan. Plan participants are able to defer eligible compensation subject to applicable annual limits pursuant to the Internal Revenue Code of 1986, as amended (the “Code”).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our employees until distributed from the 401(k) Plan. Participation in the 401(k) Plan is offered for the benefit of U.S. employees, including the Company’s Named Executive Officers, who satisfy certain eligibility requirements.</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otential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ayments</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pon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ermination 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p>
    <w:p>
      <w:pPr>
        <w:spacing w:after="0" w:line="12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Each of our Named Executive Officers has been granted options and restricted stock unit awards that are subject to the terms of the 2021 Plan. Stock awards granted under the 2021 Plan may be subject to acceleration of vesting and exercisability upon or after a Change in Control (as defined in the 2021 Plan) as may be provided in the applicable award agreement or in any other written agreement between us or any affiliate and the participant, but in the absence of such provision, no such acceleration will automatically occur.</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Severance and Change in Control Plan</w:t>
      </w:r>
    </w:p>
    <w:p>
      <w:pPr>
        <w:spacing w:after="0" w:line="121"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color w:val="auto"/>
        </w:rPr>
        <w:t>Each of our Named Executive Officers is eligible to receive benefits under the terms of the Company’s Severance and Change in Control Plan adopted by the Board of Directors on June 17, 2021 (the “Severance Plan”).</w:t>
      </w:r>
    </w:p>
    <w:p>
      <w:pPr>
        <w:spacing w:after="0" w:line="16"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Severance Plan provides for severance and change in control benefits to the executive officers upon (i) a “change in control termination” or (ii) a “regular termination” (each as described below). Upon a change in control termination, each of our executive officers is entitled to a lump sum payment equal to a portion of his base salary (18 months for Talat Imran and 12 months for each of Dr. Hashim and Mr. Sanford), a lump sum payment equal to 150% (for Talat Imran) or 100% (for each of Dr. Hashim and Mr. Sanford) of his annual target cash bonus, payment of group health insurance premiums for a period of 18 months (for Talat Imran) and 12 months (for each of Dr. Hashim and Mr. Sanford) and accelerated vesting of outstanding time-vesting equity awards. Upon a regular termination, each of the executive officers is entitled to continued payment of his base salary for a period 12 months (for Talat Imran) and nine months (for each of Dr. Hashim and Mr. Sanford) and payment of group health insurance premiums for a period of 12 months (for Talat Imran) and nine months (for each of Dr. Hashim and Mr. Sanford). All severance benefits under the Severance Plan are subject to the executive officer’s execution of an effective release of claims against us.</w:t>
      </w:r>
    </w:p>
    <w:p>
      <w:pPr>
        <w:spacing w:after="0" w:line="7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For purposes of the Severance Plan, a “regular termination” is an involuntary termination (i.e., a termination without “cause” (and not as a result of death or disability) or a resignation for “good reason,” each as defined in the Severance Plan) that does not occur during the period of time beginning three months prior to, and ending 12 months following, a “change in control” (as defined in the 2021 Plan), or the “change in control period.” A “change in control termination” is a regular termination that occurs during the change in control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following table shows for the fiscal year ended December 31, 2022 certain information with respect to the compensation of all directors of the Company, except Talat Imran, our Chief Executive Officer. Directors who are also our employees receive no additional compensation for their service as directors. Talat Imran did not receive any additional compensation for his services as a director in 2022. The compensation of Talat Imran is set forth above in the section titled “Executive Compensation.”</w:t>
      </w:r>
    </w:p>
    <w:p>
      <w:pPr>
        <w:spacing w:after="0" w:line="265"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360" w:type="dxa"/>
            <w:vAlign w:val="bottom"/>
            <w:gridSpan w:val="3"/>
          </w:tcPr>
          <w:p>
            <w:pPr>
              <w:ind w:left="248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 for</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2"/>
                <w:szCs w:val="12"/>
                <w:b w:val="1"/>
                <w:bCs w:val="1"/>
                <w:color w:val="auto"/>
              </w:rPr>
              <w:t>ear</w:t>
            </w:r>
            <w:r>
              <w:rPr>
                <w:rFonts w:ascii="Arial" w:cs="Arial" w:eastAsia="Arial" w:hAnsi="Arial"/>
                <w:sz w:val="18"/>
                <w:szCs w:val="18"/>
                <w:b w:val="1"/>
                <w:bCs w:val="1"/>
                <w:color w:val="auto"/>
              </w:rPr>
              <w:t xml:space="preserve"> 2022</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Fees</w:t>
            </w:r>
          </w:p>
        </w:tc>
        <w:tc>
          <w:tcPr>
            <w:tcW w:w="260" w:type="dxa"/>
            <w:vAlign w:val="bottom"/>
          </w:tcPr>
          <w:p>
            <w:pPr>
              <w:spacing w:after="0"/>
              <w:rPr>
                <w:sz w:val="24"/>
                <w:szCs w:val="2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Earned or</w:t>
            </w: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2"/>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Paid in Cash</w:t>
            </w:r>
          </w:p>
        </w:tc>
        <w:tc>
          <w:tcPr>
            <w:tcW w:w="260" w:type="dxa"/>
            <w:vAlign w:val="bottom"/>
          </w:tcPr>
          <w:p>
            <w:pPr>
              <w:spacing w:after="0"/>
              <w:rPr>
                <w:sz w:val="13"/>
                <w:szCs w:val="13"/>
                <w:color w:val="auto"/>
              </w:rPr>
            </w:pPr>
          </w:p>
        </w:tc>
        <w:tc>
          <w:tcPr>
            <w:tcW w:w="1120" w:type="dxa"/>
            <w:vAlign w:val="bottom"/>
            <w:gridSpan w:val="2"/>
          </w:tcPr>
          <w:p>
            <w:pPr>
              <w:jc w:val="center"/>
              <w:ind w:right="300"/>
              <w:spacing w:after="0" w:line="152"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(1)</w:t>
            </w: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520" w:type="dxa"/>
            <w:vAlign w:val="bottom"/>
            <w:gridSpan w:val="2"/>
            <w:vMerge w:val="continue"/>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2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53"/>
        </w:trPr>
        <w:tc>
          <w:tcPr>
            <w:tcW w:w="52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520" w:type="dxa"/>
            <w:vAlign w:val="bottom"/>
            <w:gridSpan w:val="2"/>
          </w:tcPr>
          <w:p>
            <w:pPr>
              <w:ind w:left="2540"/>
              <w:spacing w:after="0"/>
              <w:rPr>
                <w:sz w:val="20"/>
                <w:szCs w:val="20"/>
                <w:color w:val="auto"/>
              </w:rPr>
            </w:pPr>
            <w:r>
              <w:rPr>
                <w:rFonts w:ascii="Arial" w:cs="Arial" w:eastAsia="Arial" w:hAnsi="Arial"/>
                <w:sz w:val="14"/>
                <w:szCs w:val="14"/>
                <w:b w:val="1"/>
                <w:bCs w:val="1"/>
                <w:color w:val="auto"/>
              </w:rPr>
              <w:t>(a)</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2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(h)</w:t>
            </w:r>
          </w:p>
        </w:tc>
        <w:tc>
          <w:tcPr>
            <w:tcW w:w="0" w:type="dxa"/>
            <w:vAlign w:val="bottom"/>
          </w:tcPr>
          <w:p>
            <w:pPr>
              <w:spacing w:after="0"/>
              <w:rPr>
                <w:sz w:val="1"/>
                <w:szCs w:val="1"/>
                <w:color w:val="auto"/>
              </w:rPr>
            </w:pPr>
          </w:p>
        </w:tc>
      </w:tr>
      <w:tr>
        <w:trPr>
          <w:trHeight w:val="53"/>
        </w:trPr>
        <w:tc>
          <w:tcPr>
            <w:tcW w:w="5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Dennis Ausiello</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$ 49,000</w:t>
            </w:r>
          </w:p>
        </w:tc>
        <w:tc>
          <w:tcPr>
            <w:tcW w:w="1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$299,964</w:t>
            </w: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$348,964</w:t>
            </w:r>
          </w:p>
        </w:tc>
        <w:tc>
          <w:tcPr>
            <w:tcW w:w="0" w:type="dxa"/>
            <w:vAlign w:val="bottom"/>
          </w:tcPr>
          <w:p>
            <w:pPr>
              <w:spacing w:after="0"/>
              <w:rPr>
                <w:sz w:val="1"/>
                <w:szCs w:val="1"/>
                <w:color w:val="auto"/>
              </w:rPr>
            </w:pP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Andrew Farquharson</w:t>
            </w:r>
          </w:p>
        </w:tc>
        <w:tc>
          <w:tcPr>
            <w:tcW w:w="840" w:type="dxa"/>
            <w:vAlign w:val="bottom"/>
          </w:tcPr>
          <w:p>
            <w:pPr>
              <w:ind w:left="80"/>
              <w:spacing w:after="0"/>
              <w:rPr>
                <w:sz w:val="20"/>
                <w:szCs w:val="20"/>
                <w:color w:val="auto"/>
              </w:rPr>
            </w:pPr>
            <w:r>
              <w:rPr>
                <w:rFonts w:ascii="Arial" w:cs="Arial" w:eastAsia="Arial" w:hAnsi="Arial"/>
                <w:sz w:val="18"/>
                <w:szCs w:val="18"/>
                <w:color w:val="auto"/>
              </w:rPr>
              <w:t>$ 45,000</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$299,964</w:t>
            </w:r>
          </w:p>
        </w:tc>
        <w:tc>
          <w:tcPr>
            <w:tcW w:w="26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$344,964</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Maulik Nanavaty</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$ 67,500</w:t>
            </w:r>
          </w:p>
        </w:tc>
        <w:tc>
          <w:tcPr>
            <w:tcW w:w="1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$299,964</w:t>
            </w: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$367,464</w:t>
            </w:r>
          </w:p>
        </w:tc>
        <w:tc>
          <w:tcPr>
            <w:tcW w:w="0" w:type="dxa"/>
            <w:vAlign w:val="bottom"/>
          </w:tcPr>
          <w:p>
            <w:pPr>
              <w:spacing w:after="0"/>
              <w:rPr>
                <w:sz w:val="1"/>
                <w:szCs w:val="1"/>
                <w:color w:val="auto"/>
              </w:rPr>
            </w:pP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Jean-Luc Butel</w:t>
            </w:r>
          </w:p>
        </w:tc>
        <w:tc>
          <w:tcPr>
            <w:tcW w:w="840" w:type="dxa"/>
            <w:vAlign w:val="bottom"/>
          </w:tcPr>
          <w:p>
            <w:pPr>
              <w:ind w:left="80"/>
              <w:spacing w:after="0"/>
              <w:rPr>
                <w:sz w:val="20"/>
                <w:szCs w:val="20"/>
                <w:color w:val="auto"/>
              </w:rPr>
            </w:pPr>
            <w:r>
              <w:rPr>
                <w:rFonts w:ascii="Arial" w:cs="Arial" w:eastAsia="Arial" w:hAnsi="Arial"/>
                <w:sz w:val="18"/>
                <w:szCs w:val="18"/>
                <w:color w:val="auto"/>
              </w:rPr>
              <w:t>$ 62,500</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$299,964</w:t>
            </w:r>
          </w:p>
        </w:tc>
        <w:tc>
          <w:tcPr>
            <w:tcW w:w="26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$362,464</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Laureen DeBuono</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8"/>
              </w:rPr>
              <w:t>$105,000</w:t>
            </w:r>
          </w:p>
        </w:tc>
        <w:tc>
          <w:tcPr>
            <w:tcW w:w="1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$299,964</w:t>
            </w: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$404,964</w:t>
            </w:r>
          </w:p>
        </w:tc>
        <w:tc>
          <w:tcPr>
            <w:tcW w:w="0" w:type="dxa"/>
            <w:vAlign w:val="bottom"/>
          </w:tcPr>
          <w:p>
            <w:pPr>
              <w:spacing w:after="0"/>
              <w:rPr>
                <w:sz w:val="1"/>
                <w:szCs w:val="1"/>
                <w:color w:val="auto"/>
              </w:rPr>
            </w:pPr>
          </w:p>
        </w:tc>
      </w:tr>
      <w:tr>
        <w:trPr>
          <w:trHeight w:val="32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Lyn Baranowski</w:t>
            </w:r>
          </w:p>
        </w:tc>
        <w:tc>
          <w:tcPr>
            <w:tcW w:w="840" w:type="dxa"/>
            <w:vAlign w:val="bottom"/>
          </w:tcPr>
          <w:p>
            <w:pPr>
              <w:ind w:left="80"/>
              <w:spacing w:after="0"/>
              <w:rPr>
                <w:sz w:val="20"/>
                <w:szCs w:val="20"/>
                <w:color w:val="auto"/>
              </w:rPr>
            </w:pPr>
            <w:r>
              <w:rPr>
                <w:rFonts w:ascii="Arial" w:cs="Arial" w:eastAsia="Arial" w:hAnsi="Arial"/>
                <w:sz w:val="18"/>
                <w:szCs w:val="18"/>
                <w:color w:val="auto"/>
              </w:rPr>
              <w:t>$ 54,000</w:t>
            </w:r>
          </w:p>
        </w:tc>
        <w:tc>
          <w:tcPr>
            <w:tcW w:w="1120" w:type="dxa"/>
            <w:vAlign w:val="bottom"/>
            <w:gridSpan w:val="2"/>
          </w:tcPr>
          <w:p>
            <w:pPr>
              <w:ind w:left="260"/>
              <w:spacing w:after="0" w:line="324" w:lineRule="exact"/>
              <w:rPr>
                <w:sz w:val="20"/>
                <w:szCs w:val="20"/>
                <w:color w:val="auto"/>
              </w:rPr>
            </w:pPr>
            <w:r>
              <w:rPr>
                <w:rFonts w:ascii="Arial" w:cs="Arial" w:eastAsia="Arial" w:hAnsi="Arial"/>
                <w:sz w:val="18"/>
                <w:szCs w:val="18"/>
                <w:color w:val="auto"/>
                <w:w w:val="85"/>
              </w:rPr>
              <w:t>$161,078</w:t>
            </w:r>
            <w:r>
              <w:rPr>
                <w:rFonts w:ascii="Arial" w:cs="Arial" w:eastAsia="Arial" w:hAnsi="Arial"/>
                <w:sz w:val="29"/>
                <w:szCs w:val="29"/>
                <w:color w:val="auto"/>
                <w:w w:val="85"/>
                <w:vertAlign w:val="superscript"/>
              </w:rPr>
              <w:t>(2)</w:t>
            </w:r>
          </w:p>
        </w:tc>
        <w:tc>
          <w:tcPr>
            <w:tcW w:w="2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$215,078</w:t>
            </w:r>
          </w:p>
        </w:tc>
        <w:tc>
          <w:tcPr>
            <w:tcW w:w="0" w:type="dxa"/>
            <w:vAlign w:val="bottom"/>
          </w:tcPr>
          <w:p>
            <w:pPr>
              <w:spacing w:after="0"/>
              <w:rPr>
                <w:sz w:val="1"/>
                <w:szCs w:val="1"/>
                <w:color w:val="auto"/>
              </w:rPr>
            </w:pPr>
          </w:p>
        </w:tc>
      </w:tr>
      <w:tr>
        <w:trPr>
          <w:trHeight w:val="324"/>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Lisa Rometty</w:t>
            </w:r>
          </w:p>
        </w:tc>
        <w:tc>
          <w:tcPr>
            <w:tcW w:w="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$ 46,250</w:t>
            </w:r>
          </w:p>
        </w:tc>
        <w:tc>
          <w:tcPr>
            <w:tcW w:w="1120" w:type="dxa"/>
            <w:vAlign w:val="bottom"/>
            <w:gridSpan w:val="2"/>
            <w:shd w:val="clear" w:color="auto" w:fill="CCEEFF"/>
          </w:tcPr>
          <w:p>
            <w:pPr>
              <w:ind w:left="260"/>
              <w:spacing w:after="0" w:line="324" w:lineRule="exact"/>
              <w:rPr>
                <w:sz w:val="20"/>
                <w:szCs w:val="20"/>
                <w:color w:val="auto"/>
              </w:rPr>
            </w:pPr>
            <w:r>
              <w:rPr>
                <w:rFonts w:ascii="Arial" w:cs="Arial" w:eastAsia="Arial" w:hAnsi="Arial"/>
                <w:sz w:val="18"/>
                <w:szCs w:val="18"/>
                <w:color w:val="auto"/>
                <w:w w:val="85"/>
              </w:rPr>
              <w:t>$658,259</w:t>
            </w:r>
            <w:r>
              <w:rPr>
                <w:rFonts w:ascii="Arial" w:cs="Arial" w:eastAsia="Arial" w:hAnsi="Arial"/>
                <w:sz w:val="29"/>
                <w:szCs w:val="29"/>
                <w:color w:val="auto"/>
                <w:w w:val="85"/>
                <w:vertAlign w:val="superscript"/>
              </w:rPr>
              <w:t>(3)</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$704,509</w:t>
            </w:r>
          </w:p>
        </w:tc>
        <w:tc>
          <w:tcPr>
            <w:tcW w:w="0" w:type="dxa"/>
            <w:vAlign w:val="bottom"/>
          </w:tcPr>
          <w:p>
            <w:pPr>
              <w:spacing w:after="0"/>
              <w:rPr>
                <w:sz w:val="1"/>
                <w:szCs w:val="1"/>
                <w:color w:val="auto"/>
              </w:rPr>
            </w:pP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Mir Imran</w:t>
            </w:r>
          </w:p>
        </w:tc>
        <w:tc>
          <w:tcPr>
            <w:tcW w:w="840" w:type="dxa"/>
            <w:vAlign w:val="bottom"/>
          </w:tcPr>
          <w:p>
            <w:pPr>
              <w:ind w:left="80"/>
              <w:spacing w:after="0"/>
              <w:rPr>
                <w:sz w:val="20"/>
                <w:szCs w:val="20"/>
                <w:color w:val="auto"/>
              </w:rPr>
            </w:pPr>
            <w:r>
              <w:rPr>
                <w:rFonts w:ascii="Arial" w:cs="Arial" w:eastAsia="Arial" w:hAnsi="Arial"/>
                <w:sz w:val="18"/>
                <w:szCs w:val="18"/>
                <w:color w:val="auto"/>
              </w:rPr>
              <w:t>$ 80,000</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$299,964</w:t>
            </w:r>
          </w:p>
        </w:tc>
        <w:tc>
          <w:tcPr>
            <w:tcW w:w="26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$379,964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2" w:lineRule="exact"/>
        <w:rPr>
          <w:sz w:val="20"/>
          <w:szCs w:val="20"/>
          <w:color w:val="auto"/>
        </w:rPr>
      </w:pPr>
    </w:p>
    <w:p>
      <w:pPr>
        <w:jc w:val="both"/>
        <w:ind w:left="640" w:right="299" w:hanging="348"/>
        <w:spacing w:after="0" w:line="251"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Amounts reflect the aggregate grant date fair value of options to purchase our Class A common stock granted to our non-employee directors during 2022 under our 2021 Plan, each computed in accordance with Financial Accounting Standards Board Accounting Standards Codification Topic 718. The assumptions used in calculating the grant date fair value of the award disclosed in this column are set forth in the notes to our audited consolidated financial statements included in our Annual Report on Form 10-K for the year ended December 31, 2022. These amounts do not correspond to the actual value that may be recognized by the non-employee directors.</w:t>
      </w:r>
    </w:p>
    <w:p>
      <w:pPr>
        <w:spacing w:after="0" w:line="14" w:lineRule="exact"/>
        <w:rPr>
          <w:rFonts w:ascii="Arial" w:cs="Arial" w:eastAsia="Arial" w:hAnsi="Arial"/>
          <w:sz w:val="13"/>
          <w:szCs w:val="13"/>
          <w:color w:val="auto"/>
        </w:rPr>
      </w:pPr>
    </w:p>
    <w:p>
      <w:pPr>
        <w:jc w:val="both"/>
        <w:ind w:left="640" w:right="299" w:hanging="348"/>
        <w:spacing w:after="0" w:line="233"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 reflects the grant date fair value of an annual option grant to Ms. Baranowski as a non-employee director. Ms. Baranowski was appointed to the Board of Directors in November 2021. Because Ms. Baranowski was appointed after the date of the prior annual meeting of stockholders, the grant date fair value of her annual option grant was prorated to reflect the time between the date of her appointment and the date of the subsequent annual stockholder meeting.</w:t>
      </w:r>
    </w:p>
    <w:p>
      <w:pPr>
        <w:spacing w:after="0" w:line="22" w:lineRule="exact"/>
        <w:rPr>
          <w:rFonts w:ascii="Arial" w:cs="Arial" w:eastAsia="Arial" w:hAnsi="Arial"/>
          <w:sz w:val="14"/>
          <w:szCs w:val="14"/>
          <w:color w:val="auto"/>
        </w:rPr>
      </w:pPr>
    </w:p>
    <w:p>
      <w:pPr>
        <w:jc w:val="both"/>
        <w:ind w:left="640" w:right="299" w:hanging="348"/>
        <w:spacing w:after="0" w:line="233"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 reflects the aggregate grant date fair value of an initial option grant and an annual option grant to Ms. Rometty as a non-employee director. Ms. Rometty was appointed to the Board of Directors in January 2022. Because Ms. Rometty was appointed after the date of the prior annual meeting of stockholders, the grant date fair value of her annual option grant was prorated to reflect the time between the date of her appointment and the date of the subsequent annual stockholder meeting.</w:t>
      </w:r>
    </w:p>
    <w:p>
      <w:pPr>
        <w:spacing w:after="0" w:line="22" w:lineRule="exact"/>
        <w:rPr>
          <w:rFonts w:ascii="Arial" w:cs="Arial" w:eastAsia="Arial" w:hAnsi="Arial"/>
          <w:sz w:val="14"/>
          <w:szCs w:val="14"/>
          <w:color w:val="auto"/>
        </w:rPr>
      </w:pPr>
    </w:p>
    <w:p>
      <w:pPr>
        <w:ind w:left="660" w:right="319"/>
        <w:spacing w:after="0" w:line="253" w:lineRule="auto"/>
        <w:rPr>
          <w:rFonts w:ascii="Arial" w:cs="Arial" w:eastAsia="Arial" w:hAnsi="Arial"/>
          <w:sz w:val="14"/>
          <w:szCs w:val="14"/>
          <w:color w:val="auto"/>
        </w:rPr>
      </w:pPr>
      <w:r>
        <w:rPr>
          <w:rFonts w:ascii="Arial" w:cs="Arial" w:eastAsia="Arial" w:hAnsi="Arial"/>
          <w:sz w:val="14"/>
          <w:szCs w:val="14"/>
          <w:color w:val="auto"/>
        </w:rPr>
        <w:t>The following table provides information regarding the aggregate number of equity awards granted to our non-employee directors that were outstanding as of December 31, 2022:</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800" w:type="dxa"/>
            <w:vAlign w:val="bottom"/>
          </w:tcPr>
          <w:p>
            <w:pPr>
              <w:jc w:val="center"/>
              <w:ind w:left="2646"/>
              <w:spacing w:after="0"/>
              <w:rPr>
                <w:sz w:val="20"/>
                <w:szCs w:val="20"/>
                <w:color w:val="auto"/>
              </w:rPr>
            </w:pPr>
            <w:r>
              <w:rPr>
                <w:rFonts w:ascii="Arial" w:cs="Arial" w:eastAsia="Arial" w:hAnsi="Arial"/>
                <w:sz w:val="14"/>
                <w:szCs w:val="14"/>
                <w:b w:val="1"/>
                <w:bCs w:val="1"/>
                <w:color w:val="auto"/>
                <w:w w:val="92"/>
              </w:rPr>
              <w:t>Restricted Stock</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6"/>
              </w:rPr>
              <w:t>Option Awards</w:t>
            </w:r>
          </w:p>
        </w:tc>
        <w:tc>
          <w:tcPr>
            <w:tcW w:w="0" w:type="dxa"/>
            <w:vAlign w:val="bottom"/>
          </w:tcPr>
          <w:p>
            <w:pPr>
              <w:spacing w:after="0"/>
              <w:rPr>
                <w:sz w:val="1"/>
                <w:szCs w:val="1"/>
                <w:color w:val="auto"/>
              </w:rPr>
            </w:pPr>
          </w:p>
        </w:tc>
      </w:tr>
      <w:tr>
        <w:trPr>
          <w:trHeight w:val="148"/>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780" w:type="dxa"/>
            <w:vAlign w:val="bottom"/>
            <w:gridSpan w:val="2"/>
          </w:tcPr>
          <w:p>
            <w:pPr>
              <w:jc w:val="right"/>
              <w:spacing w:after="0" w:line="149" w:lineRule="exact"/>
              <w:rPr>
                <w:sz w:val="20"/>
                <w:szCs w:val="20"/>
                <w:color w:val="auto"/>
              </w:rPr>
            </w:pPr>
            <w:r>
              <w:rPr>
                <w:rFonts w:ascii="Arial" w:cs="Arial" w:eastAsia="Arial" w:hAnsi="Arial"/>
                <w:sz w:val="4"/>
                <w:szCs w:val="4"/>
                <w:color w:val="auto"/>
              </w:rPr>
              <w:t xml:space="preserve">​  ​   </w:t>
            </w:r>
            <w:r>
              <w:rPr>
                <w:rFonts w:ascii="Arial" w:cs="Arial" w:eastAsia="Arial" w:hAnsi="Arial"/>
                <w:sz w:val="14"/>
                <w:szCs w:val="14"/>
                <w:b w:val="1"/>
                <w:bCs w:val="1"/>
                <w:color w:val="auto"/>
              </w:rPr>
              <w:t>Outstanding at</w:t>
            </w:r>
            <w:r>
              <w:rPr>
                <w:rFonts w:ascii="Arial" w:cs="Arial" w:eastAsia="Arial" w:hAnsi="Arial"/>
                <w:sz w:val="4"/>
                <w:szCs w:val="4"/>
                <w:color w:val="auto"/>
              </w:rPr>
              <w:t xml:space="preserve"> ​  ​   </w:t>
            </w:r>
            <w:r>
              <w:rPr>
                <w:rFonts w:ascii="Arial" w:cs="Arial" w:eastAsia="Arial" w:hAnsi="Arial"/>
                <w:sz w:val="14"/>
                <w:szCs w:val="14"/>
                <w:b w:val="1"/>
                <w:bCs w:val="1"/>
                <w:color w:val="auto"/>
              </w:rPr>
              <w:t>Outstanding at</w:t>
            </w:r>
          </w:p>
        </w:tc>
        <w:tc>
          <w:tcPr>
            <w:tcW w:w="0" w:type="dxa"/>
            <w:vAlign w:val="bottom"/>
          </w:tcPr>
          <w:p>
            <w:pPr>
              <w:spacing w:after="0"/>
              <w:rPr>
                <w:sz w:val="1"/>
                <w:szCs w:val="1"/>
                <w:color w:val="auto"/>
              </w:rPr>
            </w:pPr>
          </w:p>
        </w:tc>
      </w:tr>
      <w:tr>
        <w:trPr>
          <w:trHeight w:val="186"/>
        </w:trPr>
        <w:tc>
          <w:tcPr>
            <w:tcW w:w="3000" w:type="dxa"/>
            <w:vAlign w:val="bottom"/>
            <w:vMerge w:val="continue"/>
          </w:tcPr>
          <w:p>
            <w:pPr>
              <w:spacing w:after="0"/>
              <w:rPr>
                <w:sz w:val="16"/>
                <w:szCs w:val="16"/>
                <w:color w:val="auto"/>
              </w:rPr>
            </w:pPr>
          </w:p>
        </w:tc>
        <w:tc>
          <w:tcPr>
            <w:tcW w:w="3800" w:type="dxa"/>
            <w:vAlign w:val="bottom"/>
          </w:tcPr>
          <w:p>
            <w:pPr>
              <w:jc w:val="center"/>
              <w:ind w:left="2646"/>
              <w:spacing w:after="0"/>
              <w:rPr>
                <w:sz w:val="20"/>
                <w:szCs w:val="20"/>
                <w:color w:val="auto"/>
              </w:rPr>
            </w:pPr>
            <w:r>
              <w:rPr>
                <w:rFonts w:ascii="Arial" w:cs="Arial" w:eastAsia="Arial" w:hAnsi="Arial"/>
                <w:sz w:val="14"/>
                <w:szCs w:val="14"/>
                <w:b w:val="1"/>
                <w:bCs w:val="1"/>
                <w:color w:val="auto"/>
                <w:w w:val="94"/>
              </w:rPr>
              <w:t>Year-End</w:t>
            </w: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Year-End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33655</wp:posOffset>
            </wp:positionV>
            <wp:extent cx="4946015"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46015" cy="17970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Dennis Ausiello</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Andrew Farquharson</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Maulik Nanavaty</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Jean-Luc Butel</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Laureen DeBuono</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Lyn Baranowski</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Lisa Rometty</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Mir Imran</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70485</wp:posOffset>
            </wp:positionV>
            <wp:extent cx="494601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46015" cy="163195"/>
                    </a:xfrm>
                    <a:prstGeom prst="rect">
                      <a:avLst/>
                    </a:prstGeom>
                    <a:noFill/>
                  </pic:spPr>
                </pic:pic>
              </a:graphicData>
            </a:graphic>
          </wp:anchor>
        </w:drawing>
      </w:r>
    </w:p>
    <w:p>
      <w:pPr>
        <w:spacing w:after="0" w:line="19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71120</wp:posOffset>
            </wp:positionV>
            <wp:extent cx="4946015"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46015" cy="162560"/>
                    </a:xfrm>
                    <a:prstGeom prst="rect">
                      <a:avLst/>
                    </a:prstGeom>
                    <a:noFill/>
                  </pic:spPr>
                </pic:pic>
              </a:graphicData>
            </a:graphic>
          </wp:anchor>
        </w:drawing>
      </w:r>
    </w:p>
    <w:p>
      <w:pPr>
        <w:spacing w:after="0" w:line="19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71120</wp:posOffset>
            </wp:positionV>
            <wp:extent cx="4946015"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46015" cy="162560"/>
                    </a:xfrm>
                    <a:prstGeom prst="rect">
                      <a:avLst/>
                    </a:prstGeom>
                    <a:noFill/>
                  </pic:spPr>
                </pic:pic>
              </a:graphicData>
            </a:graphic>
          </wp:anchor>
        </w:drawing>
      </w:r>
    </w:p>
    <w:p>
      <w:pPr>
        <w:spacing w:after="0" w:line="19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tab/>
        <w: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3,298</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11" w:lineRule="exact"/>
        <w:rPr>
          <w:sz w:val="20"/>
          <w:szCs w:val="20"/>
          <w:color w:val="auto"/>
        </w:rPr>
      </w:pPr>
    </w:p>
    <w:p>
      <w:pPr>
        <w:spacing w:after="0"/>
        <w:tabs>
          <w:tab w:leader="none" w:pos="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right"/>
        <w:ind w:right="819"/>
        <w:spacing w:after="0"/>
        <w:rPr>
          <w:sz w:val="20"/>
          <w:szCs w:val="20"/>
          <w:color w:val="auto"/>
        </w:rPr>
      </w:pPr>
      <w:r>
        <w:rPr>
          <w:rFonts w:ascii="Arial" w:cs="Arial" w:eastAsia="Arial" w:hAnsi="Arial"/>
          <w:sz w:val="12"/>
          <w:szCs w:val="12"/>
          <w:color w:val="auto"/>
        </w:rPr>
        <w:t>120,733</w:t>
      </w:r>
    </w:p>
    <w:p>
      <w:pPr>
        <w:spacing w:after="0" w:line="119" w:lineRule="exact"/>
        <w:rPr>
          <w:sz w:val="20"/>
          <w:szCs w:val="20"/>
          <w:color w:val="auto"/>
        </w:rPr>
      </w:pPr>
    </w:p>
    <w:p>
      <w:pPr>
        <w:jc w:val="right"/>
        <w:ind w:right="819"/>
        <w:spacing w:after="0"/>
        <w:rPr>
          <w:sz w:val="20"/>
          <w:szCs w:val="20"/>
          <w:color w:val="auto"/>
        </w:rPr>
      </w:pPr>
      <w:r>
        <w:rPr>
          <w:rFonts w:ascii="Arial" w:cs="Arial" w:eastAsia="Arial" w:hAnsi="Arial"/>
          <w:sz w:val="14"/>
          <w:szCs w:val="14"/>
          <w:color w:val="auto"/>
        </w:rPr>
        <w:t>41,416</w:t>
      </w:r>
    </w:p>
    <w:p>
      <w:pPr>
        <w:spacing w:after="0" w:line="96" w:lineRule="exact"/>
        <w:rPr>
          <w:sz w:val="20"/>
          <w:szCs w:val="20"/>
          <w:color w:val="auto"/>
        </w:rPr>
      </w:pPr>
    </w:p>
    <w:p>
      <w:pPr>
        <w:jc w:val="right"/>
        <w:ind w:right="819"/>
        <w:spacing w:after="0"/>
        <w:rPr>
          <w:sz w:val="20"/>
          <w:szCs w:val="20"/>
          <w:color w:val="auto"/>
        </w:rPr>
      </w:pPr>
      <w:r>
        <w:rPr>
          <w:rFonts w:ascii="Arial" w:cs="Arial" w:eastAsia="Arial" w:hAnsi="Arial"/>
          <w:sz w:val="12"/>
          <w:szCs w:val="12"/>
          <w:color w:val="auto"/>
        </w:rPr>
        <w:t>120,733</w:t>
      </w:r>
    </w:p>
    <w:p>
      <w:pPr>
        <w:spacing w:after="0" w:line="119" w:lineRule="exact"/>
        <w:rPr>
          <w:sz w:val="20"/>
          <w:szCs w:val="20"/>
          <w:color w:val="auto"/>
        </w:rPr>
      </w:pPr>
    </w:p>
    <w:p>
      <w:pPr>
        <w:jc w:val="right"/>
        <w:ind w:right="819"/>
        <w:spacing w:after="0"/>
        <w:rPr>
          <w:sz w:val="20"/>
          <w:szCs w:val="20"/>
          <w:color w:val="auto"/>
        </w:rPr>
      </w:pPr>
      <w:r>
        <w:rPr>
          <w:rFonts w:ascii="Arial" w:cs="Arial" w:eastAsia="Arial" w:hAnsi="Arial"/>
          <w:sz w:val="12"/>
          <w:szCs w:val="12"/>
          <w:color w:val="auto"/>
        </w:rPr>
        <w:t>177,312</w:t>
      </w:r>
    </w:p>
    <w:p>
      <w:pPr>
        <w:spacing w:after="0" w:line="119" w:lineRule="exact"/>
        <w:rPr>
          <w:sz w:val="20"/>
          <w:szCs w:val="20"/>
          <w:color w:val="auto"/>
        </w:rPr>
      </w:pPr>
    </w:p>
    <w:p>
      <w:pPr>
        <w:jc w:val="right"/>
        <w:ind w:right="819"/>
        <w:spacing w:after="0"/>
        <w:rPr>
          <w:sz w:val="20"/>
          <w:szCs w:val="20"/>
          <w:color w:val="auto"/>
        </w:rPr>
      </w:pPr>
      <w:r>
        <w:rPr>
          <w:rFonts w:ascii="Arial" w:cs="Arial" w:eastAsia="Arial" w:hAnsi="Arial"/>
          <w:sz w:val="12"/>
          <w:szCs w:val="12"/>
          <w:color w:val="auto"/>
        </w:rPr>
        <w:t>177,312</w:t>
      </w:r>
    </w:p>
    <w:p>
      <w:pPr>
        <w:spacing w:after="0" w:line="119" w:lineRule="exact"/>
        <w:rPr>
          <w:sz w:val="20"/>
          <w:szCs w:val="20"/>
          <w:color w:val="auto"/>
        </w:rPr>
      </w:pPr>
    </w:p>
    <w:p>
      <w:pPr>
        <w:jc w:val="right"/>
        <w:ind w:right="819"/>
        <w:spacing w:after="0"/>
        <w:rPr>
          <w:sz w:val="20"/>
          <w:szCs w:val="20"/>
          <w:color w:val="auto"/>
        </w:rPr>
      </w:pPr>
      <w:r>
        <w:rPr>
          <w:rFonts w:ascii="Arial" w:cs="Arial" w:eastAsia="Arial" w:hAnsi="Arial"/>
          <w:sz w:val="14"/>
          <w:szCs w:val="14"/>
          <w:color w:val="auto"/>
        </w:rPr>
        <w:t>53,955</w:t>
      </w:r>
    </w:p>
    <w:p>
      <w:pPr>
        <w:spacing w:after="0" w:line="96" w:lineRule="exact"/>
        <w:rPr>
          <w:sz w:val="20"/>
          <w:szCs w:val="20"/>
          <w:color w:val="auto"/>
        </w:rPr>
      </w:pPr>
    </w:p>
    <w:p>
      <w:pPr>
        <w:jc w:val="right"/>
        <w:ind w:right="819"/>
        <w:spacing w:after="0"/>
        <w:rPr>
          <w:sz w:val="20"/>
          <w:szCs w:val="20"/>
          <w:color w:val="auto"/>
        </w:rPr>
      </w:pPr>
      <w:r>
        <w:rPr>
          <w:rFonts w:ascii="Arial" w:cs="Arial" w:eastAsia="Arial" w:hAnsi="Arial"/>
          <w:sz w:val="14"/>
          <w:szCs w:val="14"/>
          <w:color w:val="auto"/>
        </w:rPr>
        <w:t>65,149</w:t>
      </w:r>
    </w:p>
    <w:p>
      <w:pPr>
        <w:spacing w:after="0" w:line="96" w:lineRule="exact"/>
        <w:rPr>
          <w:sz w:val="20"/>
          <w:szCs w:val="20"/>
          <w:color w:val="auto"/>
        </w:rPr>
      </w:pPr>
    </w:p>
    <w:p>
      <w:pPr>
        <w:jc w:val="right"/>
        <w:ind w:right="819"/>
        <w:spacing w:after="0"/>
        <w:rPr>
          <w:sz w:val="20"/>
          <w:szCs w:val="20"/>
          <w:color w:val="auto"/>
        </w:rPr>
      </w:pPr>
      <w:r>
        <w:rPr>
          <w:rFonts w:ascii="Arial" w:cs="Arial" w:eastAsia="Arial" w:hAnsi="Arial"/>
          <w:sz w:val="14"/>
          <w:szCs w:val="14"/>
          <w:color w:val="auto"/>
        </w:rPr>
        <w:t>41,416</w:t>
      </w:r>
    </w:p>
    <w:p>
      <w:pPr>
        <w:spacing w:after="0" w:line="200" w:lineRule="exact"/>
        <w:rPr>
          <w:sz w:val="20"/>
          <w:szCs w:val="20"/>
          <w:color w:val="auto"/>
        </w:rPr>
      </w:pPr>
    </w:p>
    <w:p>
      <w:pPr>
        <w:sectPr>
          <w:pgSz w:w="11900" w:h="16838" w:orient="portrait"/>
          <w:cols w:equalWidth="0" w:num="5">
            <w:col w:w="5600" w:space="720"/>
            <w:col w:w="60" w:space="380"/>
            <w:col w:w="320" w:space="340"/>
            <w:col w:w="40" w:space="280"/>
            <w:col w:w="1279"/>
          </w:cols>
          <w:pgMar w:left="1440" w:top="265" w:right="1440" w:bottom="1440" w:gutter="0" w:footer="0" w:header="0"/>
          <w:type w:val="continuous"/>
        </w:sectPr>
      </w:pPr>
    </w:p>
    <w:p>
      <w:pPr>
        <w:spacing w:after="0" w:line="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Compensation</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Board of Directors has adopted a non-employee director compensation policy, effective as of the Company’s initial public offering, pursuant to which each of the directors who is not an employee or consultant of the Company will be eligible to receive compensation for service on the Board of Directors and committees of the Board of Directors.</w:t>
      </w:r>
    </w:p>
    <w:p>
      <w:pPr>
        <w:spacing w:after="0" w:line="79"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Each non-employee director will receive an annual cash retainer of $45,000 for serving on the Board of Directors, and the chairperson and/or lead independent director of the Board of Directors will each receive an additional annual cash retainer of $35,000. The chairperson of the Audit Committee will be entitled to an annual service retainer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9" w:name="page30"/>
    <w:bookmarkEnd w:id="2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$20,000, and each other member of the Audit Committee will be entitled to an annual service retainer of $7,500. The chairperson of the Compensation Committee will be entitled to an annual service retainer of $15,000, and each other member of the Compensation Committee will be entitled to an annual service retainer of $5,000. The chairperson of the Nominating and Corporate Governance Committee will be entitled to an annual service retainer of $10,000, and each other member of the Nominating and Corporate Governance Committee will be entitled to an annual service retainer of $4,000. All annual cash compensation amounts will be payable in equal quarterly installments in arrears, on the last day of each fiscal quarter for which the service occurred, pro-rated for any partial months of service.</w:t>
      </w:r>
    </w:p>
    <w:p>
      <w:pPr>
        <w:spacing w:after="0" w:line="58"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On the date of each annual meeting of our stockholders, each continuing non-employee director will receive an option to purchase a number of shares of Class A common stock of the Company under the 2021 Plan with a grant date fair value of $300,000. The grant date fair value of any annual option grant to a non-employee director who is elected or appointed on a date other than the date of an annual meeting of the stockholders will be prorated to reflect the time between the date of such director’s election or appointment and the date of such first annual stockholder meeting. The shares subject to annual option grants will vest upon the earlier of the first anniversary of the grant date or the date of the next annual meeting of stockholders, subject to the non-employee director’s continuous service with the Company through the vesting date.</w:t>
      </w:r>
    </w:p>
    <w:p>
      <w:pPr>
        <w:spacing w:after="0" w:line="70"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Each new non-employee director who joins the Board of Directors will be granted an option to purchase a number of shares of Class A common stock of the Company under the 2021 Plan with a grant date fair value of $600,000. The shares subject to this option will vest over a three-year period, with one-third of the shares subject to the option vesting on the first anniversary of the grant date and one thirty-sixth of the shares subject to the option vesting each month thereafter, subject to the non-employee director’s continuous service with the Company through each vesting date.</w:t>
      </w:r>
    </w:p>
    <w:p>
      <w:pPr>
        <w:spacing w:after="0" w:line="84"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All options granted under the non-employee director compensation policy will vest upon a change in control of the Company, subject to the non-employee director’s continuous service with the Company through the date of such change in control. The exercise price per share of each option granted under the non-employee director compensation policy will be equal to the closing price of the Company’s Class A common stock on Nasdaq on the date of grant. Each option will have a term of ten years from the grant date, subject to earlier termination in connection with a termination of the non-employee director’s continuous service with the Company.</w:t>
      </w:r>
    </w:p>
    <w:p>
      <w:pPr>
        <w:spacing w:after="0" w:line="70"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In addition, the Company will reimburse non-employee directors for ordinary, necessary and reasonable out-of-pocket travel expenses to cover in-person attendance at and participation in board and committee meetings.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 AND INDEMNIFICATION</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12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In June 2021, the Company adopted a written Related-Person Transactions Policy that sets forth the Company’s policies and procedures regarding the identification, review, consideration and approval or ratification of “related persons transactions.” For purposes of the Company’s policy only, a “related person transaction” is a transaction, arrangement or relationship (or any series of similar transactions, arrangements or relationships) in which the Company and any “related person” are participants in which the amount involved exceeds (a) $120,000 or (b) if the Company qualifies as a “smaller reporting company” under the rules and regulations of the Securities and Exchange Commission, the lesser of (x) $120,000 or (y) 1% of the average of the Company’s total assets at year-end for the last two completed fiscal years. Transactions involving compensation for services provided to the Company as an employee, director, consultant or similar capacity by a related person are not covered by this policy. A related person is any executive officer, director, or more than 5% stockholder of the Company, including any of their immediate family members, and any entity owned or controlled by such persons.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ertain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p>
    <w:p>
      <w:pPr>
        <w:spacing w:after="0" w:line="12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The following is a summary of transactions since January 1, 2021, to which the Company has been a participant in which the amount involved exceeded or will exceed $120,000, and in which any of our directors, executive officers or holders of more than 5% of our capital stock, or any member of the immediate family of the foregoing persons, had or will have a direct or indirect material interest, other than compensation arrangements which are described in the sections titled “Executive Compensation” and “Director Compensation.”</w:t>
      </w:r>
    </w:p>
    <w:p>
      <w:pPr>
        <w:spacing w:after="0" w:line="6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ICL is wholly-owned by the Company’s founder and Chairman and his family. The founder and Chairman is the father of the Company’s Chief Executive Officer. The Company’s Chief Scientific Officer is the brother of the founder and Chairman and thus uncle of the Company’s Chief Executive Officer.</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Services agreements</w:t>
      </w:r>
    </w:p>
    <w:p>
      <w:pPr>
        <w:spacing w:after="0" w:line="12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a successive twelve-month periods unless terminated; except that the Occupancy Services in Milpitas, California have a term until February 2024, following an extension granted in July 2022, with the potential for one additional annual renewal, subject to approval by the landlord upon a nine months’ notice of renewal prior to the end of the lease term,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w:t>
      </w:r>
    </w:p>
    <w:p>
      <w:pPr>
        <w:spacing w:after="0" w:line="63"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In April 2022, RMS assigned the RMS-ICL Service Agreement to Rani LLC.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table below details the amounts charged by ICL for services and rent, net of the amount that the Company charged ICL, which is included in the consolidated statements of operations (in thousands):</w:t>
      </w:r>
    </w:p>
    <w:p>
      <w:pPr>
        <w:spacing w:after="0" w:line="135"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39370</wp:posOffset>
            </wp:positionV>
            <wp:extent cx="9258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r>
      <w:tr>
        <w:trPr>
          <w:trHeight w:val="53"/>
        </w:trPr>
        <w:tc>
          <w:tcPr>
            <w:tcW w:w="696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$1,170</w:t>
            </w: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$1,115</w:t>
            </w:r>
          </w:p>
        </w:tc>
      </w:tr>
      <w:tr>
        <w:trPr>
          <w:trHeight w:val="257"/>
        </w:trPr>
        <w:tc>
          <w:tcPr>
            <w:tcW w:w="6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jc w:val="right"/>
              <w:spacing w:after="0"/>
              <w:rPr>
                <w:sz w:val="20"/>
                <w:szCs w:val="20"/>
                <w:color w:val="auto"/>
              </w:rPr>
            </w:pPr>
            <w:r>
              <w:rPr>
                <w:rFonts w:ascii="Arial" w:cs="Arial" w:eastAsia="Arial" w:hAnsi="Arial"/>
                <w:sz w:val="18"/>
                <w:szCs w:val="18"/>
                <w:color w:val="auto"/>
              </w:rPr>
              <w:t>222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22"/>
                <w:szCs w:val="22"/>
                <w:color w:val="auto"/>
              </w:rPr>
            </w:pPr>
          </w:p>
        </w:tc>
      </w:tr>
      <w:tr>
        <w:trPr>
          <w:trHeight w:val="61"/>
        </w:trPr>
        <w:tc>
          <w:tcPr>
            <w:tcW w:w="69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91"/>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1,392</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1,850</w:t>
            </w:r>
          </w:p>
        </w:tc>
      </w:tr>
      <w:tr>
        <w:trPr>
          <w:trHeight w:val="27"/>
        </w:trPr>
        <w:tc>
          <w:tcPr>
            <w:tcW w:w="69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right w:val="single" w:sz="8" w:color="auto"/>
            </w:tcBorders>
            <w:shd w:val="clear" w:color="auto" w:fill="000000"/>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-650875</wp:posOffset>
            </wp:positionV>
            <wp:extent cx="2914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-650875</wp:posOffset>
            </wp:positionV>
            <wp:extent cx="1543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74"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As of December 31, 2022, all of the Company's facilities are owned or leased by an entity affiliated with the Company’s Chairman. The Company pays for the use of these facilities through its services agreements with ICL.</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Financing activity</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In March 2021, an outstanding notes receivable balance totaling $1.7 million, including all accrued interest, was fully repaid by ICL.</w:t>
      </w:r>
    </w:p>
    <w:p>
      <w:pPr>
        <w:spacing w:after="0" w:line="6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In January 2021, a related party of the Company, and its affiliates, purchased 884,276 Series E Preferred Units of Rani LLC at a price of $7.1471 per unit for a total purchase price of $6.3 million. As part of organizational transactions at the time of the Company’s IPO, the Series E Preferred Units were exchanged for 884,276 shares of the Company's Class A common stock.</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Exclusive License, Intellectual Property and Common Unit Purchase Agreement</w:t>
      </w:r>
    </w:p>
    <w:p>
      <w:pPr>
        <w:spacing w:after="0" w:line="12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The Company, through Rani LLC,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w:t>
      </w:r>
    </w:p>
    <w:p>
      <w:pPr>
        <w:spacing w:after="0" w:line="70"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In June 2021, ICL and the Company, through Rani LLC, entered into an Amended and Restated Exclusive License Agreement which replaced a prior Exclusive License Agreement from 2012, as amended in 2013, and terminated an Intellectual Property Agreement from 2012,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U.S. patent families from ICL by making a one-time payment of $0.3 million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Non-Exclusive License Agreement between Rani and ICL (“Non-Exclusive License Agreement”)</w:t>
      </w:r>
    </w:p>
    <w:p>
      <w:pPr>
        <w:spacing w:after="0" w:line="12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Intellectual Property Agreement with Mir Imran (the “Mir Agreement”)</w:t>
      </w:r>
    </w:p>
    <w:p>
      <w:pPr>
        <w:spacing w:after="0" w:line="12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In June 2021, the Company, through Rani LLC, entered into the Mir Agreement, pursuant to which the Company and Mir Imran agreed that the Company would own all intellectual property conceived (a) using any of the Company’s people, equipment, or facilities or (b)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In August 2021, in connection with the IPO and organizational transactions at the time of the IPO, the Company entered into a tax receivable agreement (“TRA”). ICL is a party to the TRA. The TRA provides that the Company pay to the entities and individuals who are party to the TRA 85% of the amount of tax benefits, if any, it is deemed to realize from exchanges of Paired Interests. During the year ended December 31, 2022, these parties to the TRA exchanged 2,317,184 Paired Interests that resulted in tax benefits subject to the TRA.</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In connection with the IPO, the Company entered into a Registration Rights Agreement. ICL and its affiliates are parties to this agreement. The Registration Rights Agreement provides certain registration rights whereby, at any time following the IPO and the expiration of any related lock-up period, ICL and its affiliates can require the Company to register under the Securities Act of 1933, as amended, shares of Class A common stock issuable to ICL and its affiliates upon, at the Company’s election, redemption or exchange of their Paired Interests. The Registration Rights Agreement also provides for piggyback registration rights. In March 2022, certain holders of the Company's Class A common stock considered to be related parties were made parties to the Registration Rights Agreement. As a result of certain stockholders exercising their registration rights under the Registration Rights Agreement, in December 2022 the Company filed a registration statement on Form S-3 to register 6,009,542 shares of Class A common stock of the Company held by certain of its stockholders.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Rani LLC Agreement</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Company operates its business through Rani LLC and, prior to December 15, 2022, its subsidiary. In connection with the IPO, the Company and parties continuing to hold LLC Interests, including ICL and its affiliates, entered into the Rani LLC Agreement. The governance of Rani LLC, and the rights and obligations of the holders of LLC Interests, are set forth in the Rani LLC Agreement. As holders of LLC Interests,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 During the year ended December 31, 2022, certain parties to the Rani LLC Agreement exchanged 2,317,184 Paired Interests for an equal number of shares of the Company's Class A common stock.</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ndemnification</w:t>
      </w:r>
    </w:p>
    <w:p>
      <w:pPr>
        <w:spacing w:after="0" w:line="12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The Company provides indemnification for its directors and executive officers so that they will be free from undue concern about personal liability in connection with their service to the Company. Under the Company’s Bylaws, the Company is required to indemnify its directors and executive officers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53"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This year, a number of brokers with account holders who are Rani Holdings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Rani Holdings. Direct your written request to: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Rani Therapeutics Holdings, Inc., Secretary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Jose, California 95131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408-457-3700</w:t>
      </w:r>
    </w:p>
    <w:p>
      <w:pPr>
        <w:spacing w:after="0" w:line="103"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Stockholders who currently receive multiple copies of the Notices of Internet Availability of Proxy Materials at their addresses and would like to request “householding” of their communications should contact their brokers.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57785</wp:posOffset>
            </wp:positionV>
            <wp:extent cx="26060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Talat Imran</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Executive Officer</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11, 2023</w:t>
      </w:r>
    </w:p>
    <w:p>
      <w:pPr>
        <w:spacing w:after="0" w:line="167" w:lineRule="exact"/>
        <w:rPr>
          <w:sz w:val="20"/>
          <w:szCs w:val="20"/>
          <w:color w:val="auto"/>
        </w:rPr>
      </w:pPr>
    </w:p>
    <w:p>
      <w:pPr>
        <w:jc w:val="both"/>
        <w:ind w:left="300" w:right="319"/>
        <w:spacing w:after="0" w:line="282" w:lineRule="auto"/>
        <w:rPr>
          <w:sz w:val="20"/>
          <w:szCs w:val="20"/>
          <w:color w:val="auto"/>
        </w:rPr>
      </w:pPr>
      <w:r>
        <w:rPr>
          <w:rFonts w:ascii="Arial" w:cs="Arial" w:eastAsia="Arial" w:hAnsi="Arial"/>
          <w:sz w:val="18"/>
          <w:szCs w:val="18"/>
          <w:b w:val="1"/>
          <w:bCs w:val="1"/>
          <w:color w:val="auto"/>
        </w:rPr>
        <w:t>A copy of the Company’s Annual Report to the Securities and Exchange Commission on Form 10-K for the fiscal year ended December 31, 2022 is available without charge upon written request to:</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Holdings, Inc., Secretary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Jose, California 95131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92075</wp:posOffset>
            </wp:positionV>
            <wp:extent cx="6292215" cy="8143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92075</wp:posOffset>
            </wp:positionV>
            <wp:extent cx="6292215" cy="8143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
      <w:numFmt w:val="bullet"/>
      <w:start w:val="1"/>
    </w:lvl>
    <w:lvl w:ilvl="1">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lvl w:ilvl="1">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upperLetter"/>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2"/>
    </w:lvl>
    <w:lvl w:ilvl="1">
      <w:lvlJc w:val="left"/>
      <w:lvlText w:val="(%2)"/>
      <w:numFmt w:val="lowerRoman"/>
      <w:start w:val="2"/>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2023-04-11T15:11:15Z</dcterms:created>
  <dcterms:modified xsi:type="dcterms:W3CDTF">2023-04-11T15:11:15Z</dcterms:modified>
</cp:coreProperties>
</file>