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ni-20250331.htm"/>
      <w:bookmarkStart w:id="1" w:name="ksrani20250331"/>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f</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ind w:left="0" w:right="0" w:firstLine="72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 to 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001-40672</w:t>
      </w:r>
    </w:p>
    <w:p>
      <w:pPr>
        <w:pStyle w:val="TextBody"/>
        <w:pBdr>
          <w:bottom w:val="single" w:sz="4" w:space="1" w:color="000000"/>
        </w:pBdr>
        <w:bidi w:val="0"/>
        <w:spacing w:before="40" w:after="100"/>
        <w:ind w:left="4320" w:right="4320" w:hanging="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ind w:left="4320" w:right="4320" w:hanging="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2051 Ringwood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(408) 457-3700</w:t>
      </w:r>
    </w:p>
    <w:p>
      <w:pPr>
        <w:pStyle w:val="TextBody"/>
        <w:pBdr>
          <w:bottom w:val="single" w:sz="4" w:space="1" w:color="000000"/>
        </w:pBdr>
        <w:bidi w:val="0"/>
        <w:spacing w:before="40" w:after="283"/>
        <w:ind w:left="4320" w:right="4320" w:hanging="0"/>
        <w:jc w:val="center"/>
        <w:rPr/>
      </w:pPr>
      <w:r>
        <w:rPr/>
        <w:t>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RANI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ind w:left="0" w:right="0" w:firstLine="576"/>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ind w:left="0" w:right="0" w:firstLine="576"/>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As of May 12, 2025, the registrant had 33,570,253</w:t>
      </w:r>
      <w:r>
        <w:rPr>
          <w:rFonts w:ascii="Times New Roman" w:hAnsi="Times New Roman"/>
          <w:color w:val="000000"/>
          <w:sz w:val="20"/>
        </w:rPr>
        <w:t xml:space="preserve"> </w:t>
      </w:r>
      <w:r>
        <w:rPr>
          <w:rFonts w:ascii="Times New Roman" w:hAnsi="Times New Roman"/>
          <w:color w:val="000000"/>
          <w:sz w:val="18"/>
        </w:rPr>
        <w:t>shares of Class A common stock, $0.0001 par value per share, outstanding, 23,971,852</w:t>
      </w:r>
      <w:r>
        <w:rPr>
          <w:rFonts w:ascii="Times New Roman" w:hAnsi="Times New Roman"/>
          <w:color w:val="000000"/>
          <w:sz w:val="20"/>
        </w:rPr>
        <w:t xml:space="preserve"> </w:t>
      </w:r>
      <w:r>
        <w:rPr>
          <w:rFonts w:ascii="Times New Roman" w:hAnsi="Times New Roman"/>
          <w:color w:val="000000"/>
          <w:sz w:val="18"/>
        </w:rPr>
        <w:t>shares of Class B common stock, $0.0001 par value per share, outstanding and no</w:t>
      </w:r>
      <w:r>
        <w:rPr>
          <w:rFonts w:ascii="Times New Roman" w:hAnsi="Times New Roman"/>
          <w:color w:val="000000"/>
          <w:sz w:val="20"/>
        </w:rPr>
        <w:t xml:space="preserve"> </w:t>
      </w:r>
      <w:r>
        <w:rPr>
          <w:rFonts w:ascii="Times New Roman" w:hAnsi="Times New Roman"/>
          <w:color w:val="000000"/>
          <w:sz w:val="18"/>
        </w:rPr>
        <w:t>shares of Class C common stock, $0.0001 par value per share, outstanding. Certain holders of units of the registrant’s consolidated subsidiary, Rani Therapeutics, LLC, who do not hold shares of the registrant’s Class B common stock can exchange their units of Rani Therapeutics, LLC for 1,229,630 shares of the registrant’s Class A common stock.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_s">
              <w:r>
                <w:rPr>
                  <w:rStyle w:val="InternetLink"/>
                  <w:rFonts w:ascii="Times New Roman" w:hAnsi="Times New Roman"/>
                  <w:color w:val="0000FF"/>
                  <w:sz w:val="20"/>
                  <w:u w:val="single"/>
                </w:rPr>
                <w:t>Special Note Regarding Forward-Looking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RANI THERAPEUTICS HOLDINGS, INC.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llc">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llc">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rehensive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hanges_llc">
              <w:r>
                <w:rPr>
                  <w:rStyle w:val="InternetLink"/>
                  <w:rFonts w:ascii="Times New Roman" w:hAnsi="Times New Roman"/>
                  <w:color w:val="0000FF"/>
                  <w:sz w:val="20"/>
                  <w:u w:val="single"/>
                </w:rPr>
                <w:t>Condensed Consolidated Statements of Changes in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llc">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llc">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quant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and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Unless otherwise stated or the context otherwise requires, the terms “we,” “us,” and “our,” and similar references refer to Rani Therapeutics Holdings, Inc. (“Rani Holdings”) and its consolidated subsidiary, Rani Therapeutics, LLC (“Rani LLC”).</w:t>
      </w:r>
    </w:p>
    <w:p>
      <w:pPr>
        <w:pStyle w:val="TextBody"/>
        <w:bidi w:val="0"/>
        <w:jc w:val="center"/>
        <w:rPr/>
      </w:pPr>
      <w:r>
        <w:rPr/>
        <w:t> </w:t>
      </w:r>
    </w:p>
    <w:p>
      <w:pPr>
        <w:pStyle w:val="TextBody"/>
        <w:bidi w:val="0"/>
        <w:jc w:val="center"/>
        <w:rPr>
          <w:rFonts w:ascii="Times New Roman" w:hAnsi="Times New Roman"/>
          <w:b/>
          <w:color w:val="000000"/>
          <w:sz w:val="20"/>
        </w:rPr>
      </w:pPr>
      <w:bookmarkStart w:id="2" w:name="special_note_regarding_forward_looking_s"/>
      <w:bookmarkEnd w:id="2"/>
      <w:r>
        <w:rPr>
          <w:rFonts w:ascii="Times New Roman" w:hAnsi="Times New Roman"/>
          <w:b/>
          <w:color w:val="000000"/>
          <w:sz w:val="20"/>
        </w:rPr>
        <w:t>SPECIAL NOTE REGARDING FORWARD-LOOKING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additional capital to fund our existing operations and continue as a going concern;</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improve our liquidity and financial position in response to the substantial doubt about our ability to continue as a going concern;</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and focus of our current and future clinical trials in the United States and abroad, and the reporting of data from those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product candidates into and successfully complete clinical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and ability to successfully manufacture and supply our product candidates for clinical trials and for commercial use, if approved;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further develop and expand our platform technology;</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utilize our technology platform to generate and advance additional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selectively enter into strategic partnership and the expected potential benefits thereof;</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and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scale and optimize our manufacturing processes, including by expanding our use of automation;</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number of patients in the United States who suffer from the indications we target and the number of patients that will enroll in our clinical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opportunity for our product candidates in each of the indications we target;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innovate and expand our intellectual property by developing new applications of the RaniPill capsule;</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including our technology platform and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cash and cash equivalents to fund our future operating expenses and capital expenditure requirements;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 we propose to implement;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including competing product candidates and therapies;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(the “JOBS Act”).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These forward-looking statements are subject to a number of risks, uncertainties, and assumptions described in the section titled “Risk Factors” and elsewhere in our Annual Report on Form 10-K filed with the Securities and Exchange Commission on March 31, 2025.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3" w:name="balance_sheet_llc"/>
      <w:bookmarkEnd w:id="3"/>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3"/>
        <w:gridCol w:w="146"/>
        <w:gridCol w:w="211"/>
        <w:gridCol w:w="841"/>
        <w:gridCol w:w="166"/>
        <w:gridCol w:w="146"/>
        <w:gridCol w:w="214"/>
        <w:gridCol w:w="856"/>
        <w:gridCol w:w="592"/>
      </w:tblGrid>
      <w:tr>
        <w:trPr/>
        <w:tc>
          <w:tcPr>
            <w:tcW w:w="7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- 20,000 shares authorized; none issued and outstanding as of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$0.0001 par value - 800,000 shares authorized; 33,570 and 33,430 issued and outstanding as of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$0.0001 par value - 40,000 shares authorized; 23,972 issued and outstanding as of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$0.0001 par value - 20,000 shares authorized; none issued and outstanding as of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(deficit)/equity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(deficit)/equity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4" w:name="statements_of_operations"/>
      <w:bookmarkEnd w:id="4"/>
      <w:r>
        <w:rPr>
          <w:rFonts w:ascii="Times New Roman" w:hAnsi="Times New Roman"/>
          <w:b/>
          <w:caps/>
          <w:color w:val="000000"/>
          <w:sz w:val="20"/>
        </w:rPr>
        <w:t>CONDENSED Consolidated 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2"/>
        <w:gridCol w:w="146"/>
        <w:gridCol w:w="224"/>
        <w:gridCol w:w="786"/>
        <w:gridCol w:w="176"/>
        <w:gridCol w:w="155"/>
        <w:gridCol w:w="224"/>
        <w:gridCol w:w="786"/>
        <w:gridCol w:w="796"/>
      </w:tblGrid>
      <w:tr>
        <w:trPr/>
        <w:tc>
          <w:tcPr>
            <w:tcW w:w="6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1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79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Class A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33,440</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26,034</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5" w:name="statements_of_comprehensive_loss"/>
      <w:bookmarkEnd w:id="5"/>
      <w:r>
        <w:rPr>
          <w:rFonts w:ascii="Times New Roman" w:hAnsi="Times New Roman"/>
          <w:b/>
          <w:caps/>
          <w:color w:val="000000"/>
          <w:sz w:val="20"/>
        </w:rPr>
        <w:t>CONDENSED Consolidated Statements of Comprehensive Loss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526" w:type="dxa"/>
        <w:jc w:val="left"/>
        <w:tblInd w:w="0" w:type="dxa"/>
        <w:tblLayout w:type="fixed"/>
        <w:tblCellMar>
          <w:top w:w="28" w:type="dxa"/>
          <w:left w:w="28" w:type="dxa"/>
          <w:bottom w:w="28" w:type="dxa"/>
          <w:right w:w="28" w:type="dxa"/>
        </w:tblCellMar>
      </w:tblPr>
      <w:tblGrid>
        <w:gridCol w:w="5671"/>
        <w:gridCol w:w="146"/>
        <w:gridCol w:w="229"/>
        <w:gridCol w:w="801"/>
        <w:gridCol w:w="180"/>
        <w:gridCol w:w="158"/>
        <w:gridCol w:w="229"/>
        <w:gridCol w:w="801"/>
        <w:gridCol w:w="3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Comprehensive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6" w:name="statements_of_changes_llc"/>
      <w:bookmarkEnd w:id="6"/>
      <w:r>
        <w:rPr>
          <w:rFonts w:ascii="Times New Roman" w:hAnsi="Times New Roman"/>
          <w:b/>
          <w:caps/>
          <w:color w:val="000000"/>
          <w:sz w:val="20"/>
        </w:rPr>
        <w:t>CONDENSED Consolidated Statements of Changes in STOCKHOLDERS’ (DEFICIT)/Equity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1537" w:type="dxa"/>
        <w:jc w:val="left"/>
        <w:tblInd w:w="0" w:type="dxa"/>
        <w:tblLayout w:type="fixed"/>
        <w:tblCellMar>
          <w:top w:w="28" w:type="dxa"/>
          <w:left w:w="28" w:type="dxa"/>
          <w:bottom w:w="28" w:type="dxa"/>
          <w:right w:w="28" w:type="dxa"/>
        </w:tblCellMar>
      </w:tblPr>
      <w:tblGrid>
        <w:gridCol w:w="1246"/>
        <w:gridCol w:w="146"/>
        <w:gridCol w:w="146"/>
        <w:gridCol w:w="601"/>
        <w:gridCol w:w="146"/>
        <w:gridCol w:w="146"/>
        <w:gridCol w:w="206"/>
        <w:gridCol w:w="365"/>
        <w:gridCol w:w="146"/>
        <w:gridCol w:w="146"/>
        <w:gridCol w:w="146"/>
        <w:gridCol w:w="601"/>
        <w:gridCol w:w="146"/>
        <w:gridCol w:w="146"/>
        <w:gridCol w:w="206"/>
        <w:gridCol w:w="365"/>
        <w:gridCol w:w="146"/>
        <w:gridCol w:w="146"/>
        <w:gridCol w:w="196"/>
        <w:gridCol w:w="691"/>
        <w:gridCol w:w="166"/>
        <w:gridCol w:w="146"/>
        <w:gridCol w:w="369"/>
        <w:gridCol w:w="652"/>
        <w:gridCol w:w="166"/>
        <w:gridCol w:w="146"/>
        <w:gridCol w:w="196"/>
        <w:gridCol w:w="751"/>
        <w:gridCol w:w="166"/>
        <w:gridCol w:w="146"/>
        <w:gridCol w:w="280"/>
        <w:gridCol w:w="816"/>
        <w:gridCol w:w="166"/>
        <w:gridCol w:w="146"/>
        <w:gridCol w:w="212"/>
        <w:gridCol w:w="719"/>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(Deficit)/Equity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tbl>
      <w:tblPr>
        <w:tblW w:w="11561" w:type="dxa"/>
        <w:jc w:val="left"/>
        <w:tblInd w:w="0" w:type="dxa"/>
        <w:tblLayout w:type="fixed"/>
        <w:tblCellMar>
          <w:top w:w="28" w:type="dxa"/>
          <w:left w:w="28" w:type="dxa"/>
          <w:bottom w:w="28" w:type="dxa"/>
          <w:right w:w="28" w:type="dxa"/>
        </w:tblCellMar>
      </w:tblPr>
      <w:tblGrid>
        <w:gridCol w:w="1456"/>
        <w:gridCol w:w="146"/>
        <w:gridCol w:w="146"/>
        <w:gridCol w:w="601"/>
        <w:gridCol w:w="146"/>
        <w:gridCol w:w="146"/>
        <w:gridCol w:w="206"/>
        <w:gridCol w:w="365"/>
        <w:gridCol w:w="146"/>
        <w:gridCol w:w="146"/>
        <w:gridCol w:w="146"/>
        <w:gridCol w:w="601"/>
        <w:gridCol w:w="146"/>
        <w:gridCol w:w="146"/>
        <w:gridCol w:w="206"/>
        <w:gridCol w:w="365"/>
        <w:gridCol w:w="146"/>
        <w:gridCol w:w="146"/>
        <w:gridCol w:w="196"/>
        <w:gridCol w:w="601"/>
        <w:gridCol w:w="146"/>
        <w:gridCol w:w="146"/>
        <w:gridCol w:w="369"/>
        <w:gridCol w:w="652"/>
        <w:gridCol w:w="166"/>
        <w:gridCol w:w="146"/>
        <w:gridCol w:w="199"/>
        <w:gridCol w:w="672"/>
        <w:gridCol w:w="166"/>
        <w:gridCol w:w="146"/>
        <w:gridCol w:w="269"/>
        <w:gridCol w:w="827"/>
        <w:gridCol w:w="166"/>
        <w:gridCol w:w="146"/>
        <w:gridCol w:w="212"/>
        <w:gridCol w:w="719"/>
        <w:gridCol w:w="21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exchanges of non-corresponding Class A Units of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adjustment for changes in proportionate ownership in Rani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7" w:name="cash_flows_llc"/>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51"/>
        <w:gridCol w:w="146"/>
        <w:gridCol w:w="247"/>
        <w:gridCol w:w="866"/>
        <w:gridCol w:w="195"/>
        <w:gridCol w:w="171"/>
        <w:gridCol w:w="247"/>
        <w:gridCol w:w="866"/>
        <w:gridCol w:w="616"/>
      </w:tblGrid>
      <w:tr>
        <w:trPr/>
        <w:tc>
          <w:tcPr>
            <w:tcW w:w="6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March 31,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2024</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(14,779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3,870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Net accretion and amortization of investments in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Contract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(378</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(9,402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20,350</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(10,038</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18,229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10,294</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 withholdings paid on behalf of employees for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Repayment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cash (used in)/provided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increase in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6,349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1,013</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4,262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6,364</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10,611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7,377</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income receivable included in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4,731</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Exchanges of non-corresponding Class A Units of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Remeasurement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purchases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8" w:name="notes_llc"/>
      <w:bookmarkEnd w:id="8"/>
      <w:r>
        <w:rPr>
          <w:rFonts w:ascii="Times New Roman" w:hAnsi="Times New Roman"/>
          <w:b/>
          <w:caps/>
          <w:color w:val="000000"/>
          <w:sz w:val="20"/>
        </w:rPr>
        <w:t>Notes to THE UNAUDITED CONDENSED Consolidated Financial Statements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Nature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Rani Therapeutics Holdings, Inc. (“Rani Holdings”, and together with its consolidated subsidiary, the “Company”) is a clinical-stage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The Company is headquartered in San Jose, California and operates in one segment.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Organizational Transactions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Fifth Amended and Restated Limited Liability Company Agreement of Rani LLC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Rani LLC Agreement. As of March 31, 2025, certain individuals who continue to own interests in Rani LLC but do not hold shares of the Company’s Class B common stock (“non-corresponding Class A Units”) have the ability to exchange their non-corresponding Class A Units of Rani LLC for 1,229,630 shares of the Company’s Class A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has incurred recurring losses since its inception, including net losses of $12.7 million for the three months ended March 31, 2025. As of March 31, 2025, the Company had an accumulated deficit of $110.2 million and for the three months ended March 31, 2025, had negative cash flows from operations of $8.1 million. As of March 31, 2025, cash, cash equivalents and marketable securities totaled $15.9 million. Based on its available cash resources and current operating plan, there is substantial doubt regarding the Company’s ability to continue as a going concern for a period of one year after the date that its financial statements for the three months ended March 31, 2025 are issued. The Company’s existing capital resources will not be sufficient to enable it to initiate any pivotal clinical trials. The Company will need to raise substantial additional funds in the future in order to complete the development of the RaniPill platform, to complete the clinical development of its product candidates and seek regulatory approval thereof, to expand its manufacturing capabilities, to further develop the RaniPill HC device and to commercialize any of its product candidates.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such as “at the market offerings” pursuant to its Controlled Equity Sales Agreement (the "Sales Agreement") with Cantor Fitzgerald &amp; Co. and H.C. Wainwright &amp; Co., LLC, collaboration or licensing agreements, or the incurrence of debt. However, there is no guarantee that any of these strategic or financing opportunities will be executed or realized on favorable terms, if at all. As a result, the Company has concluded that management’s plans do not alleviate substantial doubt about the Company’s ability to continue as a going concern.</w:t>
      </w:r>
    </w:p>
    <w:p>
      <w:pPr>
        <w:pStyle w:val="TextBody"/>
        <w:bidi w:val="0"/>
        <w:jc w:val="both"/>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These condensed consolidated financial statements have been prepared in accordance with accounting principles generally accepted in the United States of America (“U.S. GAAP”).</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pStyle w:val="TextBody"/>
        <w:bidi w:val="0"/>
        <w:ind w:left="0" w:right="0" w:firstLine="979"/>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Unaudited Interim Condensed Consolidated Financial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months ended March 31, 2025 are not necessarily indicative of the results that may be expected for the year ending December 31, 2025 or for any future period.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consolidated balance sheet as of December 31, 2024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2024 consolidated financial statements and notes included in the Company’s Annual Report on Form 10-K filed with the SEC on March 31,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 description of the Company’s significant accounting policies is included in the audited consolidated financial statements within its Annual Report on Form 10-K for the year ended December 31, 2024. Except as noted below, there have been no material changes in the Company’s significant accounting policies during the three months ended March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 Equivalents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equivalents reported as a component of prepaid expenses and other current assets on the condensed consolidated balance sheet which, in aggregate, represents the amount reported in the condensed consolidated statements of cash flows for the three months ended March 31, 2025 and 2024:</w:t>
      </w:r>
    </w:p>
    <w:tbl>
      <w:tblPr>
        <w:tblW w:w="7871" w:type="dxa"/>
        <w:jc w:val="left"/>
        <w:tblInd w:w="0" w:type="dxa"/>
        <w:tblLayout w:type="fixed"/>
        <w:tblCellMar>
          <w:top w:w="28" w:type="dxa"/>
          <w:left w:w="28" w:type="dxa"/>
          <w:bottom w:w="28" w:type="dxa"/>
          <w:right w:w="28" w:type="dxa"/>
        </w:tblCellMar>
      </w:tblPr>
      <w:tblGrid>
        <w:gridCol w:w="5036"/>
        <w:gridCol w:w="146"/>
        <w:gridCol w:w="258"/>
        <w:gridCol w:w="827"/>
        <w:gridCol w:w="178"/>
        <w:gridCol w:w="178"/>
        <w:gridCol w:w="258"/>
        <w:gridCol w:w="699"/>
        <w:gridCol w:w="291"/>
      </w:tblGrid>
      <w:tr>
        <w:trPr/>
        <w:tc>
          <w:tcPr>
            <w:tcW w:w="5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Accounts receivable primarily consist of amounts due from customers for services performed. The Company’s expected credit losses are developed using an estimated loss rate method that considers historical collection experience, current conditions, and reasonable and supportable forecasts that affect the collectability of the reported amount. The estimated loss rates are applied to trade receivables with similar risk characteristics such as the length of time the balance has been outstanding, liquidity and financial position of the customer, and the geographic location of the customer. In certain instances, the Company may identify individual accounts receivable assets that do not share risk characteristics with other accounts receivable, in which case the Company records its expected credit losses on an individual asset basis. As of March 31, 2025, there was no allowance for credit losses, nor write-offs or recoveries recognized.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to provide disaggregated information about certain income statement costs and expenses. ASU 2024-03 is effective for the Company’s annual periods beginning January 1, 2027, with early adoption permitted. The Company is evaluating the impact of this guidance on its consolidated financial statements and related disclosures.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Cash Equivalents, Restricted Cash Equivalents and Marketable Securities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tables summarizes the amortized cost and fair value of the Company's cash equivalents, restricted cash equivalents and marketable securities by major investment category (in thousands):</w:t>
      </w:r>
    </w:p>
    <w:p>
      <w:pPr>
        <w:pStyle w:val="TextBody"/>
        <w:bidi w:val="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4053"/>
        <w:gridCol w:w="146"/>
        <w:gridCol w:w="258"/>
        <w:gridCol w:w="829"/>
        <w:gridCol w:w="146"/>
        <w:gridCol w:w="146"/>
        <w:gridCol w:w="433"/>
        <w:gridCol w:w="713"/>
        <w:gridCol w:w="146"/>
        <w:gridCol w:w="146"/>
        <w:gridCol w:w="440"/>
        <w:gridCol w:w="724"/>
        <w:gridCol w:w="166"/>
        <w:gridCol w:w="146"/>
        <w:gridCol w:w="313"/>
        <w:gridCol w:w="1004"/>
        <w:gridCol w:w="396"/>
      </w:tblGrid>
      <w:tr>
        <w:trPr/>
        <w:tc>
          <w:tcPr>
            <w:tcW w:w="4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5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5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39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5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5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5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restricted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3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4067"/>
        <w:gridCol w:w="146"/>
        <w:gridCol w:w="259"/>
        <w:gridCol w:w="830"/>
        <w:gridCol w:w="146"/>
        <w:gridCol w:w="146"/>
        <w:gridCol w:w="434"/>
        <w:gridCol w:w="714"/>
        <w:gridCol w:w="146"/>
        <w:gridCol w:w="146"/>
        <w:gridCol w:w="440"/>
        <w:gridCol w:w="724"/>
        <w:gridCol w:w="146"/>
        <w:gridCol w:w="146"/>
        <w:gridCol w:w="313"/>
        <w:gridCol w:w="1005"/>
        <w:gridCol w:w="397"/>
      </w:tblGrid>
      <w:tr>
        <w:trPr/>
        <w:tc>
          <w:tcPr>
            <w:tcW w:w="4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7"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restricted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w:t>
            </w:r>
          </w:p>
        </w:tc>
        <w:tc>
          <w:tcPr>
            <w:tcW w:w="3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left"/>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979"/>
        <w:jc w:val="left"/>
        <w:rPr>
          <w:rFonts w:ascii="Times New Roman" w:hAnsi="Times New Roman"/>
          <w:color w:val="000000"/>
          <w:sz w:val="20"/>
        </w:rPr>
      </w:pPr>
      <w:r>
        <w:rPr>
          <w:rFonts w:ascii="Times New Roman" w:hAnsi="Times New Roman"/>
          <w:color w:val="000000"/>
          <w:sz w:val="20"/>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March 31, 2025,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March 31, 2025. As of March 31, 2025 and December 31, 2024, interest income receivable recorded as a component of prepaid expenses and other current assets on the condensed consolidated balance sheet was de minimis.</w:t>
      </w:r>
    </w:p>
    <w:p>
      <w:pPr>
        <w:pStyle w:val="TextBody"/>
        <w:bidi w:val="0"/>
        <w:ind w:left="0" w:right="0" w:firstLine="979"/>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tables detail information about the Company’s financial assets and liabilities measured at fair value on a recurring basis and indicates the level of inputs used in such measurements (in thousands): </w:t>
      </w:r>
    </w:p>
    <w:tbl>
      <w:tblPr>
        <w:tblW w:w="7063"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39"/>
        <w:gridCol w:w="391"/>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center"/>
        <w:rPr/>
      </w:pPr>
      <w:r>
        <w:rPr/>
        <w:t> </w:t>
      </w:r>
    </w:p>
    <w:tbl>
      <w:tblPr>
        <w:tblW w:w="7063"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39"/>
        <w:gridCol w:w="391"/>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center"/>
        <w:rPr/>
      </w:pPr>
      <w:r>
        <w:rPr/>
        <w:t> </w:t>
      </w:r>
    </w:p>
    <w:p>
      <w:pPr>
        <w:pStyle w:val="TextBody"/>
        <w:bidi w:val="0"/>
        <w:ind w:left="0" w:right="0" w:firstLine="979"/>
        <w:jc w:val="left"/>
        <w:rPr>
          <w:rFonts w:ascii="Times New Roman" w:hAnsi="Times New Roman"/>
          <w:color w:val="000000"/>
          <w:sz w:val="20"/>
        </w:rPr>
      </w:pPr>
      <w:r>
        <w:rPr>
          <w:rFonts w:ascii="Times New Roman" w:hAnsi="Times New Roman"/>
          <w:color w:val="000000"/>
          <w:sz w:val="20"/>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There were no transfers between Level 1, Level 2 and Level 3 of the fair value hierarchy for any of the periods presented. </w:t>
      </w:r>
    </w:p>
    <w:p>
      <w:pPr>
        <w:pStyle w:val="TextBody"/>
        <w:bidi w:val="0"/>
        <w:ind w:left="0" w:right="0" w:firstLine="979"/>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5. Accrued Expenses and Other Current Liabilities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left"/>
        <w:rPr/>
      </w:pPr>
      <w:r>
        <w:rPr/>
        <w:t> </w:t>
      </w:r>
    </w:p>
    <w:tbl>
      <w:tblPr>
        <w:tblW w:w="6840" w:type="dxa"/>
        <w:jc w:val="left"/>
        <w:tblInd w:w="0" w:type="dxa"/>
        <w:tblLayout w:type="fixed"/>
        <w:tblCellMar>
          <w:top w:w="28" w:type="dxa"/>
          <w:left w:w="28" w:type="dxa"/>
          <w:bottom w:w="28" w:type="dxa"/>
          <w:right w:w="28" w:type="dxa"/>
        </w:tblCellMar>
      </w:tblPr>
      <w:tblGrid>
        <w:gridCol w:w="4261"/>
        <w:gridCol w:w="146"/>
        <w:gridCol w:w="230"/>
        <w:gridCol w:w="625"/>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preclinical and 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Evaluation and Collaborative Arrangements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Arrangement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August 2024, the Company entered into a contract to conduct evaluation services of certain customer compounds for oral delivery using the RaniPill HC, which was concluded to be a single performance obligation with an enforceable right to payment. This customer paid the Company an up-front payment of $0.6 million upon execution of the contract. Upon completion of the evaluation services, the Company is entitled to a final $0.6 million payment for an aggregate total of $1.2 million due under the contract. In addition, if agreed upon, the agreement allows for joint filing of certain intellectual property protection in which all associated expenses will be shared equally. The customer has the ability to terminate the agreement at any time by providing 10 days’ written notice after the effective date of the contract. The contract can be terminated for cause by either party based on uncured material breach by the other party. Upon early termination, all ongoing activities under the agreement and all mutual collaboration, development and commercialization licenses and sublicenses will terminate. For the period ended March 31, 2025, $0.2 million in contract revenue was recognized for evaluation services performed.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ProGen Co., Ltd.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2024, the Company and ProGen Co., Ltd. (“ProGen”) entered into a Collaboration Agreement (the “Collaboration Agreement”). Under the Collaboration Agreement, the Company and ProGen will collaborate to manufacture, develop, seek regulatory approvals for and, if approved, commercialize a product (the “Product”) combining ProGen’s GLP-1/GLP-2 dual agonist compound, PG-102, and the RaniPill HC oral delivery device (the “Device”) in the field of weight management (including without limitation obesity, weight reduction and weight maintenance) in humans (the “Collaboration”).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Under the Collaboration Agreement, development costs, as well as operating profits and losses from the commercialization of the Product, will be equally shared by the Company and ProGen. The Company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 The parties share responsibility for the development of RT-114 worldwide, with the Company leading such development for preclinical activities through Phase 1 clinical trials. After initiation of the first Phase 2 clinical trial, the Company will lead development and commercialization of the Product in the United States, Canada, Europe (including the United Kingdom) and Australia, and ProGen will lead development and commercialization in all other countries.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determined that the Collaboration Agreement is not a contract with a customer and is therefore accounted for under ASC Topic 808. The Company evaluates the presentation of amounts due from ProGen based on the nature of each separate activity. Reimbursements from ProGen are recognized as contra-research and development expense on the Consolidated Statement of Operations once earned and collectability is assured. As of March 31, 2025, reimbursement due from ProGen recorded as contra-research and development expense was de minimis.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979"/>
        <w:jc w:val="left"/>
        <w:rPr/>
      </w:pPr>
      <w:r>
        <w:rPr/>
        <w:t> </w:t>
      </w:r>
    </w:p>
    <w:p>
      <w:pPr>
        <w:pStyle w:val="TextBody"/>
        <w:bidi w:val="0"/>
        <w:jc w:val="left"/>
        <w:rPr>
          <w:rFonts w:ascii="Times New Roman" w:hAnsi="Times New Roman"/>
          <w:sz w:val="20"/>
        </w:rPr>
      </w:pPr>
      <w:r>
        <w:rPr>
          <w:rFonts w:ascii="Times New Roman" w:hAnsi="Times New Roman"/>
          <w:b/>
          <w:color w:val="000000"/>
          <w:sz w:val="20"/>
        </w:rPr>
        <w:t>7. Related Party Transactions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 </w:t>
      </w:r>
    </w:p>
    <w:p>
      <w:pPr>
        <w:pStyle w:val="TextBody"/>
        <w:bidi w:val="0"/>
        <w:spacing w:before="240" w:after="283"/>
        <w:jc w:val="left"/>
        <w:rPr>
          <w:rFonts w:ascii="Times New Roman" w:hAnsi="Times New Roman"/>
          <w:sz w:val="20"/>
        </w:rPr>
      </w:pPr>
      <w:r>
        <w:rPr>
          <w:rFonts w:ascii="Times New Roman" w:hAnsi="Times New Roman"/>
          <w:b/>
          <w:i/>
          <w:color w:val="000000"/>
          <w:sz w:val="20"/>
        </w:rPr>
        <w:t>Service Agreements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had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The Occupancy Services for the facility in Milpitas, California expired in August 2024. The Occupancy Services for the facility in San Antonio, Texas terminated in June 2024.</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2021, Rani Management Services, Inc. (“RMS”) entered into a service agreement with ICL effective retrospectively to January 1, 2021, pursuant to which ICL agreed to rent a specified portion of its facility in San Jose, California to RMS. Additionally, RMS and ICL agreed to provide personnel services to the other upon requests based on rates specified in the agreement. In April 2022, RMS assigned the agreement to Rani LLC. In December 2022, RMS was dissolved. In March 2024, the Company entered into an amendment to increase the Occupancy Services from 23,000 square feet to 24,000 square feet (such agreement, as assigned and amended,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table below details the amounts charged by ICL for services and rent, net of the amount that the Company charged ICL, which is included in the condensed consolidated statements of operations (in thousands): </w:t>
      </w:r>
    </w:p>
    <w:p>
      <w:pPr>
        <w:pStyle w:val="TextBody"/>
        <w:bidi w:val="0"/>
        <w:jc w:val="left"/>
        <w:rPr/>
      </w:pPr>
      <w:r>
        <w:rPr/>
        <w:t> </w:t>
      </w:r>
    </w:p>
    <w:tbl>
      <w:tblPr>
        <w:tblW w:w="5046" w:type="dxa"/>
        <w:jc w:val="left"/>
        <w:tblInd w:w="0" w:type="dxa"/>
        <w:tblLayout w:type="fixed"/>
        <w:tblCellMar>
          <w:top w:w="28" w:type="dxa"/>
          <w:left w:w="28" w:type="dxa"/>
          <w:bottom w:w="28" w:type="dxa"/>
          <w:right w:w="28" w:type="dxa"/>
        </w:tblCellMar>
      </w:tblPr>
      <w:tblGrid>
        <w:gridCol w:w="2311"/>
        <w:gridCol w:w="146"/>
        <w:gridCol w:w="321"/>
        <w:gridCol w:w="641"/>
        <w:gridCol w:w="252"/>
        <w:gridCol w:w="222"/>
        <w:gridCol w:w="321"/>
        <w:gridCol w:w="64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As of March 31, 2025, one of the Company's facilities was owned by an entity affiliated with the Company’s Chairman (Note 8). The Company pays for the use of this facility through the RMS-ICL Service Agreement. </w:t>
      </w:r>
    </w:p>
    <w:p>
      <w:pPr>
        <w:pStyle w:val="TextBody"/>
        <w:bidi w:val="0"/>
        <w:jc w:val="both"/>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Exclusive License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Non-Exclusive License Agreement between Rani and ICL (“Non-Exclusive License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Certain parties to the tax receivable agreement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During each of the three months ended March 31, 2025 and 2024, these parties to the TRA exchanged zero Paired Interests, respectively, that resulted in tax benefits subject to the TRA.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Rani LLC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During each of the three months ended March 31, 2025 and 2024, certain related parties that are party to the Rani LLC Agreement exchanged zero Paired Interests, respectively, for an equal number of shares of the Company's Class A common stock.</w:t>
      </w:r>
    </w:p>
    <w:p>
      <w:pPr>
        <w:pStyle w:val="TextBody"/>
        <w:bidi w:val="0"/>
        <w:jc w:val="both"/>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8. Leases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pays for the use of its office, laboratory and manufacturing facility in San Jose, California as part of the RMS-ICL Service Agreement. In April 2022, RMS assigned the RMS-ICL Service Agreement to Rani LLC. In December 2022, RMS was dissolved. In March 2024, the Company entered into an amendment to increase the Occupancy Services from 23,000 square feet to 24,000 square feet. The RMS-ICL Service Agreement has a twelve-month term and will automatically renew for successive twelve-month periods unless Rani LLC or ICL terminate occupancy under the RMS-ICL Service Agreement upon six months’ notice. In January 2024, the Company determined it to be reasonably certain that it would exercise its renewal option for a successive twelve-month period through 2025.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Under the Rani LLC-ICL Service Agreement amended in March 2022, Rani LLC had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The Company accounted for its Occupancy Services in San Antonio, Texas as a short-term lease. In December 2023, the Company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Company accounted for the March 2024 extension for its Occupancy Services in Milpitas, California as a short-term lease. The Occupancy Services for the facility in Milpitas, California expired in August 2024.</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in the total operating lease expense and immaterial for the periods presented.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Supplemental information on the Company’s condensed consolidated balance sheet and statements of cash flows as of March 31, 2025 and 2024 and for the three months ended March 31, 2025 and 2024, respectively, related to the Company's leases was as follows (in thousands):</w:t>
      </w:r>
    </w:p>
    <w:p>
      <w:pPr>
        <w:pStyle w:val="TextBody"/>
        <w:bidi w:val="0"/>
        <w:jc w:val="both"/>
        <w:rPr/>
      </w:pPr>
      <w:r>
        <w:rPr/>
        <w:t> </w:t>
      </w:r>
    </w:p>
    <w:tbl>
      <w:tblPr>
        <w:tblW w:w="6229" w:type="dxa"/>
        <w:jc w:val="left"/>
        <w:tblInd w:w="0" w:type="dxa"/>
        <w:tblLayout w:type="fixed"/>
        <w:tblCellMar>
          <w:top w:w="28" w:type="dxa"/>
          <w:left w:w="28" w:type="dxa"/>
          <w:bottom w:w="28" w:type="dxa"/>
          <w:right w:w="28" w:type="dxa"/>
        </w:tblCellMar>
      </w:tblPr>
      <w:tblGrid>
        <w:gridCol w:w="4126"/>
        <w:gridCol w:w="146"/>
        <w:gridCol w:w="146"/>
        <w:gridCol w:w="466"/>
        <w:gridCol w:w="271"/>
        <w:gridCol w:w="146"/>
        <w:gridCol w:w="146"/>
        <w:gridCol w:w="466"/>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tbl>
      <w:tblPr>
        <w:tblW w:w="7181" w:type="dxa"/>
        <w:jc w:val="left"/>
        <w:tblInd w:w="0" w:type="dxa"/>
        <w:tblLayout w:type="fixed"/>
        <w:tblCellMar>
          <w:top w:w="28" w:type="dxa"/>
          <w:left w:w="28" w:type="dxa"/>
          <w:bottom w:w="28" w:type="dxa"/>
          <w:right w:w="28" w:type="dxa"/>
        </w:tblCellMar>
      </w:tblPr>
      <w:tblGrid>
        <w:gridCol w:w="4246"/>
        <w:gridCol w:w="146"/>
        <w:gridCol w:w="325"/>
        <w:gridCol w:w="649"/>
        <w:gridCol w:w="225"/>
        <w:gridCol w:w="225"/>
        <w:gridCol w:w="325"/>
        <w:gridCol w:w="649"/>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used for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March 31, 2025, minimum annual rental payments under the Company’s operating lease agreements are as follows (in thousands), excluding short-term leases:</w:t>
      </w:r>
    </w:p>
    <w:tbl>
      <w:tblPr>
        <w:tblW w:w="5875" w:type="dxa"/>
        <w:jc w:val="left"/>
        <w:tblInd w:w="0" w:type="dxa"/>
        <w:tblLayout w:type="fixed"/>
        <w:tblCellMar>
          <w:top w:w="28" w:type="dxa"/>
          <w:left w:w="28" w:type="dxa"/>
          <w:bottom w:w="28" w:type="dxa"/>
          <w:right w:w="28" w:type="dxa"/>
        </w:tblCellMar>
      </w:tblPr>
      <w:tblGrid>
        <w:gridCol w:w="4536"/>
        <w:gridCol w:w="146"/>
        <w:gridCol w:w="211"/>
        <w:gridCol w:w="57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 (remaining nine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9. Warrants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October 2024, the Company entered into a securities purchase agreement (the “October Securities Purchase Agreement”) with an institutional investor (the “Equity Investor”) relating to the issuance and sale of: (i) 3,000,000 shares of its Class A common stock, par value $0.0001 per share, (ii) pre-funded warrants to purchase 333,333 shares of Class A common stock, and (iii) Series C common warrants, which accompany the Class A common stock and pre-funded warrants, to purchase an aggregate of 3,333,333 shares of Class A common stock (the “October Offering”). Pursuant to the October Securities Purchase Agreement, Series A common warrants to purchase an aggregate of 3,246,753 shares of Class A common stock issued in connection with the July securities purchase agreement were cancelled. The pre-funded warrants are exercisable immediately and have an unlimited term and an exercise price of $0.0001 per share. The Series C common warrants are exercisable immediately following the closing date and will expire five years from the date of issuance and will have an exercise price of $3.00 per share. The Series C warrants include certain rights upon “fundamental transactions,” as described in the Series C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C warrants on the date of the consummation of the fundamental transactions. In October 2024, the pre-funded warrants were fully exercised for de minimis proceeds. As of March 31, 2025, there were 3,333,333 Series C warrants outstanding.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July 2024, the Company entered into a securities purchase agreement (the “July Securities Purchase Agreement”) with an institutional investor relating to the issuance and sale of: (i) 2,800,000 shares of Class A common stock, (ii) pre-funded warrants to purchase 446,753 shares of Class A common stock, (iii) Series A common warrants, which accompany the Class A common stock and pre-funded warrants, to purchase an aggregate of 3,246,753 shares of Class A common stock and (iv) Series B common warrants, which accompany the Class A common stock and pre-funded warrants, to purchase an aggregate of 3,246,753 shares of Class A common stock (the “July Offering”). Pursuant to the October Securities Purchase Agreement, the Series A common warrants to purchase an aggregate of 3,246,753 shares of Class A common stock issued were cancelled. The Series B warrants are exercisable following the six-month anniversary of the closing date and will expire five and a half years from the date of issuance and have an exercise price of $3.08 per share. The Series B warrants include certain rights upon “fundamental transactions,” as described in the Series B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B warrants on the date of the consummation of the fundamental transactions. In August 2024, the pre-funded warrants were fully exercised for de minimis proceeds. As of March 31, 2025, there were 3,246,753 Series B warrants outstanding.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August 2022, in conjunction with a loan and security agreement (Note 13),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March 31, 2025, there were 76,336 warrants outstanding.</w:t>
      </w:r>
    </w:p>
    <w:p>
      <w:pPr>
        <w:pStyle w:val="TextBody"/>
        <w:bidi w:val="0"/>
        <w:jc w:val="both"/>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March 31, 2025, Rani Holdings held approximately 57% of the Class A Units of Rani LLC, and approximately 43% of the outstanding Class A Units of Rani LLC are held by the Continuing LLC Owners. From the date of the Organizational Transactions to March 31, 2025, 5,318,539 Paired Interests and 315,892 non-corresponding Class A Units of Rani LLC were exchanged for an equal number of shares of the Company's Class A common stock. For each of the three months ended March 31, 2025 and 2024, certain of the Continuing LLC Owners executed an exchange of zero Paired Interests and zero and 83,377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Rani LLC Agreement. In accordance with the Rani LLC Agreement, Rani LLC also issues a corresponding Class A Unit to Rani Holdings for each share of common stock issued by Rani Holdings. This increases Rani Holdings’ ownership in Rani LLC.</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 summary of stock option activity during the periods indicated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2"/>
        <w:gridCol w:w="146"/>
        <w:gridCol w:w="217"/>
        <w:gridCol w:w="1542"/>
        <w:gridCol w:w="166"/>
        <w:gridCol w:w="146"/>
        <w:gridCol w:w="485"/>
        <w:gridCol w:w="1072"/>
        <w:gridCol w:w="146"/>
        <w:gridCol w:w="146"/>
        <w:gridCol w:w="445"/>
        <w:gridCol w:w="1425"/>
        <w:gridCol w:w="146"/>
        <w:gridCol w:w="146"/>
        <w:gridCol w:w="691"/>
        <w:gridCol w:w="1139"/>
        <w:gridCol w:w="395"/>
      </w:tblGrid>
      <w:tr>
        <w:trPr/>
        <w:tc>
          <w:tcPr>
            <w:tcW w:w="1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Option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March 31, 2025, there was $16.4 million of unrecognized stock-based compensation expense related to stock options which is expected to be recognized over a weighted-average period of approximately 2.5 years.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uses the Black-Scholes option pricing model to estimate the fair value of each stock option award on the date of grant. The assumptions and estimates are as follows: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term</w:t>
      </w:r>
      <w:r>
        <w:rPr>
          <w:color w:val="000000"/>
        </w:rPr>
        <w:t xml:space="preserve"> </w:t>
      </w:r>
      <w:r>
        <w:rPr>
          <w:rFonts w:ascii="Times New Roman" w:hAnsi="Times New Roman"/>
          <w:color w:val="000000"/>
          <w:sz w:val="20"/>
        </w:rPr>
        <w:t>- The expected term represents the period of time that stock option awards are expected to remain outstanding. The Company estimates the expected term as the midpoint between actual or expected vesting date and the contractual term.</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volatility</w:t>
      </w:r>
      <w:r>
        <w:rPr>
          <w:color w:val="000000"/>
        </w:rPr>
        <w:t xml:space="preserve"> </w:t>
      </w:r>
      <w:r>
        <w:rPr>
          <w:rFonts w:ascii="Times New Roman" w:hAnsi="Times New Roman"/>
          <w:color w:val="000000"/>
          <w:sz w:val="20"/>
        </w:rPr>
        <w:t>- The expected volatility was derived from the historical stock volatilities of peer public companies within the Company's industry that are considered to be comparable businesses over a period equivalent to the expected term of the stock option awards, since there has been limited trading history of the Company's stock.</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color w:val="000000"/>
        </w:rPr>
        <w:t xml:space="preserve"> </w:t>
      </w:r>
      <w:r>
        <w:rPr>
          <w:rFonts w:ascii="Times New Roman" w:hAnsi="Times New Roman"/>
          <w:color w:val="000000"/>
          <w:sz w:val="20"/>
        </w:rPr>
        <w:t>- The risk-free interest rate is based on the U.S. Treasury yield curve in effect at the date of grant for zero-coupon U.S. Treasury notes with maturities approximately equal to the stock option awards’ expected term.</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dividend yield</w:t>
      </w:r>
      <w:r>
        <w:rPr>
          <w:color w:val="000000"/>
        </w:rPr>
        <w:t xml:space="preserve"> </w:t>
      </w:r>
      <w:r>
        <w:rPr>
          <w:rFonts w:ascii="Times New Roman" w:hAnsi="Times New Roman"/>
          <w:color w:val="000000"/>
          <w:sz w:val="20"/>
        </w:rPr>
        <w:t>- The expected dividend yield is zero as the Company has no plans to make dividend payments.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sets forth the weighted average assumptions used in estimating the fair value of stock option awards on the grant date: </w:t>
      </w:r>
    </w:p>
    <w:p>
      <w:pPr>
        <w:pStyle w:val="TextBody"/>
        <w:bidi w:val="0"/>
        <w:jc w:val="left"/>
        <w:rPr/>
      </w:pPr>
      <w:r>
        <w:rPr/>
        <w:t> </w:t>
      </w:r>
    </w:p>
    <w:tbl>
      <w:tblPr>
        <w:tblW w:w="3594" w:type="dxa"/>
        <w:jc w:val="left"/>
        <w:tblInd w:w="0" w:type="dxa"/>
        <w:tblLayout w:type="fixed"/>
        <w:tblCellMar>
          <w:top w:w="28" w:type="dxa"/>
          <w:left w:w="28" w:type="dxa"/>
          <w:bottom w:w="28" w:type="dxa"/>
          <w:right w:w="28" w:type="dxa"/>
        </w:tblCellMar>
      </w:tblPr>
      <w:tblGrid>
        <w:gridCol w:w="2131"/>
        <w:gridCol w:w="146"/>
        <w:gridCol w:w="204"/>
        <w:gridCol w:w="651"/>
        <w:gridCol w:w="14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 summary of restricted stock unit (“RSU”) activity during the periods indicated is as follows: </w:t>
      </w:r>
    </w:p>
    <w:tbl>
      <w:tblPr>
        <w:tblW w:w="9910" w:type="dxa"/>
        <w:jc w:val="left"/>
        <w:tblInd w:w="0" w:type="dxa"/>
        <w:tblLayout w:type="fixed"/>
        <w:tblCellMar>
          <w:top w:w="28" w:type="dxa"/>
          <w:left w:w="28" w:type="dxa"/>
          <w:bottom w:w="28" w:type="dxa"/>
          <w:right w:w="28" w:type="dxa"/>
        </w:tblCellMar>
      </w:tblPr>
      <w:tblGrid>
        <w:gridCol w:w="2596"/>
        <w:gridCol w:w="146"/>
        <w:gridCol w:w="375"/>
        <w:gridCol w:w="2160"/>
        <w:gridCol w:w="166"/>
        <w:gridCol w:w="146"/>
        <w:gridCol w:w="1223"/>
        <w:gridCol w:w="2707"/>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March 31, 2025, there was $4.2 million of unrecognized stock-based compensation expense related to RSUs which is expected to be recognized over a weighted-average period of approximately 1.9 years. The total fair value of RSUs vested was $0.2 million for the three months ended March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resulting from the grant of stock options, RSUs, RSAs, and the ESPP, recorded in the Company’s condensed consolidated statement of operations (in thousands): </w:t>
      </w:r>
    </w:p>
    <w:tbl>
      <w:tblPr>
        <w:tblW w:w="6279" w:type="dxa"/>
        <w:jc w:val="left"/>
        <w:tblInd w:w="0" w:type="dxa"/>
        <w:tblLayout w:type="fixed"/>
        <w:tblCellMar>
          <w:top w:w="28" w:type="dxa"/>
          <w:left w:w="28" w:type="dxa"/>
          <w:bottom w:w="28" w:type="dxa"/>
          <w:right w:w="28" w:type="dxa"/>
        </w:tblCellMar>
      </w:tblPr>
      <w:tblGrid>
        <w:gridCol w:w="3146"/>
        <w:gridCol w:w="146"/>
        <w:gridCol w:w="272"/>
        <w:gridCol w:w="738"/>
        <w:gridCol w:w="188"/>
        <w:gridCol w:w="188"/>
        <w:gridCol w:w="272"/>
        <w:gridCol w:w="738"/>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Company is party to a TRA with certain of the Continuing LLC Owners. As of March 31, 2025,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$23.3 million at March 31, 2025.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pStyle w:val="TextBody"/>
        <w:bidi w:val="0"/>
        <w:jc w:val="left"/>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Long-Term Debt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purpose of the Loans is for general corporate purposes. In exchange for access to this facility, the Company agreed to issue warrants (Note 9).</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Pursuant to the Loan Agreement, the maturity date for the Loans is August 1, 2026. The Loan principal is repayable in equal monthly installments beginning September 2024.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March 31, 2025, the effective interest rate on the Loans was 14.58% and there were no events of default during the three months ended March 31, 2025. The Company is also subject to certain covenants. There have been no material adverse events in connection with the Loan Agreement and the substantial doubt regarding our ability to continue as a going concern does not currently constitute a material adverse event under the terms of the Loan Agreement. As of March 31, 2025, the Company was in compliance with all applicable financial covenants under the Loan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March 31, 2025, future principal payments for the Company’s debt are as follows (in thousands):</w:t>
      </w:r>
    </w:p>
    <w:p>
      <w:pPr>
        <w:pStyle w:val="TextBody"/>
        <w:bidi w:val="0"/>
        <w:jc w:val="both"/>
        <w:rPr/>
      </w:pPr>
      <w:r>
        <w:rPr/>
        <w:t> </w:t>
      </w:r>
    </w:p>
    <w:tbl>
      <w:tblPr>
        <w:tblW w:w="5095" w:type="dxa"/>
        <w:jc w:val="left"/>
        <w:tblInd w:w="0" w:type="dxa"/>
        <w:tblLayout w:type="fixed"/>
        <w:tblCellMar>
          <w:top w:w="28" w:type="dxa"/>
          <w:left w:w="28" w:type="dxa"/>
          <w:bottom w:w="28" w:type="dxa"/>
          <w:right w:w="28" w:type="dxa"/>
        </w:tblCellMar>
      </w:tblPr>
      <w:tblGrid>
        <w:gridCol w:w="3651"/>
        <w:gridCol w:w="146"/>
        <w:gridCol w:w="211"/>
        <w:gridCol w:w="676"/>
        <w:gridCol w:w="41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 (remaining nine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amount representing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Company’s effective income tax rate was zero for each of the three months ended March 31, 2025 and 2024. As a result of the Company’s history of operating losses, the Company believes that recognition of the deferred tax assets arising from such future income tax benefits is currently not more-likely-than-not to be realized and, accordingly, has recognized a full valuation allowance on its deferred tax assets. There were no material changes to uncertain tax positions for the three months ended March 31, 2025 and 2024, and the Company does not anticipate material changes within the next twelve months.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15. Net Loss Per Share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Class A common share attributable to Rani Holdings (in thousands, except per share data):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09"/>
        <w:gridCol w:w="146"/>
        <w:gridCol w:w="254"/>
        <w:gridCol w:w="815"/>
        <w:gridCol w:w="199"/>
        <w:gridCol w:w="254"/>
        <w:gridCol w:w="815"/>
        <w:gridCol w:w="213"/>
      </w:tblGrid>
      <w:tr>
        <w:trPr/>
        <w:tc>
          <w:tcPr>
            <w:tcW w:w="7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common share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0" w:right="0" w:firstLine="979"/>
        <w:jc w:val="left"/>
        <w:rPr/>
      </w:pPr>
      <w:r>
        <w:rPr/>
        <w:t> </w:t>
      </w:r>
    </w:p>
    <w:p>
      <w:pPr>
        <w:pStyle w:val="TextBody"/>
        <w:bidi w:val="0"/>
        <w:spacing w:before="40" w:after="283"/>
        <w:ind w:left="0" w:right="0" w:firstLine="979"/>
        <w:jc w:val="left"/>
        <w:rPr>
          <w:rFonts w:ascii="Times New Roman" w:hAnsi="Times New Roman"/>
          <w:color w:val="000000"/>
          <w:sz w:val="20"/>
        </w:rPr>
      </w:pPr>
      <w:r>
        <w:rPr>
          <w:rFonts w:ascii="Times New Roman" w:hAnsi="Times New Roman"/>
          <w:color w:val="000000"/>
          <w:sz w:val="20"/>
        </w:rPr>
        <w:t>The following table shows the total outstanding securities considered anti-dilutive and therefore excluded from the computation of diluted net loss per Class A common share attributable to Rani Holdings (in thousands):</w:t>
      </w:r>
    </w:p>
    <w:tbl>
      <w:tblPr>
        <w:tblW w:w="5218" w:type="dxa"/>
        <w:jc w:val="left"/>
        <w:tblInd w:w="0" w:type="dxa"/>
        <w:tblLayout w:type="fixed"/>
        <w:tblCellMar>
          <w:top w:w="28" w:type="dxa"/>
          <w:left w:w="28" w:type="dxa"/>
          <w:bottom w:w="28" w:type="dxa"/>
          <w:right w:w="28" w:type="dxa"/>
        </w:tblCellMar>
      </w:tblPr>
      <w:tblGrid>
        <w:gridCol w:w="3091"/>
        <w:gridCol w:w="146"/>
        <w:gridCol w:w="146"/>
        <w:gridCol w:w="676"/>
        <w:gridCol w:w="146"/>
        <w:gridCol w:w="146"/>
        <w:gridCol w:w="67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Paired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Non-corresponding Class A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three months ended March 31, 2025. Therefore, they are not included in the computation of net loss per Class A common share attributable to Rani Therapeutics Holdings, Inc.</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i/>
          <w:color w:val="000000"/>
          <w:sz w:val="20"/>
        </w:rPr>
      </w:pPr>
      <w:r>
        <w:rPr>
          <w:rFonts w:ascii="Times New Roman" w:hAnsi="Times New Roman"/>
          <w:i/>
          <w:color w:val="000000"/>
          <w:sz w:val="20"/>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2024,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in our Annual Report on Form 10-K for the year ended December 31, 2024. Please also see the section titled “Forward Looking Statements.”</w:t>
      </w:r>
    </w:p>
    <w:p>
      <w:pPr>
        <w:pStyle w:val="TextBody"/>
        <w:bidi w:val="0"/>
        <w:spacing w:before="240" w:after="283"/>
        <w:ind w:left="0" w:right="0" w:firstLine="979"/>
        <w:jc w:val="left"/>
        <w:rPr>
          <w:rFonts w:ascii="Times New Roman" w:hAnsi="Times New Roman"/>
          <w:i/>
          <w:color w:val="000000"/>
          <w:sz w:val="20"/>
        </w:rPr>
      </w:pPr>
      <w:r>
        <w:rPr>
          <w:rFonts w:ascii="Times New Roman" w:hAnsi="Times New Roman"/>
          <w:i/>
          <w:color w:val="000000"/>
          <w:sz w:val="20"/>
        </w:rPr>
        <w:t>The following discussion contains references to calendar year 2024 and the three months ended March 31, 2025 and 2024, respectively, which represents the condensed consolidated financial results of Rani Therapeutics Holdings, Inc. (the "Company") and its subsidiary, Rani Therapeutics, LLC (“Rani LLC”) for the year ended December 31, 2024 and the three months ended March 31, 2025 and 2024, respectively. Unless we state otherwise or the context otherwise requires, the terms “we,” “us,” “our,” and “Rani” and similar references refers to the Company and its consolidated subsidiary.</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mid-2025.</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believe, the RaniPill capsule technology could enable us to deliver most biologics currently on the market with convenient, oral dosing.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RaniPill capsule. Design work, prototyping and pilot manufacturing are performed in 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March 31, 2025, our cash, cash equivalents and marketable securities totaled $15.9 million. In July 2024, we entered into a securities purchase agreement (the “July Securities Purchase Agreement”) with an institutional investor relating to the issuance and sale of: (i) 2,800,000 shares of its Class A common stock, (ii) pre-funded warrants to purchase 446,753 shares of Class A common stock, (iii) Series A common warrants, which accompany the Class A common stock and pre-funded warrants, to purchase an aggregate of 3,246,753 shares of Class A common stock (the “Series A Warrants”) and (iv) Series B common warrants, which accompany the Class A common stock and pre-funded warrants, to purchase an aggregate of 3,246,753 shares of Class A common stock (the “July Offering”). The aggregate net proceeds from the July Offering totaled $8.9 million, after deducting placement agent fees and other offering expenses, and excluding potential proceeds, if any, from the exercise of the Series B common warrants issued in the July Offering. In August 2024, the pre-funded warrants were fully exercised for de minimis proceeds.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October 2024, we entered into a securities purchase agreement (the “October Securities Purchase Agreement”) with an institutional investor relating to the issuance and sale of: (i) 3,000,000 shares of our Class A common stock, (ii) pre-funded warrants to purchase 333,333 shares of Class A common stock, and (iii) Series C common warrants, which accompany the Class A common stock and pre-funded warrants, to purchase an aggregate of 3,333,333 shares of Class A common stock (the “October Offering” and collectively with the July Offering, the “Offerings”). Pursuant to the October Securities Purchase Agreement, the Series A Warrants from the July Offering were cancelled. The aggregate net proceeds from the October Offering totaled $9.4 million, after deducting placement agent fees and other offering expenses payable by us, and excluding potential proceeds, if any, from the exercise of the pre-funded warrants and Series C common warrants issued in the October Offering. In October 2024, the pre-funded warrants were fully exercised for de minimis proceeds.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the Offerings, our initial public offering in 2021 (“IPO”)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We may seek to raise capital through equity offerings or debt financings, collaboration agreements, strategic transactions or other arrangements with other companies, or through other sources of financing. If we are not able to obtain additional financing as discussed above, or if we are unable to meet our obligations as they become due, we may need to file a voluntary petition for relief under the United States Bankruptcy Code in order to implement a restructuring plan or liquidation.</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Update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March 2025, we announced preclinical data demonstrating bioequivalence of RT-114, a bispecific GLP-1/GLP-2 receptor agonist (PG-102) delivered orally via the RaniPill capsule (“RT-114”), to subcutaneously administered PG-102. RT-114 yielded a relative bioavailability of 111% compared to PG-102 delivered subcutaneously with comparable pharmacokinetic profiles and weight loss. RT-114 was well tolerated and was excreted without sequelae in all subjects. Average peak weight loss was the same in both groups with greater variability with subcutaneous dosing (6.7% ± 0.5% for RT-114 and 6.7% ± 2.2% for subcutaneous PG-102).</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February 2025, we announced preclinical data demonstrating successful oral delivery of the glucagon-like peptide-1 receptor (“GLP-1”) agonist semaglutide via the RaniPill HC (“RT-116”). In the study, RT-116 demonstrated comparable bioavailability, pharmacokinetics and weight loss to subcutaneous (“SC”) administration of semaglutide. Further, RT-116 was well tolerated with no serious adverse events.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Relationship with InCube Labs, LLC</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See Note 7 to the condensed consolidated financial statements contained in Part I, Item 1 of this Quarterly Report on Form 10-Q for additional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March 31, 2025 and 2024</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tbl>
      <w:tblPr>
        <w:tblW w:w="9099"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146"/>
        <w:gridCol w:w="526"/>
        <w:gridCol w:w="16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979" w:right="0" w:hanging="0"/>
        <w:jc w:val="left"/>
        <w:rPr>
          <w:rFonts w:ascii="Times New Roman" w:hAnsi="Times New Roman"/>
          <w:color w:val="000000"/>
          <w:sz w:val="20"/>
        </w:rPr>
      </w:pPr>
      <w:r>
        <w:rPr>
          <w:rFonts w:ascii="Times New Roman" w:hAnsi="Times New Roman"/>
          <w:color w:val="000000"/>
          <w:sz w:val="20"/>
        </w:rPr>
        <w:t>*Not meaningful</w:t>
      </w:r>
    </w:p>
    <w:p>
      <w:pPr>
        <w:pStyle w:val="TextBody"/>
        <w:bidi w:val="0"/>
        <w:spacing w:before="40" w:after="283"/>
        <w:ind w:left="979" w:right="0" w:hanging="0"/>
        <w:jc w:val="left"/>
        <w:rPr>
          <w:rFonts w:ascii="Times New Roman" w:hAnsi="Times New Roman"/>
          <w:i/>
          <w:color w:val="000000"/>
          <w:sz w:val="20"/>
        </w:rPr>
      </w:pPr>
      <w:r>
        <w:rPr>
          <w:rFonts w:ascii="Times New Roman" w:hAnsi="Times New Roman"/>
          <w:i/>
          <w:color w:val="000000"/>
          <w:sz w:val="20"/>
        </w:rPr>
        <w:t>Contract Revenue</w:t>
      </w:r>
    </w:p>
    <w:p>
      <w:pPr>
        <w:pStyle w:val="TextBody"/>
        <w:bidi w:val="0"/>
        <w:spacing w:before="240" w:after="283"/>
        <w:ind w:left="979" w:right="0" w:firstLine="979"/>
        <w:jc w:val="left"/>
        <w:rPr>
          <w:rFonts w:ascii="Times New Roman" w:hAnsi="Times New Roman"/>
          <w:color w:val="000000"/>
          <w:sz w:val="20"/>
        </w:rPr>
      </w:pPr>
      <w:r>
        <w:rPr>
          <w:rFonts w:ascii="Times New Roman" w:hAnsi="Times New Roman"/>
          <w:color w:val="000000"/>
          <w:sz w:val="20"/>
        </w:rPr>
        <w:t>Contract revenue of $0.2 million for the three months ended March 31, 2025, was attributable to evaluation services performed for a customer. There was no contract revenue for the same period in 2024.</w:t>
      </w:r>
    </w:p>
    <w:p>
      <w:pPr>
        <w:pStyle w:val="TextBody"/>
        <w:bidi w:val="0"/>
        <w:spacing w:before="40" w:after="283"/>
        <w:ind w:left="979" w:right="0" w:hanging="0"/>
        <w:jc w:val="left"/>
        <w:rPr/>
      </w:pPr>
      <w:r>
        <w:rPr/>
        <w:t> </w:t>
      </w:r>
    </w:p>
    <w:p>
      <w:pPr>
        <w:pStyle w:val="TextBody"/>
        <w:bidi w:val="0"/>
        <w:spacing w:before="40" w:after="283"/>
        <w:ind w:left="979" w:right="0" w:hanging="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reflects our research and development costs by nature of expense (in thousands): </w:t>
      </w:r>
    </w:p>
    <w:p>
      <w:pPr>
        <w:pStyle w:val="TextBody"/>
        <w:bidi w:val="0"/>
        <w:ind w:left="979" w:right="0" w:hanging="0"/>
        <w:jc w:val="left"/>
        <w:rPr/>
      </w:pPr>
      <w:r>
        <w:rPr/>
        <w:t> </w:t>
      </w:r>
    </w:p>
    <w:tbl>
      <w:tblPr>
        <w:tblW w:w="7509" w:type="dxa"/>
        <w:jc w:val="left"/>
        <w:tblInd w:w="0" w:type="dxa"/>
        <w:tblLayout w:type="fixed"/>
        <w:tblCellMar>
          <w:top w:w="28" w:type="dxa"/>
          <w:left w:w="28" w:type="dxa"/>
          <w:bottom w:w="28" w:type="dxa"/>
          <w:right w:w="28" w:type="dxa"/>
        </w:tblCellMar>
      </w:tblPr>
      <w:tblGrid>
        <w:gridCol w:w="4576"/>
        <w:gridCol w:w="146"/>
        <w:gridCol w:w="272"/>
        <w:gridCol w:w="738"/>
        <w:gridCol w:w="188"/>
        <w:gridCol w:w="188"/>
        <w:gridCol w:w="272"/>
        <w:gridCol w:w="738"/>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stock-based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decrease of $1.0 million in research and development expenses in the three months ended March 31, 2025, as compared to the same period in 2024, was primarily attributed to lower compensation costs of $1.0 million.</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979" w:right="0" w:hanging="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decrease of $0.8 million in general and administrative expenses in the three months ended March 31, 2025, as compared to the same period in 2024, was primarily attributed to lower compensation costs of $0.4 million and $0.5 million reduction in third-party services.</w:t>
      </w:r>
    </w:p>
    <w:p>
      <w:pPr>
        <w:pStyle w:val="TextBody"/>
        <w:bidi w:val="0"/>
        <w:spacing w:before="240" w:after="283"/>
        <w:ind w:left="979" w:right="0" w:hanging="0"/>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change in other income (expense), net, in the three months ended March 31, 2025, as compared to the same period in 2024, was de minimis.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have incurred recurring losses and negative cash flows from operations since inception, including net loss of $12.7 million for three months ended March 31, 2025. As of March 31, 2025, we had an accumulated deficit of $110.2 million and for three months ended March 31, 2025, had negative cash flows from operations of $8.1 million. As of March 31, 2025, our cash, cash equivalents and marketable securities totaled $15.9 million. We expect to continue to incur losses for the foreseeable future, and our net losses may fluctuate significantly from period to period, depending on the timing of and expenditures on our planned research and development activities. Our existing capital resources, will not be sufficient to enable us to initiate any pivotal clinical trials. Based on our available cash resources and current operating plan, there is substantial doubt regarding our ability to continue as a going concern for a period of one year after the date that our financial statements for the three months ended March 31, 2025 are issued. If we are unable to continue as a going concern, we may have to cease operations and liquidate our assets. We may receive less than the value at which those assets are carried on our condensed consolidated financial statements, and investors may lose all or a part of their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Update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October 2024, we entered into the October Securities Purchase Agreement with an institutional investor relating to the October Offering. The aggregate net proceeds from the October Offering totaled $9.4 million, after deducting placement agent fees and other offering expenses payable by us, and excluding potential proceeds, if any, from the exercise of the Series C common warrants issued in the October Offering. Pursuant to the October Offering, the Series A Warrants were cancelled. In October 2024, the pre-funded warrants were fully exercised for de minimis proceeds.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July 2024, we entered into the July Securities Purchase Agreement with an institutional investor relating to the July Offering. The aggregate net proceeds from the July Offering totaled $8.9 million, after deducting placement agent fees and other offering expenses, and excluding potential proceeds, if any, from the exercise of the Series B common warrants issued in the July Offering. In August 2024, the pre-funded warrants were fully exercised for de minimis proceeds.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August 2022, we entered into the Loan Agreement with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Loan Agreement also contains various covenants and restrictive provisions. There have been no material adverse events in connection with the Loan Agreement and the substantial doubt regarding our ability to continue as a going concern does not currently constitute a material adverse event under the terms of the Loan Agreement. The Loan principal is repayable in equal monthly installments which began in September 2024. As of March 31, 2025, we were in compliance with all financial covenants under the Loan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addition, in August 2022, we entered into a Controlled EquitySM Sales Agreement (the “Sales Agreement”) with Cantor Fitzgerald &amp; Co. and H.C. Wainwright &amp; Co., LLC (collectively, the “Agents”), pursuant to which we may offer and sell from time to time through the Agents up to $150.0 million of shares of our Class A common stock, in such share amounts as we may specify by notice to the Agents, in accordance with the terms and conditions set forth in the Sales Agreement (“ATM Sales”). As of March 31, 2025, we had not delivered any placement notices to either of the Agents and there had been no ATM Sales. In May 2025, we and Cantor agreed to terminate Cantor’s participation as an Agent under the Sales Agreement. Accordingly, H.C. Wainwright &amp; Co., LLC.is now the sole Agent under the Sales Agreement.</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Under the rules and regulations of the Securities Act, an issuer with less than $75 million in public float (outstanding shares of securities listed on a trading market that are held by non-affiliates) may only utilize a Form S-3 registration statement to register securities for sale up to one-third of their public float over a 12-month period. These rules, referred to as “baby shelf” rules, apply to us currently. The baby shelf rules could limit the amount that we raise in a financing or make it more difficult for us to raise financing, including to effect ATM Sales. As a result, for financings that would exceed the limit of securities registrable on Form S-3 under the baby shelf rules, we may be required to issue unregistered securities or to register securities on a Form S-1, which would be expected to require more time, cost and effort than registering securities under a Form S-3.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See Note 12 to the condensed consolidated financial statements contained in Part I, Item 1 of this Quarterly Report on Form 10-Q for additional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Notwithstanding the sharing of development costs for the RT-114 program under the ProGen Agreement, our existing capital resources, will not be sufficient to enable us to initiate any pivotal clinical trials with respect to any of our product candidates.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technology and to commercialize any of our product candidates.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technology and our product candidates.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costs, trial design, results of and timing of our preclinical studies and clinical trials;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costs, and results of our research pipeline;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technology for various indications;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costs, and timing of seeking and obtaining FDA and any other regulatory approvals;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manufacture sufficient quantities of the RaniPill capsules;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expand our research and development activities;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manufacturing our product candidates, including establishing commercial supplies and sales, marketing, and distribution capabilities;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securing and establishing commercial infrastructure;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businesses, product candidates, and technologies;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and ability to retain key management and hire scientific, technical, business, and engineering personnel;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drugs and product candidates and other market developments;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from our potential products, if approved;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strategic collaborations;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240" w:after="283"/>
        <w:ind w:left="97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security breaches, data losses or other disruptions affecting our information systems;</w:t>
      </w:r>
    </w:p>
    <w:p>
      <w:pPr>
        <w:pStyle w:val="TextBody"/>
        <w:bidi w:val="0"/>
        <w:spacing w:before="240" w:after="283"/>
        <w:ind w:left="97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 we may implement;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Furthermore, this Quarterly Report on Form 10-Q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 In the event we determine that additional sources of liquidity will not be available to us or will not allow us to meet our obligations as they become due, we may need to file a voluntary petition for relief under the United States Bankruptcy Code in order to implement a restructuring plan or liquidation.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summarizes our cash, cash equivalents and marketable securities:</w:t>
      </w:r>
    </w:p>
    <w:p>
      <w:pPr>
        <w:pStyle w:val="TextBody"/>
        <w:bidi w:val="0"/>
        <w:jc w:val="left"/>
        <w:rPr/>
      </w:pPr>
      <w:r>
        <w:rPr/>
        <w:t> </w:t>
      </w:r>
    </w:p>
    <w:tbl>
      <w:tblPr>
        <w:tblW w:w="7312" w:type="dxa"/>
        <w:jc w:val="left"/>
        <w:tblInd w:w="0" w:type="dxa"/>
        <w:tblLayout w:type="fixed"/>
        <w:tblCellMar>
          <w:top w:w="28" w:type="dxa"/>
          <w:left w:w="28" w:type="dxa"/>
          <w:bottom w:w="28" w:type="dxa"/>
          <w:right w:w="28" w:type="dxa"/>
        </w:tblCellMar>
      </w:tblPr>
      <w:tblGrid>
        <w:gridCol w:w="4601"/>
        <w:gridCol w:w="146"/>
        <w:gridCol w:w="211"/>
        <w:gridCol w:w="676"/>
        <w:gridCol w:w="146"/>
        <w:gridCol w:w="146"/>
        <w:gridCol w:w="260"/>
        <w:gridCol w:w="835"/>
        <w:gridCol w:w="291"/>
      </w:tblGrid>
      <w:tr>
        <w:trPr/>
        <w:tc>
          <w:tcPr>
            <w:tcW w:w="4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March 31, 2025, we had cash and cash equivalents and marketable securities of $15.9 million, compared to $27.6 million as of December 31, 2024. Based on our available cash resources and current operating plan, there is substantial doubt regarding our ability to continue as a going concern for a period of one year after the date that our financial statements for the three months ended March 31, 2025 are issued. Our existing capital resources, will not be sufficient to fund our projected operating requirements for a twelve-month period from the issuance of our financial statements. If we are not able to raise additional funds to continue as a going concern, we may have to cease operations and liquidate our assets. We may receive less than the value at which those assets are carried on our condensed consolidated financial statements, and investors may lose all or a part of their investment.</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8457" w:type="dxa"/>
        <w:jc w:val="left"/>
        <w:tblInd w:w="0" w:type="dxa"/>
        <w:tblLayout w:type="fixed"/>
        <w:tblCellMar>
          <w:top w:w="28" w:type="dxa"/>
          <w:left w:w="28" w:type="dxa"/>
          <w:bottom w:w="28" w:type="dxa"/>
          <w:right w:w="28" w:type="dxa"/>
        </w:tblCellMar>
      </w:tblPr>
      <w:tblGrid>
        <w:gridCol w:w="5701"/>
        <w:gridCol w:w="146"/>
        <w:gridCol w:w="242"/>
        <w:gridCol w:w="778"/>
        <w:gridCol w:w="191"/>
        <w:gridCol w:w="168"/>
        <w:gridCol w:w="242"/>
        <w:gridCol w:w="778"/>
        <w:gridCol w:w="21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2025 was $8.1 million, which was primarily attributable to a net loss of $12.7 million and net accretion and amortization of investments in marketable securities of $0.2 million, partially offset by stock-based compensation expense of $3.9 million and depreciation and amortization expense of $0.3 million. Additionally, there was an increase in accounts receivable of $0.6 million, accounts payable of $0.2 million, accrued expenses and other current liabilities of $0.2 million and a decrease in contract asset of $0.4 million and prepaid expenses and other current assets of $0.3 million in for the three months ended March 31, 2025.</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2024 was $9.4 million, which was primarily attributable to a net loss of $14.8 million and net accretion and amortization of investments in marketable securities of $0.3 million, partially offset by the stock-based compensation expense of $3.9 million and depreciation and amortization expense of $0.2 million. Additionally, there was a decrease of $0.5 million in prepaid expenses and other current assets and an increase in accrued expenses and other current liabilities and accounts payable of $0.9 million and $0.2 million for the three months ended March 31, 2024,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For the three months ended March 31, 2025, net cash provided by investing activities was $18.2 million, which primarily consisted of $21.0 million in proceeds from maturities of marketable securities partially offset by $2.7 million in purchases of marketable securities and $0.1 million in purchases of property and equipment.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For the three months ended March 31, 2024, net cash provided by investing activities was $10.3 million, which primarily consisted of $20.4 million in proceeds from maturities of marketable securities partially offset by $10.0 million in purchases of marketable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For the three months ended March 31, 2025, net cash used in financing activities was $3.7 million, which primarily consisted of repayment of debt of $3.8 million.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For the three months ended March 31, 2024, net cash provided by financing activities was $0.1 million in proceeds from the issuance of Class A common stock under the employee stock purchase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 and Other Commitments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March 31, 2025, there have been no material changes to our contractual obligations and other commitments compared to those disclosed in our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We base our estimates on our own historical experience and other assumptions that we believe are reasonable after taking account of our circumstances and expectations for the future based on available information. To the extent that there are material differences between these estimates and actual results, our financial condition or results of operations would be affected.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condensed consolidated financial statements that require estimation but are not deemed critical, as defined above.</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Standards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JOBS Act Accounting Election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will remain an emerging growth company until the earliest of (1) December 31, 2026 (the last day of the fiscal year following the fifth anniversary of the closing of our IPO),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pStyle w:val="TextBody"/>
        <w:bidi w:val="0"/>
        <w:spacing w:before="240" w:after="283"/>
        <w:jc w:val="left"/>
        <w:rPr>
          <w:rFonts w:ascii="Times New Roman" w:hAnsi="Times New Roman"/>
          <w:b/>
          <w:color w:val="000000"/>
          <w:sz w:val="20"/>
        </w:rPr>
      </w:pPr>
      <w:bookmarkStart w:id="10" w:name="item3_quantitative"/>
      <w:bookmarkEnd w:id="10"/>
      <w:r>
        <w:rPr>
          <w:rFonts w:ascii="Times New Roman" w:hAnsi="Times New Roman"/>
          <w:b/>
          <w:color w:val="000000"/>
          <w:sz w:val="20"/>
        </w:rPr>
        <w:t>Item 3. Quantitative and Qualitative Disclosures About Market Risk</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b/>
          <w:color w:val="000000"/>
          <w:sz w:val="20"/>
        </w:rPr>
      </w:pPr>
      <w:bookmarkStart w:id="11" w:name="item4_controlsandprocedures"/>
      <w:bookmarkEnd w:id="11"/>
      <w:r>
        <w:rPr>
          <w:rFonts w:ascii="Times New Roman" w:hAnsi="Times New Roman"/>
          <w:b/>
          <w:color w:val="000000"/>
          <w:sz w:val="20"/>
        </w:rPr>
        <w:t>Item 4. Controls 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March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such term is defined in Rules 13a-15(f) and 15d-15(f) under the Exchange Act, during the three months ended March 31, 2025 that have materially affected, or are reasonably likely to materially affect, our internal control over financial reporting.</w:t>
      </w:r>
    </w:p>
    <w:p>
      <w:pPr>
        <w:pStyle w:val="TextBody"/>
        <w:bidi w:val="0"/>
        <w:jc w:val="both"/>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Other than described below, management believes that there have been no significant changes to the risk factors associated with our business as compared to those disclosed in Part 1, Item 1A of our Annual Report on Form 10-K for the year ended December 31, 2024.</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There is substantial doubt regarding our ability to continue as a going concern and holders of our common stock could suffer a total loss of their investment. We will need to raise additional funding, which may not be available on acceptable terms. If we are unable to raise additional capital when needed, we may be forced to delay, limit, reduce or terminate our product development programs, commercialization efforts or other operations.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We are in early clinical development with certain product candidates and have conducted or are in preclinical development with other product candidates. To advance our product candidates into initial and later stages of clinical development requires significant capital. In addition, we are developing the RaniPill HC. If the FDA or any comparable foreign regulatory authorities, such as the European Medicines Agency,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March 31, 2025, our cash, cash equivalents and marketable securities totaled $15.9 million. Based on our available cash resources and current operating plan, there is substantial doubt regarding our ability to continue as a going concern and holders of our common stock could suffer a total loss of their investment. Our Board of Directors had initiated a review of alternatives, including potential strategic options, and of our financing strategy. Any failure or delay to obtain additional funding could force us to delay, limit or terminate our operations, make reductions in our workforce, liquidate all or a portion of our assets and/or seek protection under Chapter 7 or 11 of the United States Bankruptcy Code. Our existing capital resources will not be sufficient to enable us to initiate any pivotal clinical trials. We will need to raise substantial additional funds in the future in order to complete the development of the RaniPill platform, to complete the clinical development of our product candidates, including RT-114, and seek regulatory approval thereof, to expand our manufacturing capabilities, and to commercialize any of our product candidates.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Based on our current planned operations, and in the absence of additional sources of liquidity, management anticipates that our existing cash and cash equivalents and anticipated cash flows from operations, will not be sufficient to meet our operating and liquidity needs beyond early August 2025. If we are unable to raise additional funds and continue as a going concern, we may have to cease operations and liquidate our assets. We may receive less than the value at which those assets are carried on our audited financial statements, and investors may lose all or a part of their investment.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may not be able to obtain additional funding on acceptable terms, or at all. As a result of geopolitical events, including the conflicts in Ukraine and Gaza, inflation, rising interest rates and other conditions, the global credit and financial markets have experienced volatility and disruptions. In addition, the report from our independent registered public accounting firm issued in connection with this Annual Report on Form 10-K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If we are unable to obtain funding on a timely basis, or to generate sufficient revenues, if at all, from collaboration arrangements, we may be required to: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significantly curtail, delay or discontinue one or more of our research or development programs, the development of our oral delivery technology, including the RaniPill HC, the commercialization of any product candidates or cease operations altogether;</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collaborators for one or more of our product candidates at an earlier stage than otherwise would be desirable or on terms that are less favorable than might otherwise be available;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relinquish or license on unfavorable terms our rights to technologies or product candidates that we otherwise would seek to develop or commercialize ourselves;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forego expansion of our operations or refrain from pursuing business opportunities;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 a voluntary petition for relief under the United States Bankruptcy Code in order to implement a restructuring plan or liquidation.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Our efforts to raise additional funding may divert our management from their day-to-day activities, which may adversely affect our ability to develop the RaniPill platform, to progress development of our product candidates or to automate our manufacturing processes.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Moreover, the terms of any financing may adversely affect the holdings or the rights of our stockholders and the issuance of additional securities, whether equity or debt, by us, or the possibility of such issuance, may cause the market price of our Class A common stock to decline. The sale of additional equity or convertible securities would dilute all of our stockholders. The incurrence of indebtedness would result in increased fixed payment obligations and we may be required to agree to certain restrictive covenants and other operating restrictions that could adversely impact our ability to conduct our business. The Lender already has a security interest in substantially all of our assets, including our intellectual property, which may prevent or limit our ability to incur additional indebtedness.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Our funding requirements and the timing of our need for additional capital are subject to change based on a number of factors,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trial design, results and timing of our preclinical studies and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and results of our research pipeline;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and costs of development of the RaniPill HC device and other improvements or advancements to our delivery technologies;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FDA or other regulatory authorities to accept data from our clinical trials, as well as data from our completed and planned preclinical studies and clinical trials and other work, as the basis for review and approval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costs, and timing of seeking and obtaining FDA, and any other, regulatory approvals;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product candidates that we pursue;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sufficient quantities of the RaniPill capsule;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expand our research and development activities;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and obtaining drug supply for, our product candidates, including for clinical and commercial supplies;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securing and establishing commercial infrastructure, including establishing sales, marketing, and distribution capabilities;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businesses, product candidates, and technologies;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engineering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drugs and product candidates and other market developments;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our potential products, if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strategic collaborations or enter into strategic transactions;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breaches, data losses or other disruptions affecting our information systems;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savings from any restructuring plans and cost-containment measures we propose to implement;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disruptions to and volatility in the credit and financial markets in the United States and worldwide from geopolitical conflicts or other such disruptions.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the event we determine that additional sources of liquidity will not be available to us or will not allow us to meet our obligations as they become due, we may need to file a voluntary petition for relief under the United States Bankruptcy Code in order to implement a restructuring plan or liquidation.</w:t>
      </w:r>
    </w:p>
    <w:p>
      <w:pPr>
        <w:pStyle w:val="TextBody"/>
        <w:bidi w:val="0"/>
        <w:spacing w:before="240" w:after="283"/>
        <w:ind w:left="0" w:right="0" w:firstLine="979"/>
        <w:jc w:val="left"/>
        <w:rPr>
          <w:rFonts w:ascii="Times New Roman" w:hAnsi="Times New Roman"/>
          <w:b/>
          <w:i/>
          <w:color w:val="000000"/>
          <w:sz w:val="20"/>
        </w:rPr>
      </w:pPr>
      <w:r>
        <w:rPr>
          <w:rFonts w:ascii="Times New Roman" w:hAnsi="Times New Roman"/>
          <w:b/>
          <w:i/>
          <w:color w:val="000000"/>
          <w:sz w:val="20"/>
        </w:rPr>
        <w:t>We do not currently meet the requirements for continued listing on The Nasdaq Global Market. If we fail to meet the requirements for continued listing on The Nasdaq Global Market, trading in our common stock could be suspended and our common stock delisted from Nasdaq, which would have a negative effect on the price of our common stock and our ability to raise additional capital.</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Our Class A common stock is currently listed on The Nasdaq Global Market. We are required to meet specified requirements to maintain our listing on The Nasdaq Global Market, including, among others, a minimum market value of listed securities (“MVLS”), of $50,000,000 under Nasdaq Listing Rule 5450(b)(2)(A) (the “MVLS Requirement”).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On May 1, 2025, we received written notice from the Listing Qualifications Department (“Staff”) of The Nasdaq Stock Market LLC (“Nasdaq”) notifying us that we were not in compliance with the MVLS Requirement (the “Notice”). In accordance with the Nasdaq Listing Rules, we were granted 180 calendar days, or until October 28, 2025, to regain compliance with the MVLS Requirement. In order to do so, we must achieve and maintain an MVLS of at least $50,000,000 or more for a minimum of 10 consecutive business days. If we do not regain compliance with the MVLS Requirement by October 28, 2025, the Notice states that we will receive written notification that our securities are subject to delisting. At that time, we may appeal the delisting determination to a Nasdaq hearings panel. Alternatively, we may apply for a transfer of the listing of its securities to The Nasdaq Capital Market, provided that we then meet the continued listing requirements on The Nasdaq Capital Market. We are considering actions that we may take in response to the Notice to regain compliance with the continued listing requirements, but no decisions about a response have been made at this time. There can be no assurance that we will be able to regain compliance with the MVLS requirement or will otherwise be in compliance with other Nasdaq listing criteria. For example,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trading days. The per share price of our common stock has fluctuated significantly and has traded below $1.00 per share for the past 5 consecutive trading days. Our stock price may not close at or above $1.00 per share and if the price remains below $1.00 per share for a period of 30 consecutive trading days, our stock could become subject to delisting because of the failure to satisfy the Minimum Bid Price Requirement.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would also make it more difficult for our stockholders to sell or purchase our common stock when they wish to do so. If delisted from The Nasdaq Global Market, and not able to transfer to The Nasdaq Capital Market, we will likely trade on the OTC Markets system, which could make it more difficult to dispose of, or obtain accurate quotations for the price of, our common stock, and may lead to a reduction in coverage by securities analysts and the news media, which could cause the price of our common stock to decline further.</w:t>
      </w:r>
    </w:p>
    <w:p>
      <w:pPr>
        <w:pStyle w:val="TextBody"/>
        <w:bidi w:val="0"/>
        <w:spacing w:before="240" w:after="283"/>
        <w:ind w:left="0" w:right="0" w:firstLine="979"/>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including suppliers of drug substance for our pipeline programs and suppliers of certain raw materials for the manufacture of the RaniPill® capsule.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manufacture the RaniPill® capsule in the United States. We are vertically integrated and manufacture many of the components used in the RaniPill® capsule. We source raw materials for our components and manufacturing from a variety of suppliers. Currently, nearly all of the principal suppliers of our raw materials and externally-sourced components used to support our manufacturing come from suppliers located in the United States. The current principal supplier of one raw material is located in China. We obtain supply of the drug substances used for our pipeline programs from third parties. The drug substance for our RT-114 (bispecific GLP-1/GLP-2 receptor agonist) program is manufactured in Korea and China, and the drug substances for our RT-111 (ustekinumab biosimilar) and RT-105 (adalimumab biosimilar) programs are manufactured in Korea. The drug substance for our RT-102 (parathyroid hormone) and RT-110 programs is manufactured in the United States.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and manufacturing expenses, including with respect to increased costs associated with drug substances, raw materials, laboratory equipment and research materials and components .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or collaborations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complexity of announced or future tariffs may also increase the risk that we or our collaborators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collaborators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heightened and may continue to heighten the risks related to the other risk factors described in our Annual Report for the fiscal year ended December 31, 2024.</w:t>
      </w:r>
    </w:p>
    <w:p>
      <w:pPr>
        <w:pStyle w:val="TextBody"/>
        <w:bidi w:val="0"/>
        <w:spacing w:before="240" w:after="283"/>
        <w:jc w:val="left"/>
        <w:rPr>
          <w:rFonts w:ascii="Times New Roman" w:hAnsi="Times New Roman"/>
          <w:b/>
          <w:color w:val="000000"/>
          <w:sz w:val="20"/>
        </w:rPr>
      </w:pPr>
      <w:bookmarkStart w:id="15" w:name="item_2_unregistered"/>
      <w:bookmarkEnd w:id="15"/>
      <w:r>
        <w:rPr>
          <w:rFonts w:ascii="Times New Roman" w:hAnsi="Times New Roman"/>
          <w:b/>
          <w:color w:val="000000"/>
          <w:sz w:val="20"/>
        </w:rPr>
        <w:t>Item 2. Unregistered Sales of Equity Securities and Use of Proceeds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is a list of all exhibits filed or furnished as part of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8"/>
        <w:gridCol w:w="146"/>
        <w:gridCol w:w="9281"/>
      </w:tblGrid>
      <w:tr>
        <w:trPr/>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77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 as currently in effect (incorporated by reference to Exhibit 3.1 to the Registrant’s Registration Statement on Form S-1, as amended, filed with the SEC on July 26, 2021).</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as currently in effect (incorporated by reference to Exhibit 3.4 to the Registrant’s Registration Statement on Form S-1, as amended, filed with the SEC on July 9, 2021).</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
        <w:gridCol w:w="9489"/>
      </w:tblGrid>
      <w:tr>
        <w:trPr/>
        <w:tc>
          <w:tcPr>
            <w:tcW w:w="716" w:type="dxa"/>
            <w:tcBorders/>
            <w:vAlign w:val="center"/>
          </w:tcPr>
          <w:p>
            <w:pPr>
              <w:pStyle w:val="TableContents"/>
              <w:bidi w:val="0"/>
              <w:spacing w:before="0" w:after="283"/>
              <w:jc w:val="left"/>
              <w:rPr>
                <w:sz w:val="4"/>
                <w:szCs w:val="4"/>
              </w:rPr>
            </w:pPr>
            <w:r>
              <w:rPr>
                <w:sz w:val="4"/>
                <w:szCs w:val="4"/>
              </w:rPr>
            </w:r>
          </w:p>
        </w:tc>
        <w:tc>
          <w:tcPr>
            <w:tcW w:w="9489" w:type="dxa"/>
            <w:tcBorders/>
            <w:vAlign w:val="center"/>
          </w:tcPr>
          <w:p>
            <w:pPr>
              <w:pStyle w:val="TableContents"/>
              <w:bidi w:val="0"/>
              <w:spacing w:before="0" w:after="283"/>
              <w:jc w:val="left"/>
              <w:rPr>
                <w:sz w:val="4"/>
                <w:szCs w:val="4"/>
              </w:rPr>
            </w:pPr>
            <w:r>
              <w:rPr>
                <w:sz w:val="4"/>
                <w:szCs w:val="4"/>
              </w:rPr>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w:t>
            </w:r>
          </w:p>
        </w:tc>
        <w:tc>
          <w:tcPr>
            <w:tcW w:w="9489" w:type="dxa"/>
            <w:tcBorders/>
            <w:shd w:fill="FFFFFF" w:val="clear"/>
            <w:tcMar>
              <w:top w:w="0" w:type="dxa"/>
              <w:left w:w="0" w:type="dxa"/>
              <w:bottom w:w="0" w:type="dxa"/>
              <w:right w:w="0" w:type="dxa"/>
            </w:tcMar>
            <w:vAlign w:val="center"/>
          </w:tcPr>
          <w:p>
            <w:pPr>
              <w:pStyle w:val="TableContents"/>
              <w:pBdr/>
              <w:bidi w:val="0"/>
              <w:spacing w:before="120" w:after="283"/>
              <w:ind w:left="0" w:right="0" w:hanging="490"/>
              <w:jc w:val="left"/>
              <w:rPr>
                <w:rFonts w:ascii="Times New Roman" w:hAnsi="Times New Roman"/>
                <w:color w:val="000000"/>
                <w:sz w:val="20"/>
              </w:rPr>
            </w:pPr>
            <w:r>
              <w:rPr>
                <w:rFonts w:ascii="Times New Roman" w:hAnsi="Times New Roman"/>
                <w:color w:val="000000"/>
                <w:sz w:val="20"/>
              </w:rPr>
              <w:t>Filed herewith.</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jc w:val="left"/>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64" w:type="dxa"/>
        <w:jc w:val="left"/>
        <w:tblInd w:w="0" w:type="dxa"/>
        <w:tblLayout w:type="fixed"/>
        <w:tblCellMar>
          <w:top w:w="28" w:type="dxa"/>
          <w:left w:w="28" w:type="dxa"/>
          <w:bottom w:w="28" w:type="dxa"/>
          <w:right w:w="28" w:type="dxa"/>
        </w:tblCellMar>
      </w:tblPr>
      <w:tblGrid>
        <w:gridCol w:w="1741"/>
        <w:gridCol w:w="146"/>
        <w:gridCol w:w="406"/>
        <w:gridCol w:w="38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Talat Imran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Talat Imran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Svai Sanford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Svai Sanford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Chief Financial Officer</w:t>
            </w:r>
            <w:r>
              <w:rPr>
                <w:rFonts w:ascii="Times New Roman" w:hAnsi="Times New Roman"/>
                <w:color w:val="000000"/>
                <w:sz w:val="20"/>
              </w:rPr>
              <w:t xml:space="preserve">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ind w:left="0" w:right="475" w:hanging="0"/>
        <w:jc w:val="left"/>
        <w:rPr/>
      </w:pPr>
      <w:r>
        <w:rPr/>
        <w:t>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bookmarkStart w:id="21" w:name="rani-ex31_1.htm"/>
      <w:bookmarkStart w:id="22" w:name="ksraniex31_1"/>
      <w:bookmarkEnd w:id="21"/>
      <w:bookmarkEnd w:id="22"/>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jc w:val="left"/>
        <w:rPr>
          <w:rFonts w:ascii="Times New Roman" w:hAnsi="Times New Roman"/>
          <w:color w:val="000000"/>
          <w:sz w:val="20"/>
        </w:rPr>
      </w:pPr>
      <w:r>
        <w:rPr>
          <w:rFonts w:ascii="Times New Roman" w:hAnsi="Times New Roman"/>
          <w:color w:val="000000"/>
          <w:sz w:val="20"/>
        </w:rPr>
        <w:t>I, Talat Imran,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Rani Therapeutics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13, 2025</w:t>
      </w:r>
    </w:p>
    <w:p>
      <w:pPr>
        <w:pStyle w:val="TextBody"/>
        <w:bidi w:val="0"/>
        <w:jc w:val="left"/>
        <w:rPr/>
      </w:pPr>
      <w:r>
        <w:rPr/>
        <w:t> </w:t>
      </w:r>
    </w:p>
    <w:tbl>
      <w:tblPr>
        <w:tblW w:w="2813" w:type="dxa"/>
        <w:jc w:val="left"/>
        <w:tblInd w:w="0" w:type="dxa"/>
        <w:tblLayout w:type="fixed"/>
        <w:tblCellMar>
          <w:top w:w="28" w:type="dxa"/>
          <w:left w:w="28" w:type="dxa"/>
          <w:bottom w:w="28" w:type="dxa"/>
          <w:right w:w="28" w:type="dxa"/>
        </w:tblCellMar>
      </w:tblPr>
      <w:tblGrid>
        <w:gridCol w:w="161"/>
        <w:gridCol w:w="24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Talat Imran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Talat Imran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rani-ex31_2.htm"/>
      <w:bookmarkStart w:id="24" w:name="ksraniex31_2"/>
      <w:bookmarkEnd w:id="23"/>
      <w:bookmarkEnd w:id="24"/>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Svai Sanford,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Rani Therapeutics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13, 2025</w:t>
      </w:r>
    </w:p>
    <w:p>
      <w:pPr>
        <w:pStyle w:val="TextBody"/>
        <w:bidi w:val="0"/>
        <w:jc w:val="left"/>
        <w:rPr/>
      </w:pPr>
      <w:r>
        <w:rPr/>
        <w:t> </w:t>
      </w:r>
    </w:p>
    <w:tbl>
      <w:tblPr>
        <w:tblW w:w="4178" w:type="dxa"/>
        <w:jc w:val="left"/>
        <w:tblInd w:w="0" w:type="dxa"/>
        <w:tblLayout w:type="fixed"/>
        <w:tblCellMar>
          <w:top w:w="28" w:type="dxa"/>
          <w:left w:w="28" w:type="dxa"/>
          <w:bottom w:w="28" w:type="dxa"/>
          <w:right w:w="28" w:type="dxa"/>
        </w:tblCellMar>
      </w:tblPr>
      <w:tblGrid>
        <w:gridCol w:w="161"/>
        <w:gridCol w:w="38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Svai Sanford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Svai Sanford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rani-ex32_1.htm"/>
      <w:bookmarkStart w:id="26" w:name="ksraniex32_1"/>
      <w:bookmarkEnd w:id="25"/>
      <w:bookmarkEnd w:id="26"/>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pStyle w:val="TextBody"/>
        <w:bidi w:val="0"/>
        <w:spacing w:before="0" w:after="240"/>
        <w:jc w:val="both"/>
        <w:rPr>
          <w:rFonts w:ascii="Calibri" w:hAnsi="Calibri"/>
          <w:b/>
          <w:color w:val="000000"/>
          <w:sz w:val="20"/>
        </w:rPr>
      </w:pPr>
      <w:r>
        <w:rPr>
          <w:rFonts w:ascii="Calibri" w:hAnsi="Calibri"/>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Quarterly Report on Form 10-Q for the period ended March 31, 2025, to which this Certification is attached as Exhibit 32.1 (the “Periodic Report”), fully complies with the requirements of Section 13(a) or Section 15(d) of the Exchange Act; and</w:t>
      </w:r>
    </w:p>
    <w:p>
      <w:pPr>
        <w:pStyle w:val="TextBody"/>
        <w:bidi w:val="0"/>
        <w:spacing w:before="0" w:after="240"/>
        <w:jc w:val="both"/>
        <w:rPr>
          <w:rFonts w:ascii="Calibri" w:hAnsi="Calibri"/>
          <w:b/>
          <w:color w:val="000000"/>
          <w:sz w:val="20"/>
        </w:rPr>
      </w:pPr>
      <w:r>
        <w:rPr>
          <w:rFonts w:ascii="Calibri" w:hAnsi="Calibri"/>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Dated: May 13, 2025</w:t>
      </w:r>
    </w:p>
    <w:p>
      <w:pPr>
        <w:pStyle w:val="TextBody"/>
        <w:bidi w:val="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13th day of May, 2025</w:t>
      </w:r>
    </w:p>
    <w:p>
      <w:pPr>
        <w:pStyle w:val="TextBody"/>
        <w:bidi w:val="0"/>
        <w:jc w:val="both"/>
        <w:rPr/>
      </w:pPr>
      <w:r>
        <w:rPr/>
        <w:t> </w:t>
      </w:r>
    </w:p>
    <w:tbl>
      <w:tblPr>
        <w:tblW w:w="6493" w:type="dxa"/>
        <w:jc w:val="left"/>
        <w:tblInd w:w="0" w:type="dxa"/>
        <w:tblLayout w:type="fixed"/>
        <w:tblCellMar>
          <w:top w:w="28" w:type="dxa"/>
          <w:left w:w="28" w:type="dxa"/>
          <w:bottom w:w="28" w:type="dxa"/>
          <w:right w:w="28" w:type="dxa"/>
        </w:tblCellMar>
      </w:tblPr>
      <w:tblGrid>
        <w:gridCol w:w="2476"/>
        <w:gridCol w:w="146"/>
        <w:gridCol w:w="387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Svai Sanford</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Svai Sanford</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725/000119312521223596/d151628dex31.htm" TargetMode="External"/><Relationship Id="rId3" Type="http://schemas.openxmlformats.org/officeDocument/2006/relationships/hyperlink" Target="https://www.sec.gov/Archives/edgar/data/1856725/000119312521211922/d151628dex34.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20382</Words>
  <Characters>111733</Characters>
  <CharactersWithSpaces>132656</CharactersWithSpaces>
  <Paragraphs>3937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