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347345</wp:posOffset>
                </wp:positionH>
                <wp:positionV relativeFrom="page">
                  <wp:posOffset>622300</wp:posOffset>
                </wp:positionV>
                <wp:extent cx="707771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7771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35pt,49pt" to="584.65pt,49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347345</wp:posOffset>
                </wp:positionH>
                <wp:positionV relativeFrom="page">
                  <wp:posOffset>641350</wp:posOffset>
                </wp:positionV>
                <wp:extent cx="707771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7771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35pt,50.5pt" to="584.65pt,50.5pt" o:allowincell="f" strokecolor="#000000" strokeweight="0.75pt">
                <w10:wrap anchorx="page" anchory="page"/>
              </v:line>
            </w:pict>
          </mc:Fallback>
        </mc:AlternateContent>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2722245</wp:posOffset>
                </wp:positionH>
                <wp:positionV relativeFrom="paragraph">
                  <wp:posOffset>-212090</wp:posOffset>
                </wp:positionV>
                <wp:extent cx="159131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13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35pt,-16.6999pt" to="339.65pt,-16.6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2722245</wp:posOffset>
                </wp:positionH>
                <wp:positionV relativeFrom="paragraph">
                  <wp:posOffset>69215</wp:posOffset>
                </wp:positionV>
                <wp:extent cx="15913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13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35pt,5.45pt" to="339.65pt,5.45pt" o:allowincell="f" strokecolor="#000000" strokeweight="0.5pt"/>
            </w:pict>
          </mc:Fallback>
        </mc:AlternateConten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 w:lineRule="exact"/>
        <w:rPr>
          <w:sz w:val="24"/>
          <w:szCs w:val="24"/>
          <w:color w:val="auto"/>
        </w:rPr>
      </w:pPr>
    </w:p>
    <w:p>
      <w:pPr>
        <w:ind w:left="460" w:hanging="450"/>
        <w:spacing w:after="0"/>
        <w:tabs>
          <w:tab w:leader="none" w:pos="46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ind w:left="460" w:hanging="450"/>
        <w:spacing w:after="0"/>
        <w:tabs>
          <w:tab w:leader="none" w:pos="46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76"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________________ to ________________</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001-40672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RANI THERAPEUTICS HOLDINGS,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2722245</wp:posOffset>
                </wp:positionH>
                <wp:positionV relativeFrom="paragraph">
                  <wp:posOffset>-277495</wp:posOffset>
                </wp:positionV>
                <wp:extent cx="159131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13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35pt,-21.8499pt" to="339.65pt,-21.8499pt" o:allowincell="f" strokecolor="#000000" strokeweight="0.5pt"/>
            </w:pict>
          </mc:Fallback>
        </mc:AlternateConten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2722245</wp:posOffset>
                </wp:positionH>
                <wp:positionV relativeFrom="paragraph">
                  <wp:posOffset>53975</wp:posOffset>
                </wp:positionV>
                <wp:extent cx="159131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13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35pt,4.25pt" to="339.65pt,4.25pt" o:allowincell="f" strokecolor="#000000" strokeweight="0.5pt"/>
            </w:pict>
          </mc:Fallback>
        </mc:AlternateContent>
      </w:r>
    </w:p>
    <w:p>
      <w:pPr>
        <w:sectPr>
          <w:pgSz w:w="12240" w:h="15840" w:orient="portrait"/>
          <w:cols w:equalWidth="0" w:num="1">
            <w:col w:w="11080"/>
          </w:cols>
          <w:pgMar w:left="580" w:top="1022" w:right="580" w:bottom="423" w:gutter="0" w:footer="0" w:header="0"/>
        </w:sectPr>
      </w:pPr>
    </w:p>
    <w:p>
      <w:pPr>
        <w:spacing w:after="0" w:line="11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86-3114789</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 w:lineRule="exact"/>
        <w:rPr>
          <w:sz w:val="24"/>
          <w:szCs w:val="24"/>
          <w:color w:val="auto"/>
        </w:rPr>
      </w:pPr>
    </w:p>
    <w:p>
      <w:pPr>
        <w:sectPr>
          <w:pgSz w:w="12240" w:h="15840" w:orient="portrait"/>
          <w:cols w:equalWidth="0" w:num="2">
            <w:col w:w="7040" w:space="720"/>
            <w:col w:w="3320"/>
          </w:cols>
          <w:pgMar w:left="580" w:top="1022" w:right="580" w:bottom="423"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700" w:type="dxa"/>
            <w:vAlign w:val="bottom"/>
          </w:tcPr>
          <w:p>
            <w:pPr>
              <w:jc w:val="center"/>
              <w:ind w:right="256"/>
              <w:spacing w:after="0" w:line="215" w:lineRule="exact"/>
              <w:rPr>
                <w:sz w:val="20"/>
                <w:szCs w:val="20"/>
                <w:color w:val="auto"/>
              </w:rPr>
            </w:pPr>
            <w:r>
              <w:rPr>
                <w:rFonts w:ascii="Times New Roman" w:cs="Times New Roman" w:eastAsia="Times New Roman" w:hAnsi="Times New Roman"/>
                <w:sz w:val="20"/>
                <w:szCs w:val="20"/>
                <w:b w:val="1"/>
                <w:bCs w:val="1"/>
                <w:color w:val="auto"/>
                <w:w w:val="99"/>
              </w:rPr>
              <w:t>2051 Ringwood Avenue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1580" w:type="dxa"/>
            <w:vAlign w:val="bottom"/>
          </w:tcPr>
          <w:p>
            <w:pPr>
              <w:spacing w:after="0"/>
              <w:rPr>
                <w:sz w:val="21"/>
                <w:szCs w:val="21"/>
                <w:color w:val="auto"/>
              </w:rPr>
            </w:pPr>
          </w:p>
        </w:tc>
        <w:tc>
          <w:tcPr>
            <w:tcW w:w="2700" w:type="dxa"/>
            <w:vAlign w:val="bottom"/>
          </w:tcPr>
          <w:p>
            <w:pPr>
              <w:jc w:val="center"/>
              <w:ind w:right="256"/>
              <w:spacing w:after="0"/>
              <w:rPr>
                <w:sz w:val="20"/>
                <w:szCs w:val="20"/>
                <w:color w:val="auto"/>
              </w:rPr>
            </w:pPr>
            <w:r>
              <w:rPr>
                <w:rFonts w:ascii="Times New Roman" w:cs="Times New Roman" w:eastAsia="Times New Roman" w:hAnsi="Times New Roman"/>
                <w:sz w:val="20"/>
                <w:szCs w:val="20"/>
                <w:b w:val="1"/>
                <w:bCs w:val="1"/>
                <w:color w:val="auto"/>
              </w:rPr>
              <w:t>San Jose, California</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95131</w:t>
            </w:r>
          </w:p>
        </w:tc>
        <w:tc>
          <w:tcPr>
            <w:tcW w:w="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580" w:type="dxa"/>
            <w:vAlign w:val="bottom"/>
          </w:tcPr>
          <w:p>
            <w:pPr>
              <w:spacing w:after="0"/>
              <w:rPr>
                <w:sz w:val="15"/>
                <w:szCs w:val="15"/>
                <w:color w:val="auto"/>
              </w:rPr>
            </w:pPr>
          </w:p>
        </w:tc>
        <w:tc>
          <w:tcPr>
            <w:tcW w:w="270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74"/>
        </w:trPr>
        <w:tc>
          <w:tcPr>
            <w:tcW w:w="1580" w:type="dxa"/>
            <w:vAlign w:val="bottom"/>
          </w:tcPr>
          <w:p>
            <w:pPr>
              <w:spacing w:after="0"/>
              <w:rPr>
                <w:sz w:val="23"/>
                <w:szCs w:val="23"/>
                <w:color w:val="auto"/>
              </w:rPr>
            </w:pPr>
          </w:p>
        </w:tc>
        <w:tc>
          <w:tcPr>
            <w:tcW w:w="7160" w:type="dxa"/>
            <w:vAlign w:val="bottom"/>
            <w:gridSpan w:val="8"/>
          </w:tcPr>
          <w:p>
            <w:pPr>
              <w:jc w:val="center"/>
              <w:ind w:left="676"/>
              <w:spacing w:after="0"/>
              <w:rPr>
                <w:sz w:val="20"/>
                <w:szCs w:val="20"/>
                <w:color w:val="auto"/>
              </w:rPr>
            </w:pPr>
            <w:r>
              <w:rPr>
                <w:rFonts w:ascii="Times New Roman" w:cs="Times New Roman" w:eastAsia="Times New Roman" w:hAnsi="Times New Roman"/>
                <w:sz w:val="20"/>
                <w:szCs w:val="20"/>
                <w:b w:val="1"/>
                <w:bCs w:val="1"/>
                <w:color w:val="auto"/>
                <w:w w:val="99"/>
              </w:rPr>
              <w:t>Registrant’s telephone number, including area code: (408) 457-3700</w:t>
            </w:r>
          </w:p>
        </w:tc>
        <w:tc>
          <w:tcPr>
            <w:tcW w:w="4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45"/>
        </w:trPr>
        <w:tc>
          <w:tcPr>
            <w:tcW w:w="15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7"/>
        </w:trPr>
        <w:tc>
          <w:tcPr>
            <w:tcW w:w="1580" w:type="dxa"/>
            <w:vAlign w:val="bottom"/>
          </w:tcPr>
          <w:p>
            <w:pPr>
              <w:spacing w:after="0"/>
              <w:rPr>
                <w:sz w:val="18"/>
                <w:szCs w:val="18"/>
                <w:color w:val="auto"/>
              </w:rPr>
            </w:pPr>
          </w:p>
        </w:tc>
        <w:tc>
          <w:tcPr>
            <w:tcW w:w="5860" w:type="dxa"/>
            <w:vAlign w:val="bottom"/>
            <w:gridSpan w:val="7"/>
          </w:tcPr>
          <w:p>
            <w:pPr>
              <w:jc w:val="center"/>
              <w:ind w:left="1976"/>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78"/>
        </w:trPr>
        <w:tc>
          <w:tcPr>
            <w:tcW w:w="15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7"/>
        </w:trPr>
        <w:tc>
          <w:tcPr>
            <w:tcW w:w="15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jc w:val="center"/>
              <w:ind w:right="123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900" w:type="dxa"/>
            <w:vAlign w:val="bottom"/>
            <w:tcBorders>
              <w:bottom w:val="single" w:sz="8" w:color="auto"/>
            </w:tcBorders>
            <w:gridSpan w:val="2"/>
          </w:tcPr>
          <w:p>
            <w:pPr>
              <w:spacing w:after="0"/>
              <w:rPr>
                <w:sz w:val="15"/>
                <w:szCs w:val="15"/>
                <w:color w:val="auto"/>
              </w:rPr>
            </w:pPr>
          </w:p>
        </w:tc>
        <w:tc>
          <w:tcPr>
            <w:tcW w:w="342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20" w:type="dxa"/>
            <w:vAlign w:val="bottom"/>
            <w:tcBorders>
              <w:bottom w:val="single" w:sz="8" w:color="auto"/>
            </w:tcBorders>
          </w:tcPr>
          <w:p>
            <w:pPr>
              <w:spacing w:after="0"/>
              <w:rPr>
                <w:sz w:val="15"/>
                <w:szCs w:val="15"/>
                <w:color w:val="auto"/>
              </w:rPr>
            </w:pPr>
          </w:p>
        </w:tc>
      </w:tr>
      <w:tr>
        <w:trPr>
          <w:trHeight w:val="202"/>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4"/>
          </w:tcPr>
          <w:p>
            <w:pPr>
              <w:jc w:val="center"/>
              <w:ind w:right="1020"/>
              <w:spacing w:after="0"/>
              <w:rPr>
                <w:sz w:val="20"/>
                <w:szCs w:val="20"/>
                <w:color w:val="auto"/>
              </w:rPr>
            </w:pPr>
            <w:r>
              <w:rPr>
                <w:rFonts w:ascii="Times New Roman" w:cs="Times New Roman" w:eastAsia="Times New Roman" w:hAnsi="Times New Roman"/>
                <w:sz w:val="16"/>
                <w:szCs w:val="16"/>
                <w:color w:val="auto"/>
              </w:rPr>
              <w:t>RANI</w:t>
            </w:r>
          </w:p>
        </w:tc>
        <w:tc>
          <w:tcPr>
            <w:tcW w:w="342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220" w:type="dxa"/>
            <w:vAlign w:val="bottom"/>
          </w:tcPr>
          <w:p>
            <w:pPr>
              <w:spacing w:after="0"/>
              <w:rPr>
                <w:sz w:val="17"/>
                <w:szCs w:val="17"/>
                <w:color w:val="auto"/>
              </w:rPr>
            </w:pPr>
          </w:p>
        </w:tc>
      </w:tr>
      <w:tr>
        <w:trPr>
          <w:trHeight w:val="201"/>
        </w:trPr>
        <w:tc>
          <w:tcPr>
            <w:tcW w:w="1580" w:type="dxa"/>
            <w:vAlign w:val="bottom"/>
          </w:tcPr>
          <w:p>
            <w:pPr>
              <w:spacing w:after="0"/>
              <w:rPr>
                <w:sz w:val="17"/>
                <w:szCs w:val="17"/>
                <w:color w:val="auto"/>
              </w:rPr>
            </w:pPr>
          </w:p>
        </w:tc>
        <w:tc>
          <w:tcPr>
            <w:tcW w:w="7160" w:type="dxa"/>
            <w:vAlign w:val="bottom"/>
            <w:gridSpan w:val="8"/>
          </w:tcPr>
          <w:p>
            <w:pPr>
              <w:jc w:val="center"/>
              <w:ind w:left="676"/>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3"/>
        </w:trPr>
        <w:tc>
          <w:tcPr>
            <w:tcW w:w="8740" w:type="dxa"/>
            <w:vAlign w:val="bottom"/>
            <w:gridSpan w:val="9"/>
          </w:tcPr>
          <w:p>
            <w:pPr>
              <w:ind w:left="5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b w:val="1"/>
                <w:bCs w:val="1"/>
                <w:color w:val="auto"/>
              </w:rPr>
              <w:t>☐</w:t>
            </w:r>
          </w:p>
        </w:tc>
        <w:tc>
          <w:tcPr>
            <w:tcW w:w="42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w w:val="95"/>
              </w:rPr>
              <w:t xml:space="preserve">No </w:t>
            </w:r>
            <w:r>
              <w:rPr>
                <w:rFonts w:ascii="MS PGothic" w:cs="MS PGothic" w:eastAsia="MS PGothic" w:hAnsi="MS PGothic"/>
                <w:sz w:val="16"/>
                <w:szCs w:val="16"/>
                <w:b w:val="1"/>
                <w:bCs w:val="1"/>
                <w:color w:val="auto"/>
                <w:w w:val="95"/>
              </w:rPr>
              <w:t>☒</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8740" w:type="dxa"/>
            <w:vAlign w:val="bottom"/>
            <w:gridSpan w:val="9"/>
          </w:tcPr>
          <w:p>
            <w:pPr>
              <w:ind w:left="580"/>
              <w:spacing w:after="0" w:line="184" w:lineRule="exact"/>
              <w:rPr>
                <w:sz w:val="20"/>
                <w:szCs w:val="20"/>
                <w:color w:val="auto"/>
              </w:rPr>
            </w:pPr>
            <w:r>
              <w:rPr>
                <w:rFonts w:ascii="Times New Roman" w:cs="Times New Roman" w:eastAsia="Times New Roman" w:hAnsi="Times New Roman"/>
                <w:sz w:val="16"/>
                <w:szCs w:val="16"/>
                <w:color w:val="auto"/>
                <w:w w:val="99"/>
              </w:rPr>
              <w:t xml:space="preserve">Indicate by check mark if the registrant is not required to file reports pursuant to Section 13 or Section 15(d) of the Act. Yes </w:t>
            </w:r>
            <w:r>
              <w:rPr>
                <w:rFonts w:ascii="MS PGothic" w:cs="MS PGothic" w:eastAsia="MS PGothic" w:hAnsi="MS PGothic"/>
                <w:sz w:val="16"/>
                <w:szCs w:val="16"/>
                <w:b w:val="1"/>
                <w:bCs w:val="1"/>
                <w:color w:val="auto"/>
                <w:w w:val="99"/>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w:t>
            </w:r>
          </w:p>
        </w:tc>
        <w:tc>
          <w:tcPr>
            <w:tcW w:w="1700" w:type="dxa"/>
            <w:vAlign w:val="bottom"/>
          </w:tcPr>
          <w:p>
            <w:pPr>
              <w:spacing w:after="0" w:line="161" w:lineRule="exact"/>
              <w:rPr>
                <w:sz w:val="20"/>
                <w:szCs w:val="20"/>
                <w:color w:val="auto"/>
              </w:rPr>
            </w:pPr>
            <w:r>
              <w:rPr>
                <w:rFonts w:ascii="MS PGothic" w:cs="MS PGothic" w:eastAsia="MS PGothic" w:hAnsi="MS PGothic"/>
                <w:sz w:val="16"/>
                <w:szCs w:val="16"/>
                <w:b w:val="1"/>
                <w:bCs w:val="1"/>
                <w:color w:val="auto"/>
              </w:rPr>
              <w:t>☒</w:t>
            </w:r>
          </w:p>
        </w:tc>
        <w:tc>
          <w:tcPr>
            <w:tcW w:w="220" w:type="dxa"/>
            <w:vAlign w:val="bottom"/>
          </w:tcPr>
          <w:p>
            <w:pPr>
              <w:spacing w:after="0"/>
              <w:rPr>
                <w:sz w:val="20"/>
                <w:szCs w:val="20"/>
                <w:color w:val="auto"/>
              </w:rPr>
            </w:pPr>
          </w:p>
        </w:tc>
      </w:tr>
      <w:tr>
        <w:trPr>
          <w:trHeight w:val="184"/>
        </w:trPr>
        <w:tc>
          <w:tcPr>
            <w:tcW w:w="11080" w:type="dxa"/>
            <w:vAlign w:val="bottom"/>
            <w:gridSpan w:val="12"/>
          </w:tcPr>
          <w:p>
            <w:pPr>
              <w:ind w:left="58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tc>
      </w:tr>
      <w:tr>
        <w:trPr>
          <w:trHeight w:val="181"/>
        </w:trPr>
        <w:tc>
          <w:tcPr>
            <w:tcW w:w="10860" w:type="dxa"/>
            <w:vAlign w:val="bottom"/>
            <w:gridSpan w:val="11"/>
          </w:tcPr>
          <w:p>
            <w:pPr>
              <w:spacing w:after="0" w:line="181" w:lineRule="exact"/>
              <w:rPr>
                <w:sz w:val="20"/>
                <w:szCs w:val="20"/>
                <w:color w:val="auto"/>
              </w:rPr>
            </w:pPr>
            <w:r>
              <w:rPr>
                <w:rFonts w:ascii="Times New Roman" w:cs="Times New Roman" w:eastAsia="Times New Roman" w:hAnsi="Times New Roman"/>
                <w:sz w:val="16"/>
                <w:szCs w:val="16"/>
                <w:color w:val="auto"/>
              </w:rPr>
              <w:t>preceding 12 months (or for such shorter period that the registrant was required to file such reports), and (2) has been subject to such filing requirements for the past 90</w:t>
            </w:r>
          </w:p>
        </w:tc>
        <w:tc>
          <w:tcPr>
            <w:tcW w:w="220" w:type="dxa"/>
            <w:vAlign w:val="bottom"/>
          </w:tcPr>
          <w:p>
            <w:pPr>
              <w:spacing w:after="0"/>
              <w:rPr>
                <w:sz w:val="15"/>
                <w:szCs w:val="15"/>
                <w:color w:val="auto"/>
              </w:rPr>
            </w:pPr>
          </w:p>
        </w:tc>
      </w:tr>
      <w:tr>
        <w:trPr>
          <w:trHeight w:val="236"/>
        </w:trPr>
        <w:tc>
          <w:tcPr>
            <w:tcW w:w="15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1"/>
        </w:trPr>
        <w:tc>
          <w:tcPr>
            <w:tcW w:w="11080" w:type="dxa"/>
            <w:vAlign w:val="bottom"/>
            <w:gridSpan w:val="12"/>
          </w:tcPr>
          <w:p>
            <w:pPr>
              <w:ind w:left="580"/>
              <w:spacing w:after="0" w:line="181"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w:t>
            </w:r>
          </w:p>
        </w:tc>
      </w:tr>
      <w:tr>
        <w:trPr>
          <w:trHeight w:val="236"/>
        </w:trPr>
        <w:tc>
          <w:tcPr>
            <w:tcW w:w="916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9"/>
              </w:rPr>
              <w:t>S-T (§232.405 of this chapter) during the preceding 12 months (or for such shorter period that the registrant was required to submit such files).</w:t>
            </w:r>
          </w:p>
        </w:tc>
        <w:tc>
          <w:tcPr>
            <w:tcW w:w="1700" w:type="dxa"/>
            <w:vAlign w:val="bottom"/>
          </w:tcPr>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tc>
        <w:tc>
          <w:tcPr>
            <w:tcW w:w="220" w:type="dxa"/>
            <w:vAlign w:val="bottom"/>
          </w:tcPr>
          <w:p>
            <w:pPr>
              <w:spacing w:after="0"/>
              <w:rPr>
                <w:sz w:val="20"/>
                <w:szCs w:val="20"/>
                <w:color w:val="auto"/>
              </w:rPr>
            </w:pPr>
          </w:p>
        </w:tc>
      </w:tr>
      <w:tr>
        <w:trPr>
          <w:trHeight w:val="184"/>
        </w:trPr>
        <w:tc>
          <w:tcPr>
            <w:tcW w:w="10860" w:type="dxa"/>
            <w:vAlign w:val="bottom"/>
            <w:gridSpan w:val="11"/>
          </w:tcPr>
          <w:p>
            <w:pPr>
              <w:ind w:left="580"/>
              <w:spacing w:after="0"/>
              <w:rPr>
                <w:sz w:val="20"/>
                <w:szCs w:val="20"/>
                <w:color w:val="auto"/>
              </w:rPr>
            </w:pPr>
            <w:r>
              <w:rPr>
                <w:rFonts w:ascii="Times New Roman" w:cs="Times New Roman" w:eastAsia="Times New Roman" w:hAnsi="Times New Roman"/>
                <w:sz w:val="16"/>
                <w:szCs w:val="16"/>
                <w:color w:val="auto"/>
                <w:w w:val="99"/>
              </w:rPr>
              <w:t>Indicate by check mark whether the registrant is a large accelerated filer, an accelerated filer, a non-accelerated filer, smaller reporting company, or an emerging</w:t>
            </w:r>
          </w:p>
        </w:tc>
        <w:tc>
          <w:tcPr>
            <w:tcW w:w="220" w:type="dxa"/>
            <w:vAlign w:val="bottom"/>
          </w:tcPr>
          <w:p>
            <w:pPr>
              <w:spacing w:after="0"/>
              <w:rPr>
                <w:sz w:val="15"/>
                <w:szCs w:val="15"/>
                <w:color w:val="auto"/>
              </w:rPr>
            </w:pPr>
          </w:p>
        </w:tc>
      </w:tr>
      <w:tr>
        <w:trPr>
          <w:trHeight w:val="184"/>
        </w:trPr>
        <w:tc>
          <w:tcPr>
            <w:tcW w:w="108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growth company. See the definitions of “large accelerated filer,” “accelerated filer,” “smaller reporting company,” and “emerging growth company” in Rule 12b-2 of the</w:t>
            </w:r>
          </w:p>
        </w:tc>
        <w:tc>
          <w:tcPr>
            <w:tcW w:w="220" w:type="dxa"/>
            <w:vAlign w:val="bottom"/>
          </w:tcPr>
          <w:p>
            <w:pPr>
              <w:spacing w:after="0"/>
              <w:rPr>
                <w:sz w:val="15"/>
                <w:szCs w:val="15"/>
                <w:color w:val="auto"/>
              </w:rPr>
            </w:pPr>
          </w:p>
        </w:tc>
      </w:tr>
      <w:tr>
        <w:trPr>
          <w:trHeight w:val="21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Exchange Act.</w:t>
            </w: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5"/>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00" w:type="dxa"/>
            <w:vAlign w:val="bottom"/>
          </w:tcPr>
          <w:p>
            <w:pPr>
              <w:jc w:val="center"/>
              <w:ind w:right="1196"/>
              <w:spacing w:after="0" w:line="161" w:lineRule="exact"/>
              <w:rPr>
                <w:sz w:val="20"/>
                <w:szCs w:val="20"/>
                <w:color w:val="auto"/>
              </w:rPr>
            </w:pPr>
            <w:r>
              <w:rPr>
                <w:rFonts w:ascii="MS PGothic" w:cs="MS PGothic" w:eastAsia="MS PGothic" w:hAnsi="MS PGothic"/>
                <w:sz w:val="16"/>
                <w:szCs w:val="16"/>
                <w:b w:val="1"/>
                <w:bCs w:val="1"/>
                <w:color w:val="auto"/>
                <w:w w:val="87"/>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Accelerated filer</w:t>
            </w:r>
          </w:p>
        </w:tc>
        <w:tc>
          <w:tcPr>
            <w:tcW w:w="220" w:type="dxa"/>
            <w:vAlign w:val="bottom"/>
          </w:tcPr>
          <w:p>
            <w:pPr>
              <w:spacing w:after="0" w:line="161" w:lineRule="exact"/>
              <w:rPr>
                <w:sz w:val="20"/>
                <w:szCs w:val="20"/>
                <w:color w:val="auto"/>
              </w:rPr>
            </w:pPr>
            <w:r>
              <w:rPr>
                <w:rFonts w:ascii="MS PGothic" w:cs="MS PGothic" w:eastAsia="MS PGothic" w:hAnsi="MS PGothic"/>
                <w:sz w:val="16"/>
                <w:szCs w:val="16"/>
                <w:b w:val="1"/>
                <w:bCs w:val="1"/>
                <w:color w:val="auto"/>
              </w:rPr>
              <w:t>☐</w:t>
            </w:r>
          </w:p>
        </w:tc>
      </w:tr>
      <w:tr>
        <w:trPr>
          <w:trHeight w:val="227"/>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00" w:type="dxa"/>
            <w:vAlign w:val="bottom"/>
          </w:tcPr>
          <w:p>
            <w:pPr>
              <w:jc w:val="center"/>
              <w:ind w:right="1196"/>
              <w:spacing w:after="0" w:line="161" w:lineRule="exact"/>
              <w:rPr>
                <w:sz w:val="20"/>
                <w:szCs w:val="20"/>
                <w:color w:val="auto"/>
              </w:rPr>
            </w:pPr>
            <w:r>
              <w:rPr>
                <w:rFonts w:ascii="MS PGothic" w:cs="MS PGothic" w:eastAsia="MS PGothic" w:hAnsi="MS PGothic"/>
                <w:sz w:val="16"/>
                <w:szCs w:val="16"/>
                <w:b w:val="1"/>
                <w:bCs w:val="1"/>
                <w:color w:val="auto"/>
                <w:w w:val="87"/>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20" w:type="dxa"/>
            <w:vAlign w:val="bottom"/>
          </w:tcPr>
          <w:p>
            <w:pPr>
              <w:spacing w:after="0" w:line="161" w:lineRule="exact"/>
              <w:rPr>
                <w:sz w:val="20"/>
                <w:szCs w:val="20"/>
                <w:color w:val="auto"/>
              </w:rPr>
            </w:pPr>
            <w:r>
              <w:rPr>
                <w:rFonts w:ascii="MS PGothic" w:cs="MS PGothic" w:eastAsia="MS PGothic" w:hAnsi="MS PGothic"/>
                <w:sz w:val="16"/>
                <w:szCs w:val="16"/>
                <w:b w:val="1"/>
                <w:bCs w:val="1"/>
                <w:color w:val="auto"/>
              </w:rPr>
              <w:t>☒</w:t>
            </w:r>
          </w:p>
        </w:tc>
      </w:tr>
      <w:tr>
        <w:trPr>
          <w:trHeight w:val="261"/>
        </w:trPr>
        <w:tc>
          <w:tcPr>
            <w:tcW w:w="15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220" w:type="dxa"/>
            <w:vAlign w:val="bottom"/>
          </w:tcPr>
          <w:p>
            <w:pPr>
              <w:spacing w:after="0" w:line="161" w:lineRule="exact"/>
              <w:rPr>
                <w:sz w:val="20"/>
                <w:szCs w:val="20"/>
                <w:color w:val="auto"/>
              </w:rPr>
            </w:pPr>
            <w:r>
              <w:rPr>
                <w:rFonts w:ascii="MS PGothic" w:cs="MS PGothic" w:eastAsia="MS PGothic" w:hAnsi="MS PGothic"/>
                <w:sz w:val="16"/>
                <w:szCs w:val="16"/>
                <w:b w:val="1"/>
                <w:bCs w:val="1"/>
                <w:color w:val="auto"/>
              </w:rPr>
              <w:t>☒</w:t>
            </w: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2884170</wp:posOffset>
                </wp:positionH>
                <wp:positionV relativeFrom="paragraph">
                  <wp:posOffset>-2049145</wp:posOffset>
                </wp:positionV>
                <wp:extent cx="7048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1pt,-161.3499pt" to="232.65pt,-161.3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4081145</wp:posOffset>
                </wp:positionH>
                <wp:positionV relativeFrom="paragraph">
                  <wp:posOffset>-2049145</wp:posOffset>
                </wp:positionV>
                <wp:extent cx="7048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35pt,-161.3499pt" to="326.9pt,-161.3499pt" o:allowincell="f" strokecolor="#FFFFFF" strokeweight="0.5pt"/>
            </w:pict>
          </mc:Fallback>
        </mc:AlternateContent>
      </w:r>
    </w:p>
    <w:p>
      <w:pPr>
        <w:spacing w:after="0" w:line="1" w:lineRule="exact"/>
        <w:rPr>
          <w:sz w:val="24"/>
          <w:szCs w:val="24"/>
          <w:color w:val="auto"/>
        </w:rPr>
      </w:pPr>
    </w:p>
    <w:p>
      <w:pPr>
        <w:ind w:right="480" w:firstLine="57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ind w:right="120" w:firstLine="576"/>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1" w:lineRule="exact"/>
        <w:rPr>
          <w:sz w:val="24"/>
          <w:szCs w:val="24"/>
          <w:color w:val="auto"/>
        </w:rPr>
      </w:pPr>
    </w:p>
    <w:p>
      <w:pPr>
        <w:ind w:right="400" w:firstLine="576"/>
        <w:spacing w:after="0" w:line="208"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 w:lineRule="exact"/>
        <w:rPr>
          <w:sz w:val="24"/>
          <w:szCs w:val="24"/>
          <w:color w:val="auto"/>
        </w:rPr>
      </w:pPr>
    </w:p>
    <w:p>
      <w:pPr>
        <w:ind w:right="140" w:firstLine="576"/>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 w:lineRule="exact"/>
        <w:rPr>
          <w:sz w:val="24"/>
          <w:szCs w:val="24"/>
          <w:color w:val="auto"/>
        </w:rPr>
      </w:pPr>
    </w:p>
    <w:p>
      <w:pPr>
        <w:ind w:left="580"/>
        <w:spacing w:after="0" w:line="184" w:lineRule="exact"/>
        <w:tabs>
          <w:tab w:leader="none" w:pos="802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56" w:lineRule="exact"/>
        <w:rPr>
          <w:sz w:val="24"/>
          <w:szCs w:val="24"/>
          <w:color w:val="auto"/>
        </w:rPr>
      </w:pPr>
    </w:p>
    <w:p>
      <w:pPr>
        <w:ind w:right="340" w:firstLine="576"/>
        <w:spacing w:after="0" w:line="242"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equity held by non-affiliates as of June 30, 2023, the last business day of the registrant’s most recently completed second fiscal quarter, was approximately $54.1 million, based on the closing price of the registrant’s common stock on the Nasdaq Global Select Market of $4.12 per share.</w:t>
      </w:r>
    </w:p>
    <w:p>
      <w:pPr>
        <w:spacing w:after="0" w:line="2" w:lineRule="exact"/>
        <w:rPr>
          <w:sz w:val="24"/>
          <w:szCs w:val="24"/>
          <w:color w:val="auto"/>
        </w:rPr>
      </w:pPr>
    </w:p>
    <w:p>
      <w:pPr>
        <w:ind w:right="200" w:firstLine="576"/>
        <w:spacing w:after="0" w:line="246" w:lineRule="auto"/>
        <w:rPr>
          <w:sz w:val="20"/>
          <w:szCs w:val="20"/>
          <w:color w:val="auto"/>
        </w:rPr>
      </w:pPr>
      <w:r>
        <w:rPr>
          <w:rFonts w:ascii="Times New Roman" w:cs="Times New Roman" w:eastAsia="Times New Roman" w:hAnsi="Times New Roman"/>
          <w:sz w:val="16"/>
          <w:szCs w:val="16"/>
          <w:color w:val="auto"/>
        </w:rPr>
        <w:t>As of March 14, 2024, the registrant had 26,040,848 shares of Class A common stock, $0.0001 par value per share, outstanding, 24,116,444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1,345,067 shares of the registrant’s Class A common stock.</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7" w:lineRule="exact"/>
        <w:rPr>
          <w:sz w:val="24"/>
          <w:szCs w:val="24"/>
          <w:color w:val="auto"/>
        </w:rPr>
      </w:pPr>
    </w:p>
    <w:p>
      <w:pPr>
        <w:ind w:right="20" w:firstLine="576"/>
        <w:spacing w:after="0" w:line="248" w:lineRule="auto"/>
        <w:rPr>
          <w:sz w:val="20"/>
          <w:szCs w:val="20"/>
          <w:color w:val="auto"/>
        </w:rPr>
      </w:pPr>
      <w:r>
        <w:rPr>
          <w:rFonts w:ascii="Times New Roman" w:cs="Times New Roman" w:eastAsia="Times New Roman" w:hAnsi="Times New Roman"/>
          <w:sz w:val="16"/>
          <w:szCs w:val="16"/>
          <w:color w:val="auto"/>
        </w:rPr>
        <w:t>The information required by Part III of this Annual Report on Form 10-K, to the extent not set forth herein, is incorporated herein by reference from the registrant’s definitive proxy statement relating to the Annual Meeting of Stockholders to be held in 2024, which definitive proxy statement shall be filed with the Securities and Exchange Commission within 120 days after the end of the registrant's fiscal year ended December 31, 2023.</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-20320</wp:posOffset>
                </wp:positionH>
                <wp:positionV relativeFrom="paragraph">
                  <wp:posOffset>67945</wp:posOffset>
                </wp:positionV>
                <wp:extent cx="70770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770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99pt,5.35pt" to="555.65pt,5.3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-20320</wp:posOffset>
                </wp:positionH>
                <wp:positionV relativeFrom="paragraph">
                  <wp:posOffset>48895</wp:posOffset>
                </wp:positionV>
                <wp:extent cx="707707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770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99pt,3.85pt" to="555.65pt,3.85pt" o:allowincell="f" strokecolor="#000000" strokeweight="0.75pt"/>
            </w:pict>
          </mc:Fallback>
        </mc:AlternateContent>
      </w:r>
    </w:p>
    <w:p>
      <w:pPr>
        <w:sectPr>
          <w:pgSz w:w="12240" w:h="15840" w:orient="portrait"/>
          <w:cols w:equalWidth="0" w:num="1">
            <w:col w:w="11080"/>
          </w:cols>
          <w:pgMar w:left="580" w:top="1022" w:right="580" w:bottom="423" w:gutter="0" w:footer="0" w:header="0"/>
          <w:type w:val="continuous"/>
        </w:sectPr>
      </w:pP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2"/>
          <w:szCs w:val="2"/>
          <w:b w:val="1"/>
          <w:bCs w:val="1"/>
          <w:color w:val="auto"/>
        </w:rPr>
        <w:t> </w:t>
      </w:r>
    </w:p>
    <w:p>
      <w:pPr>
        <w:sectPr>
          <w:pgSz w:w="12240" w:h="15840" w:orient="portrait"/>
          <w:cols w:equalWidth="0" w:num="1">
            <w:col w:w="11080"/>
          </w:cols>
          <w:pgMar w:left="580" w:top="1022" w:right="580" w:bottom="423" w:gutter="0" w:footer="0" w:header="0"/>
          <w:type w:val="continuous"/>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980" w:type="dxa"/>
            <w:vAlign w:val="bottom"/>
          </w:tcPr>
          <w:p>
            <w:pPr>
              <w:spacing w:after="0"/>
              <w:rPr>
                <w:sz w:val="23"/>
                <w:szCs w:val="23"/>
                <w:color w:val="auto"/>
              </w:rPr>
            </w:pPr>
          </w:p>
        </w:tc>
        <w:tc>
          <w:tcPr>
            <w:tcW w:w="9060" w:type="dxa"/>
            <w:vAlign w:val="bottom"/>
          </w:tcPr>
          <w:p>
            <w:pPr>
              <w:ind w:left="36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100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Forward-Looking Statements</w:t>
            </w: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56"/>
        </w:trPr>
        <w:tc>
          <w:tcPr>
            <w:tcW w:w="10040" w:type="dxa"/>
            <w:vAlign w:val="bottom"/>
            <w:gridSpan w:val="2"/>
            <w:vMerge w:val="continue"/>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54"/>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9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494"/>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90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90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980" w:type="dxa"/>
            <w:vAlign w:val="bottom"/>
            <w:vMerge w:val="continue"/>
          </w:tcPr>
          <w:p>
            <w:pPr>
              <w:spacing w:after="0"/>
              <w:rPr>
                <w:sz w:val="13"/>
                <w:szCs w:val="13"/>
                <w:color w:val="auto"/>
              </w:rPr>
            </w:pPr>
          </w:p>
        </w:tc>
        <w:tc>
          <w:tcPr>
            <w:tcW w:w="90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Securities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90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469"/>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9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Exhibit and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9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90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bl>
    <w:p>
      <w:pPr>
        <w:sectPr>
          <w:pgSz w:w="12240" w:h="15840" w:orient="portrait"/>
          <w:cols w:equalWidth="0" w:num="1">
            <w:col w:w="10800"/>
          </w:cols>
          <w:pgMar w:left="720" w:top="926" w:right="72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ind w:right="20" w:firstLine="979"/>
        <w:spacing w:after="0" w:line="251" w:lineRule="auto"/>
        <w:rPr>
          <w:sz w:val="20"/>
          <w:szCs w:val="20"/>
          <w:color w:val="auto"/>
        </w:rPr>
      </w:pPr>
      <w:r>
        <w:rPr>
          <w:rFonts w:ascii="Times New Roman" w:cs="Times New Roman" w:eastAsia="Times New Roman" w:hAnsi="Times New Roman"/>
          <w:sz w:val="20"/>
          <w:szCs w:val="20"/>
          <w:i w:val="1"/>
          <w:iCs w:val="1"/>
          <w:color w:val="auto"/>
        </w:rPr>
        <w:t>Unless otherwise stated or the context otherwise requires, throughout this Annual Report on Form 10-K, the terms “we,” “us,” and “our,” and similar references refer to Rani Therapeutics Holdings, Inc. (“Rani Holdings”) and its consolidated subsidiary, Rani Therapeutics, LLC (“Rani LLC”) and, prior to December 15, 2022, Rani Management Services, Inc. (“RMS”). RMS was dissolved as of December 15, 2022.</w:t>
      </w:r>
    </w:p>
    <w:p>
      <w:pPr>
        <w:spacing w:after="0" w:line="198" w:lineRule="exact"/>
        <w:rPr>
          <w:sz w:val="20"/>
          <w:szCs w:val="20"/>
          <w:color w:val="auto"/>
        </w:rPr>
      </w:pPr>
    </w:p>
    <w:p>
      <w:pPr>
        <w:ind w:right="60" w:firstLine="979"/>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We use Rani, Rani Therapeutics, RaniPill, the Rani Therapeutics logo, the R logo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20"/>
          <w:szCs w:val="20"/>
          <w:i w:val="1"/>
          <w:iCs w:val="1"/>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4" w:lineRule="exact"/>
        <w:rPr>
          <w:sz w:val="20"/>
          <w:szCs w:val="20"/>
          <w:color w:val="auto"/>
        </w:rPr>
      </w:pPr>
    </w:p>
    <w:p>
      <w:pPr>
        <w:ind w:right="160" w:firstLine="979"/>
        <w:spacing w:after="0" w:line="244" w:lineRule="auto"/>
        <w:rPr>
          <w:sz w:val="20"/>
          <w:szCs w:val="20"/>
          <w:color w:val="auto"/>
        </w:rPr>
      </w:pPr>
      <w:r>
        <w:rPr>
          <w:rFonts w:ascii="Times New Roman" w:cs="Times New Roman" w:eastAsia="Times New Roman" w:hAnsi="Times New Roman"/>
          <w:sz w:val="20"/>
          <w:szCs w:val="20"/>
          <w:color w:val="auto"/>
        </w:rPr>
        <w:t>This Annual Report on Form 10-K, including the section titled "</w:t>
      </w:r>
      <w:r>
        <w:rPr>
          <w:rFonts w:ascii="Times New Roman" w:cs="Times New Roman" w:eastAsia="Times New Roman" w:hAnsi="Times New Roman"/>
          <w:sz w:val="20"/>
          <w:szCs w:val="20"/>
          <w:i w:val="1"/>
          <w:iCs w:val="1"/>
          <w:color w:val="auto"/>
        </w:rPr>
        <w:t>Management's Discussion and Analysis of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Condition and Results of Operations</w:t>
      </w:r>
      <w:r>
        <w:rPr>
          <w:rFonts w:ascii="Times New Roman" w:cs="Times New Roman" w:eastAsia="Times New Roman" w:hAnsi="Times New Roman"/>
          <w:sz w:val="20"/>
          <w:szCs w:val="20"/>
          <w:color w:val="auto"/>
        </w:rPr>
        <w:t>," contains forward-looking statements. All statements other than statements of historical facts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contained in this Annual Report on Form 10-K,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206"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Annual Report on Form 10-K include, but are not limited to, statements about:</w:t>
      </w:r>
    </w:p>
    <w:p>
      <w:pPr>
        <w:spacing w:after="0" w:line="208" w:lineRule="exact"/>
        <w:rPr>
          <w:sz w:val="20"/>
          <w:szCs w:val="20"/>
          <w:color w:val="auto"/>
        </w:rPr>
      </w:pPr>
    </w:p>
    <w:p>
      <w:pPr>
        <w:ind w:left="980" w:right="280" w:hanging="491"/>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progress and focus of our current and future clinical trials in the United States and abroad, and the reporting of data from those trials;</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advance product candidates into and successfully complete clinical trials;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beneficial characteristics, safety, efficacy, and therapeutic effects of our product candidates;</w:t>
      </w:r>
    </w:p>
    <w:p>
      <w:pPr>
        <w:spacing w:after="0" w:line="253" w:lineRule="exact"/>
        <w:rPr>
          <w:rFonts w:ascii="Arial" w:cs="Arial" w:eastAsia="Arial" w:hAnsi="Arial"/>
          <w:sz w:val="20"/>
          <w:szCs w:val="20"/>
          <w:color w:val="auto"/>
        </w:rPr>
      </w:pPr>
    </w:p>
    <w:p>
      <w:pPr>
        <w:ind w:left="980" w:right="820" w:hanging="491"/>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potential and ability to successfully manufacture and supply our product candidates for clinical trials and for commercial use, if approved;</w:t>
      </w:r>
    </w:p>
    <w:p>
      <w:pPr>
        <w:spacing w:after="0" w:line="184" w:lineRule="exact"/>
        <w:rPr>
          <w:rFonts w:ascii="Arial" w:cs="Arial" w:eastAsia="Arial" w:hAnsi="Arial"/>
          <w:sz w:val="20"/>
          <w:szCs w:val="20"/>
          <w:color w:val="auto"/>
        </w:rPr>
      </w:pPr>
    </w:p>
    <w:p>
      <w:pPr>
        <w:ind w:left="980" w:hanging="491"/>
        <w:spacing w:after="0" w:line="258"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201"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further develop and expand our platform technology;</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utilize our technology platform to generate and advance additional product candidates;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accuracy of our estimates regarding expenses, future revenue, capital requirements, and needs for additional financing;</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performance;</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commercializing our product candidates, if approved;</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selectively enter into strategic partnership and the expected potential benefits thereof;</w:t>
      </w:r>
    </w:p>
    <w:p>
      <w:pPr>
        <w:sectPr>
          <w:pgSz w:w="12240" w:h="15840" w:orient="portrait"/>
          <w:cols w:equalWidth="0" w:num="1">
            <w:col w:w="10780"/>
          </w:cols>
          <w:pgMar w:left="720" w:top="93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780"/>
          </w:cols>
          <w:pgMar w:left="720" w:top="932" w:right="740" w:bottom="0" w:gutter="0" w:footer="0" w:header="0"/>
          <w:type w:val="continuous"/>
        </w:sectPr>
      </w:pPr>
    </w:p>
    <w:bookmarkStart w:id="5" w:name="page6"/>
    <w:bookmarkEnd w:id="5"/>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implementation of our strategic plans for our business and product candidates;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to scale and optimize our manufacturing processes by expanding our use of automation;</w:t>
      </w:r>
    </w:p>
    <w:p>
      <w:pPr>
        <w:spacing w:after="0" w:line="253" w:lineRule="exact"/>
        <w:rPr>
          <w:rFonts w:ascii="Arial" w:cs="Arial" w:eastAsia="Arial" w:hAnsi="Arial"/>
          <w:sz w:val="20"/>
          <w:szCs w:val="20"/>
          <w:color w:val="auto"/>
        </w:rPr>
      </w:pPr>
    </w:p>
    <w:p>
      <w:pPr>
        <w:ind w:left="980" w:right="20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of the number of patients in the United States who suffer from the indications we target and the number of patients that will enroll in our clinical trials;</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market opportunity for our product candidates in each of the indications we target;</w:t>
      </w:r>
    </w:p>
    <w:p>
      <w:pPr>
        <w:spacing w:after="0" w:line="253" w:lineRule="exact"/>
        <w:rPr>
          <w:rFonts w:ascii="Arial" w:cs="Arial" w:eastAsia="Arial" w:hAnsi="Arial"/>
          <w:sz w:val="20"/>
          <w:szCs w:val="20"/>
          <w:color w:val="auto"/>
        </w:rPr>
      </w:pPr>
    </w:p>
    <w:p>
      <w:pPr>
        <w:ind w:left="980" w:right="68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to innovate and expand our intellectual property by developing novel formulations and new applications of the RaniPill capsule;</w:t>
      </w:r>
    </w:p>
    <w:p>
      <w:pPr>
        <w:spacing w:after="0" w:line="184"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and ability to obtain or protect intellectual property rights, including extensions of existing patent terms where available;</w:t>
      </w:r>
    </w:p>
    <w:p>
      <w:pPr>
        <w:spacing w:after="0" w:line="184"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including our technology platform and product candidates;</w:t>
      </w:r>
    </w:p>
    <w:p>
      <w:pPr>
        <w:spacing w:after="0" w:line="184"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sufficiency of our existing cash and cash equivalents to fund our future operating expenses and capital expenditure requirements;</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realize savings from any restructuring plans or cost-containment measures we propose to implement;</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relating to our competitors and our industry, including competing product candidates and therapies;</w:t>
      </w:r>
    </w:p>
    <w:p>
      <w:pPr>
        <w:spacing w:after="0" w:line="253" w:lineRule="exact"/>
        <w:rPr>
          <w:rFonts w:ascii="Arial" w:cs="Arial" w:eastAsia="Arial" w:hAnsi="Arial"/>
          <w:sz w:val="20"/>
          <w:szCs w:val="20"/>
          <w:color w:val="auto"/>
        </w:rPr>
      </w:pPr>
    </w:p>
    <w:p>
      <w:pPr>
        <w:ind w:left="980" w:right="220" w:hanging="491"/>
        <w:spacing w:after="0" w:line="258"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201"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regarding the period during which we will qualify as an emerging growth company under the Jumpstart Our Business Startups Act of 2012 (the “JOBS Act”).</w:t>
      </w:r>
    </w:p>
    <w:p>
      <w:pPr>
        <w:spacing w:after="0" w:line="206"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200" w:lineRule="exact"/>
        <w:rPr>
          <w:sz w:val="20"/>
          <w:szCs w:val="20"/>
          <w:color w:val="auto"/>
        </w:rPr>
      </w:pPr>
    </w:p>
    <w:p>
      <w:pPr>
        <w:ind w:right="100" w:firstLine="979"/>
        <w:spacing w:after="0" w:line="249"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46" w:lineRule="exact"/>
        <w:rPr>
          <w:sz w:val="20"/>
          <w:szCs w:val="20"/>
          <w:color w:val="auto"/>
        </w:rPr>
      </w:pPr>
    </w:p>
    <w:p>
      <w:pPr>
        <w:ind w:right="80" w:firstLine="979"/>
        <w:spacing w:after="0" w:line="247" w:lineRule="auto"/>
        <w:rPr>
          <w:sz w:val="20"/>
          <w:szCs w:val="20"/>
          <w:color w:val="auto"/>
        </w:rPr>
      </w:pPr>
      <w:r>
        <w:rPr>
          <w:rFonts w:ascii="Times New Roman" w:cs="Times New Roman" w:eastAsia="Times New Roman" w:hAnsi="Times New Roman"/>
          <w:sz w:val="20"/>
          <w:szCs w:val="20"/>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Class A common stock. See “Special Note Regarding Forward-Looking Statements.”</w:t>
      </w:r>
    </w:p>
    <w:p>
      <w:pPr>
        <w:spacing w:after="0" w:line="212" w:lineRule="exact"/>
        <w:rPr>
          <w:sz w:val="20"/>
          <w:szCs w:val="20"/>
          <w:color w:val="auto"/>
        </w:rPr>
      </w:pPr>
    </w:p>
    <w:p>
      <w:pPr>
        <w:ind w:left="980" w:right="200" w:hanging="491"/>
        <w:spacing w:after="0" w:line="25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or other operations.</w:t>
      </w:r>
    </w:p>
    <w:p>
      <w:pPr>
        <w:sectPr>
          <w:pgSz w:w="12240" w:h="15840" w:orient="portrait"/>
          <w:cols w:equalWidth="0" w:num="1">
            <w:col w:w="10800"/>
          </w:cols>
          <w:pgMar w:left="720" w:top="944" w:right="720" w:bottom="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944" w:right="720" w:bottom="0" w:gutter="0" w:footer="0" w:header="0"/>
          <w:type w:val="continuous"/>
        </w:sectPr>
      </w:pPr>
    </w:p>
    <w:bookmarkStart w:id="6" w:name="page7"/>
    <w:bookmarkEnd w:id="6"/>
    <w:p>
      <w:pPr>
        <w:ind w:left="530" w:right="60" w:hanging="491"/>
        <w:spacing w:after="0" w:line="258"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201" w:lineRule="exact"/>
        <w:rPr>
          <w:rFonts w:ascii="Arial" w:cs="Arial" w:eastAsia="Arial" w:hAnsi="Arial"/>
          <w:sz w:val="20"/>
          <w:szCs w:val="20"/>
          <w:color w:val="auto"/>
        </w:rPr>
      </w:pPr>
    </w:p>
    <w:p>
      <w:pPr>
        <w:ind w:left="530" w:right="580" w:hanging="491"/>
        <w:spacing w:after="0" w:line="276"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an early clinical stage biopharmaceutical company with no approved products and no historical commercial product revenue, which makes it difficult to assess our future prospects and financial results.</w:t>
      </w:r>
    </w:p>
    <w:p>
      <w:pPr>
        <w:spacing w:after="0" w:line="184" w:lineRule="exact"/>
        <w:rPr>
          <w:rFonts w:ascii="Arial" w:cs="Arial" w:eastAsia="Arial" w:hAnsi="Arial"/>
          <w:sz w:val="20"/>
          <w:szCs w:val="20"/>
          <w:color w:val="auto"/>
        </w:rPr>
      </w:pPr>
    </w:p>
    <w:p>
      <w:pPr>
        <w:ind w:left="530" w:right="160" w:hanging="491"/>
        <w:spacing w:after="0" w:line="276"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existing indebtedness contains restrictions that limit our flexibility in operating our business. In addition, we may be required to make a prepayment or repay our outstanding indebtedness earlier than we expect.</w:t>
      </w:r>
    </w:p>
    <w:p>
      <w:pPr>
        <w:spacing w:after="0" w:line="184" w:lineRule="exact"/>
        <w:rPr>
          <w:rFonts w:ascii="Arial" w:cs="Arial" w:eastAsia="Arial" w:hAnsi="Arial"/>
          <w:sz w:val="20"/>
          <w:szCs w:val="20"/>
          <w:color w:val="auto"/>
        </w:rPr>
      </w:pPr>
    </w:p>
    <w:p>
      <w:pPr>
        <w:ind w:left="530" w:right="560" w:hanging="491"/>
        <w:spacing w:after="0" w:line="276"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Any restructuring actions that we previously undertook or may undertake in the future may not deliver the expected results and these actions may adversely affect our business operations.</w:t>
      </w:r>
    </w:p>
    <w:p>
      <w:pPr>
        <w:spacing w:after="0" w:line="184" w:lineRule="exact"/>
        <w:rPr>
          <w:rFonts w:ascii="Arial" w:cs="Arial" w:eastAsia="Arial" w:hAnsi="Arial"/>
          <w:sz w:val="20"/>
          <w:szCs w:val="20"/>
          <w:color w:val="auto"/>
        </w:rPr>
      </w:pPr>
    </w:p>
    <w:p>
      <w:pPr>
        <w:ind w:left="530" w:right="200" w:hanging="491"/>
        <w:spacing w:after="0" w:line="252"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207" w:lineRule="exact"/>
        <w:rPr>
          <w:rFonts w:ascii="Arial" w:cs="Arial" w:eastAsia="Arial" w:hAnsi="Arial"/>
          <w:sz w:val="20"/>
          <w:szCs w:val="20"/>
          <w:color w:val="auto"/>
        </w:rPr>
      </w:pPr>
    </w:p>
    <w:p>
      <w:pPr>
        <w:ind w:left="530" w:right="440" w:hanging="491"/>
        <w:spacing w:after="0" w:line="276"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84" w:lineRule="exact"/>
        <w:rPr>
          <w:rFonts w:ascii="Arial" w:cs="Arial" w:eastAsia="Arial" w:hAnsi="Arial"/>
          <w:sz w:val="20"/>
          <w:szCs w:val="20"/>
          <w:color w:val="auto"/>
        </w:rPr>
      </w:pPr>
    </w:p>
    <w:p>
      <w:pPr>
        <w:ind w:left="530" w:hanging="491"/>
        <w:spacing w:after="0" w:line="252"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As an organization, we have conducted limited early clinical development, have not submitted an investigational new drug application, (“IND”), to the U.S. Food and Drug Administration (“FDA”), and we have never conducted later-stage clinical trials or submitted a Biologics License Application (“BLA”) or New Drug Application (“NDA”), and may be unable to do so for any of our product candidates.</w:t>
      </w:r>
    </w:p>
    <w:p>
      <w:pPr>
        <w:spacing w:after="0" w:line="207" w:lineRule="exact"/>
        <w:rPr>
          <w:rFonts w:ascii="Arial" w:cs="Arial" w:eastAsia="Arial" w:hAnsi="Arial"/>
          <w:sz w:val="20"/>
          <w:szCs w:val="20"/>
          <w:color w:val="auto"/>
        </w:rPr>
      </w:pPr>
    </w:p>
    <w:p>
      <w:pPr>
        <w:ind w:left="530" w:right="120" w:hanging="491"/>
        <w:spacing w:after="0" w:line="258"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201" w:lineRule="exact"/>
        <w:rPr>
          <w:rFonts w:ascii="Arial" w:cs="Arial" w:eastAsia="Arial" w:hAnsi="Arial"/>
          <w:sz w:val="20"/>
          <w:szCs w:val="20"/>
          <w:color w:val="auto"/>
        </w:rPr>
      </w:pPr>
    </w:p>
    <w:p>
      <w:pPr>
        <w:ind w:left="530" w:right="80" w:hanging="491"/>
        <w:spacing w:after="0" w:line="249"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210" w:lineRule="exact"/>
        <w:rPr>
          <w:rFonts w:ascii="Arial" w:cs="Arial" w:eastAsia="Arial" w:hAnsi="Arial"/>
          <w:sz w:val="20"/>
          <w:szCs w:val="20"/>
          <w:color w:val="auto"/>
        </w:rPr>
      </w:pPr>
    </w:p>
    <w:p>
      <w:pPr>
        <w:ind w:left="530" w:right="100" w:hanging="491"/>
        <w:spacing w:after="0" w:line="276"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limited clinical data on our product candidates to indicate whether they are safe or effective for long-term use in humans.</w:t>
      </w:r>
    </w:p>
    <w:p>
      <w:pPr>
        <w:spacing w:after="0" w:line="184" w:lineRule="exact"/>
        <w:rPr>
          <w:rFonts w:ascii="Arial" w:cs="Arial" w:eastAsia="Arial" w:hAnsi="Arial"/>
          <w:sz w:val="20"/>
          <w:szCs w:val="20"/>
          <w:color w:val="auto"/>
        </w:rPr>
      </w:pPr>
    </w:p>
    <w:p>
      <w:pPr>
        <w:ind w:left="550" w:right="220" w:hanging="550"/>
        <w:spacing w:after="0" w:line="249" w:lineRule="auto"/>
        <w:tabs>
          <w:tab w:leader="none" w:pos="55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third-party suppliers for key materials used in our manufacturing processes as well as for the manufacturing of active pharmaceutical ingredients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210" w:lineRule="exact"/>
        <w:rPr>
          <w:rFonts w:ascii="Arial" w:cs="Arial" w:eastAsia="Arial" w:hAnsi="Arial"/>
          <w:sz w:val="20"/>
          <w:szCs w:val="20"/>
          <w:color w:val="auto"/>
        </w:rPr>
      </w:pPr>
    </w:p>
    <w:p>
      <w:pPr>
        <w:ind w:left="530" w:right="360" w:hanging="491"/>
        <w:spacing w:after="0" w:line="258"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201" w:lineRule="exact"/>
        <w:rPr>
          <w:rFonts w:ascii="Arial" w:cs="Arial" w:eastAsia="Arial" w:hAnsi="Arial"/>
          <w:sz w:val="20"/>
          <w:szCs w:val="20"/>
          <w:color w:val="auto"/>
        </w:rPr>
      </w:pPr>
    </w:p>
    <w:p>
      <w:pPr>
        <w:ind w:left="530" w:right="200" w:hanging="491"/>
        <w:spacing w:after="0" w:line="258"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Any inability to develop, or difficulties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spacing w:after="0" w:line="201" w:lineRule="exact"/>
        <w:rPr>
          <w:rFonts w:ascii="Arial" w:cs="Arial" w:eastAsia="Arial" w:hAnsi="Arial"/>
          <w:sz w:val="20"/>
          <w:szCs w:val="20"/>
          <w:color w:val="auto"/>
        </w:rPr>
      </w:pPr>
    </w:p>
    <w:p>
      <w:pPr>
        <w:ind w:left="530" w:right="580" w:hanging="491"/>
        <w:spacing w:after="0" w:line="276"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84" w:lineRule="exact"/>
        <w:rPr>
          <w:rFonts w:ascii="Arial" w:cs="Arial" w:eastAsia="Arial" w:hAnsi="Arial"/>
          <w:sz w:val="20"/>
          <w:szCs w:val="20"/>
          <w:color w:val="auto"/>
        </w:rPr>
      </w:pPr>
    </w:p>
    <w:p>
      <w:pPr>
        <w:ind w:left="530" w:right="120" w:hanging="491"/>
        <w:spacing w:after="0" w:line="276" w:lineRule="auto"/>
        <w:tabs>
          <w:tab w:leader="none" w:pos="53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significant competition from other biotherapeutics and pharmaceutical companies, and our operating results will suffer if we fail to compete effectively.</w:t>
      </w:r>
    </w:p>
    <w:p>
      <w:pPr>
        <w:sectPr>
          <w:pgSz w:w="12240" w:h="15840" w:orient="portrait"/>
          <w:cols w:equalWidth="0" w:num="1">
            <w:col w:w="10350"/>
          </w:cols>
          <w:pgMar w:left="1170" w:top="944" w:right="720" w:bottom="0" w:gutter="0" w:footer="0" w:header="0"/>
        </w:sectPr>
      </w:pPr>
    </w:p>
    <w:p>
      <w:pPr>
        <w:spacing w:after="0" w:line="396" w:lineRule="exact"/>
        <w:rPr>
          <w:sz w:val="20"/>
          <w:szCs w:val="20"/>
          <w:color w:val="auto"/>
        </w:rPr>
      </w:pPr>
    </w:p>
    <w:p>
      <w:pPr>
        <w:jc w:val="center"/>
        <w:ind w:right="43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350"/>
          </w:cols>
          <w:pgMar w:left="1170" w:top="944" w:right="720" w:bottom="0" w:gutter="0" w:footer="0" w:header="0"/>
          <w:type w:val="continuous"/>
        </w:sectPr>
      </w:pPr>
    </w:p>
    <w:bookmarkStart w:id="7" w:name="page8"/>
    <w:bookmarkEnd w:id="7"/>
    <w:p>
      <w:pPr>
        <w:ind w:left="491" w:right="100" w:hanging="491"/>
        <w:spacing w:after="0" w:line="258" w:lineRule="auto"/>
        <w:tabs>
          <w:tab w:leader="none" w:pos="49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201" w:lineRule="exact"/>
        <w:rPr>
          <w:rFonts w:ascii="Arial" w:cs="Arial" w:eastAsia="Arial" w:hAnsi="Arial"/>
          <w:sz w:val="20"/>
          <w:szCs w:val="20"/>
          <w:color w:val="auto"/>
        </w:rPr>
      </w:pPr>
    </w:p>
    <w:p>
      <w:pPr>
        <w:ind w:left="491" w:hanging="491"/>
        <w:spacing w:after="0"/>
        <w:tabs>
          <w:tab w:leader="none" w:pos="49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commercial success depends in part on our ability to build and maintain our intellectual property portfolio.</w:t>
      </w:r>
    </w:p>
    <w:p>
      <w:pPr>
        <w:spacing w:after="0" w:line="253" w:lineRule="exact"/>
        <w:rPr>
          <w:rFonts w:ascii="Arial" w:cs="Arial" w:eastAsia="Arial" w:hAnsi="Arial"/>
          <w:sz w:val="20"/>
          <w:szCs w:val="20"/>
          <w:color w:val="auto"/>
        </w:rPr>
      </w:pPr>
    </w:p>
    <w:p>
      <w:pPr>
        <w:ind w:left="491" w:right="180" w:hanging="491"/>
        <w:spacing w:after="0" w:line="258" w:lineRule="auto"/>
        <w:tabs>
          <w:tab w:leader="none" w:pos="49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are a holding company and our principal asset is our interest in Rani LLC.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201" w:lineRule="exact"/>
        <w:rPr>
          <w:rFonts w:ascii="Arial" w:cs="Arial" w:eastAsia="Arial" w:hAnsi="Arial"/>
          <w:sz w:val="20"/>
          <w:szCs w:val="20"/>
          <w:color w:val="auto"/>
        </w:rPr>
      </w:pPr>
    </w:p>
    <w:p>
      <w:pPr>
        <w:ind w:left="491" w:hanging="491"/>
        <w:spacing w:after="0" w:line="249" w:lineRule="auto"/>
        <w:tabs>
          <w:tab w:leader="none" w:pos="49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210" w:lineRule="exact"/>
        <w:rPr>
          <w:rFonts w:ascii="Arial" w:cs="Arial" w:eastAsia="Arial" w:hAnsi="Arial"/>
          <w:sz w:val="20"/>
          <w:szCs w:val="20"/>
          <w:color w:val="auto"/>
        </w:rPr>
      </w:pPr>
    </w:p>
    <w:p>
      <w:pPr>
        <w:ind w:left="491" w:hanging="491"/>
        <w:spacing w:after="0" w:line="276" w:lineRule="auto"/>
        <w:tabs>
          <w:tab w:leader="none" w:pos="49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multi-class structure of our common stock has the effect of concentrating voting control, which will limit your ability to influence the outcome of important transactions, including a change in control.</w:t>
      </w:r>
    </w:p>
    <w:p>
      <w:pPr>
        <w:spacing w:after="0" w:line="184" w:lineRule="exact"/>
        <w:rPr>
          <w:rFonts w:ascii="Arial" w:cs="Arial" w:eastAsia="Arial" w:hAnsi="Arial"/>
          <w:sz w:val="20"/>
          <w:szCs w:val="20"/>
          <w:color w:val="auto"/>
        </w:rPr>
      </w:pPr>
    </w:p>
    <w:p>
      <w:pPr>
        <w:ind w:left="491" w:right="280" w:hanging="491"/>
        <w:spacing w:after="0" w:line="258" w:lineRule="auto"/>
        <w:tabs>
          <w:tab w:leader="none" w:pos="49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ectPr>
          <w:pgSz w:w="12240" w:h="15840" w:orient="portrait"/>
          <w:cols w:equalWidth="0" w:num="1">
            <w:col w:w="10231"/>
          </w:cols>
          <w:pgMar w:left="1209" w:top="9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8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31"/>
          </w:cols>
          <w:pgMar w:left="1209" w:top="944" w:right="800" w:bottom="0" w:gutter="0" w:footer="0" w:header="0"/>
          <w:type w:val="continuous"/>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ind w:right="140" w:firstLine="979"/>
        <w:spacing w:after="0" w:line="252" w:lineRule="auto"/>
        <w:rPr>
          <w:sz w:val="20"/>
          <w:szCs w:val="20"/>
          <w:color w:val="auto"/>
        </w:rPr>
      </w:pPr>
      <w:r>
        <w:rPr>
          <w:rFonts w:ascii="Times New Roman" w:cs="Times New Roman" w:eastAsia="Times New Roman" w:hAnsi="Times New Roman"/>
          <w:sz w:val="20"/>
          <w:szCs w:val="20"/>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94" w:lineRule="exact"/>
        <w:rPr>
          <w:sz w:val="20"/>
          <w:szCs w:val="20"/>
          <w:color w:val="auto"/>
        </w:rPr>
      </w:pPr>
    </w:p>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200μL in liquid form with high bioavailability. We have tested preclinically the RaniPill HC with multiple therapeutics, including antibodies and a peptide. We intend to initiate clinical testing of the RaniPill HC in the second half of 2024.</w:t>
      </w:r>
    </w:p>
    <w:p>
      <w:pPr>
        <w:spacing w:after="0" w:line="200" w:lineRule="exact"/>
        <w:rPr>
          <w:sz w:val="20"/>
          <w:szCs w:val="20"/>
          <w:color w:val="auto"/>
        </w:rPr>
      </w:pPr>
    </w:p>
    <w:p>
      <w:pPr>
        <w:ind w:right="360" w:firstLine="979"/>
        <w:spacing w:after="0" w:line="277" w:lineRule="auto"/>
        <w:rPr>
          <w:sz w:val="20"/>
          <w:szCs w:val="20"/>
          <w:color w:val="auto"/>
        </w:rPr>
      </w:pPr>
      <w:r>
        <w:rPr>
          <w:rFonts w:ascii="Times New Roman" w:cs="Times New Roman" w:eastAsia="Times New Roman" w:hAnsi="Times New Roman"/>
          <w:sz w:val="20"/>
          <w:szCs w:val="20"/>
          <w:color w:val="auto"/>
        </w:rPr>
        <w:t>We believe that, together, the RaniPill GO and RaniPill HC could enable us to deliver most biologics currently on the market with convenient, oral dosing.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Overview</w:t>
      </w:r>
    </w:p>
    <w:p>
      <w:pPr>
        <w:spacing w:after="0" w:line="240" w:lineRule="exact"/>
        <w:rPr>
          <w:sz w:val="20"/>
          <w:szCs w:val="20"/>
          <w:color w:val="auto"/>
        </w:rPr>
      </w:pPr>
    </w:p>
    <w:p>
      <w:pPr>
        <w:ind w:right="200" w:firstLine="979"/>
        <w:spacing w:after="0" w:line="249" w:lineRule="auto"/>
        <w:rPr>
          <w:sz w:val="20"/>
          <w:szCs w:val="20"/>
          <w:color w:val="auto"/>
        </w:rPr>
      </w:pPr>
      <w:r>
        <w:rPr>
          <w:rFonts w:ascii="Times New Roman" w:cs="Times New Roman" w:eastAsia="Times New Roman" w:hAnsi="Times New Roman"/>
          <w:sz w:val="20"/>
          <w:szCs w:val="20"/>
          <w:color w:val="auto"/>
        </w:rPr>
        <w:t>We have completed three Phase 1 clinical trials with the RaniPill capsule technology. In February 2024, we announced completion of a Phase 1 clinical trial with RT-111, a RaniPill GO capsule containing our proprietary formulation of an ustekinumab biosimilar supplied by Celltrion, Inc. (“Celltrion”), in Australia. The study evaluated the safety and tolerability of a single administration of RT-111 in healthy adult volunteers. The study met all its endpoints, RT-111 was well tolerated and delivered ustekinumab biosimilar with high bioavailability. No serious adverse events were reported in the study.</w:t>
      </w:r>
    </w:p>
    <w:p>
      <w:pPr>
        <w:spacing w:after="0" w:line="197"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In 2022, we completed a Phase 1 clinical trial with RT-102, a RaniPill GO capsule containing our proprietary formulation of parathyroid hormone (1-34) (“PTH”), in Australia. The study involved a single-ascending dose portion and a seven-day repeat-dose portion. The Phase 1 study met all of its endpoints, RT-102 was well tolerated and delivered PTH with high bioavailability (more than 300% greater bioavailability than subcutaneous injection of Forteo (teriparatide)). No serious adverse events were reported in the study. In 2019, we completed a Phase 1 study with RT-101, a RaniPill GO capsule containing our proprietary formulation of octreotide, in Australia. The Phase 1 study met all of its endpoints, RT-101 was well tolerated and delivered octreotide with high bioavailability (comparable to subcutaneous injection of octreotide). No serious adverse events were reported in the study.</w:t>
      </w:r>
    </w:p>
    <w:p>
      <w:pPr>
        <w:spacing w:after="0" w:line="200" w:lineRule="exact"/>
        <w:rPr>
          <w:sz w:val="20"/>
          <w:szCs w:val="20"/>
          <w:color w:val="auto"/>
        </w:rPr>
      </w:pPr>
    </w:p>
    <w:p>
      <w:pPr>
        <w:ind w:right="200" w:firstLine="979"/>
        <w:spacing w:after="0" w:line="252" w:lineRule="auto"/>
        <w:rPr>
          <w:sz w:val="20"/>
          <w:szCs w:val="20"/>
          <w:color w:val="auto"/>
        </w:rPr>
      </w:pPr>
      <w:r>
        <w:rPr>
          <w:rFonts w:ascii="Times New Roman" w:cs="Times New Roman" w:eastAsia="Times New Roman" w:hAnsi="Times New Roman"/>
          <w:sz w:val="20"/>
          <w:szCs w:val="20"/>
          <w:color w:val="auto"/>
        </w:rPr>
        <w:t>As of December 31, 2023, we have administered the RaniPill capsule 233 times to 146 human subjects in clinical trials, including seven-day repeat-dosing in ten subjects in our Phase 1 study of RT-102. This is in addition to oral administrations of the RaniPill capsule, without a drug or needle, in non-significant risk studies. In our clinical studies, our product candidates were generally well tolerated and no serious adverse events were observed.</w:t>
      </w:r>
    </w:p>
    <w:p>
      <w:pPr>
        <w:spacing w:after="0" w:line="194"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Preclinically, we have tested 15 molecules in the RaniPill capsule, including eight antibodies, six peptides and one large protein. We have conducted preclinical testing of more than 7,000 RaniPill capsules in vivo and in vitro. In October 2023, we announced preclinical data from a 60-day, repeat oral-administration good laboratory practices (“GLP”) safety study of the RaniPill capsule in healthy animals. The RaniPill capsule was well tolerated with no treatment-related adverse events and all animals remained clinically healthy throughout the study.</w:t>
      </w:r>
    </w:p>
    <w:p>
      <w:pPr>
        <w:spacing w:after="0" w:line="197" w:lineRule="exact"/>
        <w:rPr>
          <w:sz w:val="20"/>
          <w:szCs w:val="20"/>
          <w:color w:val="auto"/>
        </w:rPr>
      </w:pPr>
    </w:p>
    <w:p>
      <w:pPr>
        <w:ind w:right="40" w:firstLine="979"/>
        <w:spacing w:after="0" w:line="252" w:lineRule="auto"/>
        <w:rPr>
          <w:sz w:val="20"/>
          <w:szCs w:val="20"/>
          <w:color w:val="auto"/>
        </w:rPr>
      </w:pPr>
      <w:r>
        <w:rPr>
          <w:rFonts w:ascii="Times New Roman" w:cs="Times New Roman" w:eastAsia="Times New Roman" w:hAnsi="Times New Roman"/>
          <w:sz w:val="20"/>
          <w:szCs w:val="20"/>
          <w:color w:val="auto"/>
        </w:rPr>
        <w:t>As of January 1, 2024, we had tested more than 200 RaniPill HC devices in vivo including delivery of a peptide and multiple different antibodies. The RaniPill HC represents a significant opportunity to potentially enable the oral delivery of more than ninety additional biologics currently on the market, including therapeutics like dupilumab, secukinumab, pembrolizumab, etanercept and trastuzumab. We intend for the RaniPill HC to be ready for potential Phase 1 clinical trials in the second half of 2024.</w:t>
      </w:r>
    </w:p>
    <w:p>
      <w:pPr>
        <w:sectPr>
          <w:pgSz w:w="12240" w:h="15840" w:orient="portrait"/>
          <w:cols w:equalWidth="0" w:num="1">
            <w:col w:w="10760"/>
          </w:cols>
          <w:pgMar w:left="720" w:top="92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760"/>
          </w:cols>
          <w:pgMar w:left="720" w:top="926" w:right="76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Business Update</w:t>
      </w:r>
    </w:p>
    <w:p>
      <w:pPr>
        <w:spacing w:after="0" w:line="244"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In November 2023, we announced a strategic program prioritization, expansion of manufacturing and plans to streamline business operations to support near-term value drivers and long-term growth of the RaniPill technology platform (the “Restructuring”). The plans include strategic prioritization of its key development programs, RT-102, RT-111 and the RaniPill HC and expansion of our manufacturing footprint to support increased scale and partnerships, and cost reduction initiatives that align with our near-term goals, including a reduction in our workforce by approximately 25%. As part of the strategic focusing of the business, we have paused work on our RT-105 and RT-110 programs and we terminated our RT-101 program, which was the RaniPill capsule containing octreotide.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Pipeline Overview</w:t>
      </w:r>
    </w:p>
    <w:p>
      <w:pPr>
        <w:spacing w:after="0" w:line="240" w:lineRule="exact"/>
        <w:rPr>
          <w:sz w:val="20"/>
          <w:szCs w:val="20"/>
          <w:color w:val="auto"/>
        </w:rPr>
      </w:pPr>
    </w:p>
    <w:p>
      <w:pPr>
        <w:ind w:right="140" w:firstLine="979"/>
        <w:spacing w:after="0" w:line="247" w:lineRule="auto"/>
        <w:rPr>
          <w:sz w:val="20"/>
          <w:szCs w:val="20"/>
          <w:color w:val="auto"/>
        </w:rPr>
      </w:pPr>
      <w:r>
        <w:rPr>
          <w:rFonts w:ascii="Times New Roman" w:cs="Times New Roman" w:eastAsia="Times New Roman" w:hAnsi="Times New Roman"/>
          <w:sz w:val="20"/>
          <w:szCs w:val="20"/>
          <w:color w:val="auto"/>
        </w:rPr>
        <w:t>The broad utility of the RaniPill capsule to enable the oral delivery of biologics and drugs provides us with a range of attractive development opportunities. We have prioritized development based on specific scientific, developmental, regulatory, and commercial considerations to optimize our portfolio of targeted product candidates. Our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w:t>
      </w:r>
    </w:p>
    <w:p>
      <w:pPr>
        <w:spacing w:after="0" w:line="200" w:lineRule="exact"/>
        <w:rPr>
          <w:sz w:val="20"/>
          <w:szCs w:val="20"/>
          <w:color w:val="auto"/>
        </w:rPr>
      </w:pPr>
    </w:p>
    <w:p>
      <w:pPr>
        <w:ind w:right="800" w:firstLine="979"/>
        <w:spacing w:after="0" w:line="277" w:lineRule="auto"/>
        <w:rPr>
          <w:sz w:val="20"/>
          <w:szCs w:val="20"/>
          <w:color w:val="auto"/>
        </w:rPr>
      </w:pPr>
      <w:r>
        <w:rPr>
          <w:rFonts w:ascii="Times New Roman" w:cs="Times New Roman" w:eastAsia="Times New Roman" w:hAnsi="Times New Roman"/>
          <w:sz w:val="20"/>
          <w:szCs w:val="20"/>
          <w:color w:val="auto"/>
        </w:rPr>
        <w:t>Below is a summary of our product candidate pipeline. We envision complementing these programs with robust partnering activities to maximize the value inherent in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858000" cy="1911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extLst>
                    </a:blip>
                    <a:srcRect/>
                    <a:stretch>
                      <a:fillRect/>
                    </a:stretch>
                  </pic:blipFill>
                  <pic:spPr bwMode="auto">
                    <a:xfrm>
                      <a:off x="0" y="0"/>
                      <a:ext cx="6858000"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color w:val="auto"/>
        </w:rPr>
        <w:t>RT-XXX refers to the RaniPill capsule containing a biologic or drug.</w:t>
      </w:r>
    </w:p>
    <w:p>
      <w:pPr>
        <w:spacing w:after="0" w:line="26" w:lineRule="exact"/>
        <w:rPr>
          <w:sz w:val="20"/>
          <w:szCs w:val="20"/>
          <w:color w:val="auto"/>
        </w:rPr>
      </w:pPr>
    </w:p>
    <w:p>
      <w:pPr>
        <w:ind w:left="1020" w:hanging="156"/>
        <w:spacing w:after="0"/>
        <w:tabs>
          <w:tab w:leader="none" w:pos="1020" w:val="left"/>
        </w:tabs>
        <w:numPr>
          <w:ilvl w:val="0"/>
          <w:numId w:val="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Clinical timelines are subject to potential regulatory agency review delays.</w:t>
      </w:r>
    </w:p>
    <w:p>
      <w:pPr>
        <w:ind w:left="860" w:right="40" w:firstLine="4"/>
        <w:spacing w:after="0" w:line="244" w:lineRule="auto"/>
        <w:tabs>
          <w:tab w:leader="none" w:pos="111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Partnered with Celltrion, Inc. Celltrion, Inc. supplies the drug pursuant to a license and supply agreement and has a right of first negotiation for development and commercial rights following completion of a Phase 1 clinical trial that meets its primary endpoint(s).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 Programs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RT-111: Ustekinumab for the treatment of inflammatory conditions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overview</w:t>
      </w:r>
    </w:p>
    <w:p>
      <w:pPr>
        <w:spacing w:after="0" w:line="238" w:lineRule="exact"/>
        <w:rPr>
          <w:sz w:val="20"/>
          <w:szCs w:val="20"/>
          <w:color w:val="auto"/>
        </w:rPr>
      </w:pPr>
    </w:p>
    <w:p>
      <w:pPr>
        <w:ind w:right="200" w:firstLine="979"/>
        <w:spacing w:after="0" w:line="247" w:lineRule="auto"/>
        <w:rPr>
          <w:sz w:val="20"/>
          <w:szCs w:val="20"/>
          <w:color w:val="auto"/>
        </w:rPr>
      </w:pPr>
      <w:r>
        <w:rPr>
          <w:rFonts w:ascii="Times New Roman" w:cs="Times New Roman" w:eastAsia="Times New Roman" w:hAnsi="Times New Roman"/>
          <w:sz w:val="20"/>
          <w:szCs w:val="20"/>
          <w:color w:val="auto"/>
        </w:rPr>
        <w:t>Ustekinumab is currently approved by the FDA and European Medicines Agency (“EMA”) for the treatment of various inflammatory conditions under the brand name STELARA. STELARA (ustekinumab) is an interleukin-12 and interleukin-23 antagonist marketed by Janssen Biotech, Inc. with sales of approximately $6.4 billion in the United States and approximately $9.7 billion worldwide in 2022. The latest expiring United States patent for STELARA (ustekinumab) expired in 2023. In the United States, there were estimated to be seven million patients with psoriasis and three million patients with Crohn’s disease or ulcerative colitis in 2021.</w:t>
      </w:r>
    </w:p>
    <w:p>
      <w:pPr>
        <w:sectPr>
          <w:pgSz w:w="12240" w:h="15840" w:orient="portrait"/>
          <w:cols w:equalWidth="0" w:num="1">
            <w:col w:w="10740"/>
          </w:cols>
          <w:pgMar w:left="720" w:top="92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740"/>
          </w:cols>
          <w:pgMar w:left="720" w:top="926" w:right="7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i w:val="1"/>
          <w:iCs w:val="1"/>
          <w:color w:val="auto"/>
        </w:rPr>
        <w:t>Our solution: RT-111</w:t>
      </w:r>
    </w:p>
    <w:p>
      <w:pPr>
        <w:spacing w:after="0" w:line="238" w:lineRule="exact"/>
        <w:rPr>
          <w:sz w:val="20"/>
          <w:szCs w:val="20"/>
          <w:color w:val="auto"/>
        </w:rPr>
      </w:pPr>
    </w:p>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We are developing RT-111, a RaniPill capsule containing an ustekinumab biosimilar, for the treatment of various inflammatory conditions. We entered into a License and Supply Agreement with Celltrion, under which we receive a license and supply of Celltrion’s ustekinumab biosimilar for development and commercialization worldwide, subject to a right of first negotiation for Celltrion following completion of a Phase 1 clinical trial that meets its primary endpoint(s).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trials</w:t>
      </w:r>
    </w:p>
    <w:p>
      <w:pPr>
        <w:spacing w:after="0" w:line="238"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In February 2024, we announced positive topline results from a Phase 1 study of RT-111, which is being developed for the potential treatment of inflammatory conditions. The study met all of its endpoints and RT-111 was generally well tolerated with no serious adverse events noted. In the study, RT-111 orally delivered 0.5 mg and 0.75 mg of our proprietary formulation of ustekinumab biosimilar with high bioavailability.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Study Design</w:t>
      </w:r>
    </w:p>
    <w:p>
      <w:pPr>
        <w:spacing w:after="0" w:line="240" w:lineRule="exact"/>
        <w:rPr>
          <w:sz w:val="20"/>
          <w:szCs w:val="20"/>
          <w:color w:val="auto"/>
        </w:rPr>
      </w:pPr>
    </w:p>
    <w:p>
      <w:pPr>
        <w:ind w:right="300" w:firstLine="979"/>
        <w:spacing w:after="0" w:line="249" w:lineRule="auto"/>
        <w:rPr>
          <w:sz w:val="20"/>
          <w:szCs w:val="20"/>
          <w:color w:val="auto"/>
        </w:rPr>
      </w:pPr>
      <w:r>
        <w:rPr>
          <w:rFonts w:ascii="Times New Roman" w:cs="Times New Roman" w:eastAsia="Times New Roman" w:hAnsi="Times New Roman"/>
          <w:sz w:val="20"/>
          <w:szCs w:val="20"/>
          <w:color w:val="auto"/>
        </w:rPr>
        <w:t>The single-center, open label Phase 1 study of RT-111 was conducted in Australia. The study evaluated the safety, and tolerability of a single administration of RT-111 in healthy adult volunteers. Of the 55 participants, 20 orally ingested RT-111 containing a single 0.5 mg dose of ustekinumab biosimilar and 20 orally ingested RT-111 containing a single 0.75 mg dose of ustekinumab biosimilar, while a control group of 15 participants received a single 0.5 mg subcutaneous injection of STELARA, a commercial formulation of ustekinumab for subcutaneous (“SC”) administration.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Safety Data</w:t>
      </w:r>
    </w:p>
    <w:p>
      <w:pPr>
        <w:spacing w:after="0" w:line="240"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In the Phase 1 study, RT-111 was generally well tolerated, with no serious adverse events (“SAE”) noted during the study. None of the participants withdrew from the study due to any adverse event. Two subjects in the 0.5mg RT-111 group and one subject in the 0.5mg SC STELARA® group had mild, transient adverse events which resolved without any intervention. There was no meaningful difference in incidence of anti-drug antibodies via the RaniPill route of delivery compared to STELARA® SC injection.</w:t>
      </w:r>
    </w:p>
    <w:p>
      <w:pPr>
        <w:spacing w:after="0" w:line="223" w:lineRule="exact"/>
        <w:rPr>
          <w:sz w:val="20"/>
          <w:szCs w:val="20"/>
          <w:color w:val="auto"/>
        </w:rPr>
      </w:pPr>
    </w:p>
    <w:tbl>
      <w:tblPr>
        <w:tblLayout w:type="fixed"/>
        <w:tblInd w:w="810" w:type="dxa"/>
        <w:tblCellMar>
          <w:top w:w="0" w:type="dxa"/>
          <w:left w:w="0" w:type="dxa"/>
          <w:bottom w:w="0" w:type="dxa"/>
          <w:right w:w="0" w:type="dxa"/>
        </w:tblCellMar>
      </w:tblPr>
      <w:tr>
        <w:trPr>
          <w:trHeight w:val="220"/>
        </w:trPr>
        <w:tc>
          <w:tcPr>
            <w:tcW w:w="202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ind w:left="140"/>
              <w:spacing w:after="0" w:line="221" w:lineRule="exact"/>
              <w:rPr>
                <w:sz w:val="20"/>
                <w:szCs w:val="20"/>
                <w:color w:val="auto"/>
              </w:rPr>
            </w:pPr>
            <w:r>
              <w:rPr>
                <w:rFonts w:ascii="Times New Roman" w:cs="Times New Roman" w:eastAsia="Times New Roman" w:hAnsi="Times New Roman"/>
                <w:sz w:val="20"/>
                <w:szCs w:val="20"/>
                <w:color w:val="auto"/>
              </w:rPr>
              <w:t>Stelara® SC 0.50 mg</w:t>
            </w:r>
          </w:p>
        </w:tc>
        <w:tc>
          <w:tcPr>
            <w:tcW w:w="2040" w:type="dxa"/>
            <w:vAlign w:val="bottom"/>
            <w:tcBorders>
              <w:top w:val="single" w:sz="8" w:color="auto"/>
              <w:right w:val="single" w:sz="8" w:color="auto"/>
            </w:tcBorders>
          </w:tcPr>
          <w:p>
            <w:pPr>
              <w:ind w:left="300"/>
              <w:spacing w:after="0" w:line="221" w:lineRule="exact"/>
              <w:rPr>
                <w:sz w:val="20"/>
                <w:szCs w:val="20"/>
                <w:color w:val="auto"/>
              </w:rPr>
            </w:pPr>
            <w:r>
              <w:rPr>
                <w:rFonts w:ascii="Times New Roman" w:cs="Times New Roman" w:eastAsia="Times New Roman" w:hAnsi="Times New Roman"/>
                <w:sz w:val="20"/>
                <w:szCs w:val="20"/>
                <w:color w:val="auto"/>
              </w:rPr>
              <w:t>RT-111 0.50 mg</w:t>
            </w:r>
          </w:p>
        </w:tc>
        <w:tc>
          <w:tcPr>
            <w:tcW w:w="2000" w:type="dxa"/>
            <w:vAlign w:val="bottom"/>
            <w:tcBorders>
              <w:top w:val="single" w:sz="8" w:color="auto"/>
              <w:right w:val="single" w:sz="8" w:color="auto"/>
            </w:tcBorders>
          </w:tcPr>
          <w:p>
            <w:pPr>
              <w:ind w:left="300"/>
              <w:spacing w:after="0" w:line="221" w:lineRule="exact"/>
              <w:rPr>
                <w:sz w:val="20"/>
                <w:szCs w:val="20"/>
                <w:color w:val="auto"/>
              </w:rPr>
            </w:pPr>
            <w:r>
              <w:rPr>
                <w:rFonts w:ascii="Times New Roman" w:cs="Times New Roman" w:eastAsia="Times New Roman" w:hAnsi="Times New Roman"/>
                <w:sz w:val="20"/>
                <w:szCs w:val="20"/>
                <w:color w:val="auto"/>
              </w:rPr>
              <w:t>RT-111 0.75 mg</w:t>
            </w:r>
          </w:p>
        </w:tc>
      </w:tr>
      <w:tr>
        <w:trPr>
          <w:trHeight w:val="249"/>
        </w:trPr>
        <w:tc>
          <w:tcPr>
            <w:tcW w:w="2020" w:type="dxa"/>
            <w:vAlign w:val="bottom"/>
            <w:tcBorders>
              <w:left w:val="single" w:sz="8" w:color="auto"/>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N=15</w:t>
            </w:r>
          </w:p>
        </w:tc>
        <w:tc>
          <w:tcPr>
            <w:tcW w:w="204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color w:val="auto"/>
              </w:rPr>
              <w:t>N=20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N=20</w:t>
            </w:r>
          </w:p>
        </w:tc>
      </w:tr>
      <w:tr>
        <w:trPr>
          <w:trHeight w:val="220"/>
        </w:trPr>
        <w:tc>
          <w:tcPr>
            <w:tcW w:w="2020" w:type="dxa"/>
            <w:vAlign w:val="bottom"/>
            <w:tcBorders>
              <w:left w:val="single" w:sz="8" w:color="auto"/>
              <w:bottom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Drug Signal Detected</w:t>
            </w:r>
          </w:p>
        </w:tc>
        <w:tc>
          <w:tcPr>
            <w:tcW w:w="106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N=15</w:t>
            </w:r>
          </w:p>
        </w:tc>
        <w:tc>
          <w:tcPr>
            <w:tcW w:w="204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w w:val="96"/>
              </w:rPr>
              <w:t>N=19</w:t>
            </w:r>
          </w:p>
        </w:tc>
        <w:tc>
          <w:tcPr>
            <w:tcW w:w="20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N=16</w:t>
            </w:r>
          </w:p>
        </w:tc>
      </w:tr>
      <w:tr>
        <w:trPr>
          <w:trHeight w:val="220"/>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2"/>
          </w:tcPr>
          <w:p>
            <w:pPr>
              <w:ind w:left="1220"/>
              <w:spacing w:after="0" w:line="220" w:lineRule="exact"/>
              <w:rPr>
                <w:sz w:val="20"/>
                <w:szCs w:val="20"/>
                <w:color w:val="auto"/>
              </w:rPr>
            </w:pPr>
            <w:r>
              <w:rPr>
                <w:rFonts w:ascii="Times New Roman" w:cs="Times New Roman" w:eastAsia="Times New Roman" w:hAnsi="Times New Roman"/>
                <w:sz w:val="20"/>
                <w:szCs w:val="20"/>
                <w:color w:val="auto"/>
              </w:rPr>
              <w:t>Number of ADA Positive Cases</w:t>
            </w:r>
          </w:p>
        </w:tc>
        <w:tc>
          <w:tcPr>
            <w:tcW w:w="2000" w:type="dxa"/>
            <w:vAlign w:val="bottom"/>
            <w:tcBorders>
              <w:bottom w:val="single" w:sz="8" w:color="auto"/>
              <w:right w:val="single" w:sz="8" w:color="auto"/>
            </w:tcBorders>
          </w:tcPr>
          <w:p>
            <w:pPr>
              <w:spacing w:after="0"/>
              <w:rPr>
                <w:sz w:val="19"/>
                <w:szCs w:val="19"/>
                <w:color w:val="auto"/>
              </w:rPr>
            </w:pPr>
          </w:p>
        </w:tc>
      </w:tr>
      <w:tr>
        <w:trPr>
          <w:trHeight w:val="220"/>
        </w:trPr>
        <w:tc>
          <w:tcPr>
            <w:tcW w:w="2020" w:type="dxa"/>
            <w:vAlign w:val="bottom"/>
            <w:tcBorders>
              <w:left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Total ADA Positive*</w:t>
            </w:r>
          </w:p>
        </w:tc>
        <w:tc>
          <w:tcPr>
            <w:tcW w:w="1060" w:type="dxa"/>
            <w:vAlign w:val="bottom"/>
            <w:tcBorders>
              <w:bottom w:val="single" w:sz="8" w:color="auto"/>
              <w:right w:val="single" w:sz="8" w:color="auto"/>
            </w:tcBorders>
          </w:tcPr>
          <w:p>
            <w:pPr>
              <w:ind w:left="420"/>
              <w:spacing w:after="0" w:line="220" w:lineRule="exact"/>
              <w:rPr>
                <w:sz w:val="20"/>
                <w:szCs w:val="20"/>
                <w:color w:val="auto"/>
              </w:rPr>
            </w:pPr>
            <w:r>
              <w:rPr>
                <w:rFonts w:ascii="Times New Roman" w:cs="Times New Roman" w:eastAsia="Times New Roman" w:hAnsi="Times New Roman"/>
                <w:sz w:val="20"/>
                <w:szCs w:val="20"/>
                <w:color w:val="auto"/>
              </w:rPr>
              <w:t>N</w:t>
            </w:r>
          </w:p>
        </w:tc>
        <w:tc>
          <w:tcPr>
            <w:tcW w:w="20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4</w:t>
            </w:r>
          </w:p>
        </w:tc>
        <w:tc>
          <w:tcPr>
            <w:tcW w:w="2040" w:type="dxa"/>
            <w:vAlign w:val="bottom"/>
            <w:tcBorders>
              <w:bottom w:val="single" w:sz="8" w:color="auto"/>
              <w:right w:val="single" w:sz="8" w:color="auto"/>
            </w:tcBorders>
          </w:tcPr>
          <w:p>
            <w:pPr>
              <w:jc w:val="center"/>
              <w:ind w:right="40"/>
              <w:spacing w:after="0" w:line="220" w:lineRule="exact"/>
              <w:rPr>
                <w:sz w:val="20"/>
                <w:szCs w:val="20"/>
                <w:color w:val="auto"/>
              </w:rPr>
            </w:pPr>
            <w:r>
              <w:rPr>
                <w:rFonts w:ascii="Times New Roman" w:cs="Times New Roman" w:eastAsia="Times New Roman" w:hAnsi="Times New Roman"/>
                <w:sz w:val="20"/>
                <w:szCs w:val="20"/>
                <w:color w:val="auto"/>
                <w:w w:val="99"/>
              </w:rPr>
              <w:t>2</w:t>
            </w:r>
          </w:p>
        </w:tc>
        <w:tc>
          <w:tcPr>
            <w:tcW w:w="20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6</w:t>
            </w:r>
          </w:p>
        </w:tc>
      </w:tr>
      <w:tr>
        <w:trPr>
          <w:trHeight w:val="220"/>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ind w:lef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27%</w:t>
            </w:r>
          </w:p>
        </w:tc>
        <w:tc>
          <w:tcPr>
            <w:tcW w:w="204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w w:val="98"/>
              </w:rPr>
              <w:t>11%</w:t>
            </w:r>
          </w:p>
        </w:tc>
        <w:tc>
          <w:tcPr>
            <w:tcW w:w="20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38%</w:t>
            </w: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ADA positive post dosing, increase in titer compared to pre-dose level</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 participants reported difficulty swallowing the capsule and capsule remnants passed from all participants without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sequelae.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Pharmacokinetics (“PK”)</w:t>
      </w:r>
    </w:p>
    <w:p>
      <w:pPr>
        <w:spacing w:after="0" w:line="245" w:lineRule="exact"/>
        <w:rPr>
          <w:sz w:val="20"/>
          <w:szCs w:val="20"/>
          <w:color w:val="auto"/>
        </w:rPr>
      </w:pPr>
    </w:p>
    <w:p>
      <w:pPr>
        <w:ind w:left="980" w:right="180" w:hanging="491"/>
        <w:spacing w:after="0" w:line="264"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Oral RT-111 delivered 0.5mg and 0.75mg of ustekinumab biosimilar with high bioavailability (estimated bioavailability of 84% for 0.5mg RT-111 relative to 0.5mg SC STELARA®).</w:t>
      </w:r>
    </w:p>
    <w:p>
      <w:pPr>
        <w:spacing w:after="0" w:line="209" w:lineRule="exact"/>
        <w:rPr>
          <w:sz w:val="20"/>
          <w:szCs w:val="20"/>
          <w:color w:val="auto"/>
        </w:rPr>
      </w:pPr>
    </w:p>
    <w:tbl>
      <w:tblPr>
        <w:tblLayout w:type="fixed"/>
        <w:tblInd w:w="810" w:type="dxa"/>
        <w:tblCellMar>
          <w:top w:w="0" w:type="dxa"/>
          <w:left w:w="0" w:type="dxa"/>
          <w:bottom w:w="0" w:type="dxa"/>
          <w:right w:w="0" w:type="dxa"/>
        </w:tblCellMar>
      </w:tblPr>
      <w:tr>
        <w:trPr>
          <w:trHeight w:val="240"/>
        </w:trPr>
        <w:tc>
          <w:tcPr>
            <w:tcW w:w="23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300" w:type="dxa"/>
            <w:vAlign w:val="bottom"/>
            <w:tcBorders>
              <w:top w:val="single" w:sz="8" w:color="auto"/>
              <w:bottom w:val="single" w:sz="8" w:color="auto"/>
              <w:right w:val="single" w:sz="8" w:color="auto"/>
            </w:tcBorders>
          </w:tcPr>
          <w:p>
            <w:pPr>
              <w:ind w:left="340"/>
              <w:spacing w:after="0" w:line="240" w:lineRule="exact"/>
              <w:rPr>
                <w:sz w:val="20"/>
                <w:szCs w:val="20"/>
                <w:color w:val="auto"/>
              </w:rPr>
            </w:pPr>
            <w:r>
              <w:rPr>
                <w:rFonts w:ascii="Times New Roman" w:cs="Times New Roman" w:eastAsia="Times New Roman" w:hAnsi="Times New Roman"/>
                <w:sz w:val="20"/>
                <w:szCs w:val="20"/>
                <w:color w:val="auto"/>
              </w:rPr>
              <w:t>Stelara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SC 0.50mg</w:t>
            </w:r>
          </w:p>
        </w:tc>
        <w:tc>
          <w:tcPr>
            <w:tcW w:w="228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RT-111 0.50mg</w:t>
            </w:r>
          </w:p>
        </w:tc>
        <w:tc>
          <w:tcPr>
            <w:tcW w:w="230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RT-111 0.75mg</w:t>
            </w:r>
          </w:p>
        </w:tc>
      </w:tr>
      <w:tr>
        <w:trPr>
          <w:trHeight w:val="220"/>
        </w:trPr>
        <w:tc>
          <w:tcPr>
            <w:tcW w:w="232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Cmax (ng/mL)</w:t>
            </w:r>
          </w:p>
        </w:tc>
        <w:tc>
          <w:tcPr>
            <w:tcW w:w="23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56 ± 4</w:t>
            </w:r>
          </w:p>
        </w:tc>
        <w:tc>
          <w:tcPr>
            <w:tcW w:w="22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67 ± 7</w:t>
            </w:r>
          </w:p>
        </w:tc>
        <w:tc>
          <w:tcPr>
            <w:tcW w:w="23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92 ± 8</w:t>
            </w:r>
          </w:p>
        </w:tc>
      </w:tr>
      <w:tr>
        <w:trPr>
          <w:trHeight w:val="220"/>
        </w:trPr>
        <w:tc>
          <w:tcPr>
            <w:tcW w:w="232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Tmax (days)</w:t>
            </w:r>
          </w:p>
        </w:tc>
        <w:tc>
          <w:tcPr>
            <w:tcW w:w="23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10 ± 0.8</w:t>
            </w:r>
          </w:p>
        </w:tc>
        <w:tc>
          <w:tcPr>
            <w:tcW w:w="22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3.1 ± 0.2*</w:t>
            </w:r>
          </w:p>
        </w:tc>
        <w:tc>
          <w:tcPr>
            <w:tcW w:w="23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3.3 ± 0.2*</w:t>
            </w:r>
          </w:p>
        </w:tc>
      </w:tr>
      <w:tr>
        <w:trPr>
          <w:trHeight w:val="220"/>
        </w:trPr>
        <w:tc>
          <w:tcPr>
            <w:tcW w:w="232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AUC (day*ng/mL)</w:t>
            </w:r>
          </w:p>
        </w:tc>
        <w:tc>
          <w:tcPr>
            <w:tcW w:w="23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1,566 ± 130</w:t>
            </w:r>
          </w:p>
        </w:tc>
        <w:tc>
          <w:tcPr>
            <w:tcW w:w="22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1,315 ± 150</w:t>
            </w:r>
          </w:p>
        </w:tc>
        <w:tc>
          <w:tcPr>
            <w:tcW w:w="23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1,814 ± 165</w:t>
            </w:r>
          </w:p>
        </w:tc>
      </w:tr>
      <w:tr>
        <w:trPr>
          <w:trHeight w:val="220"/>
        </w:trPr>
        <w:tc>
          <w:tcPr>
            <w:tcW w:w="232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Bioavailability</w:t>
            </w:r>
          </w:p>
        </w:tc>
        <w:tc>
          <w:tcPr>
            <w:tcW w:w="23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84%</w:t>
            </w:r>
          </w:p>
        </w:tc>
        <w:tc>
          <w:tcPr>
            <w:tcW w:w="23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89"/>
              </w:rPr>
              <w:t>--</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Data are Mean ± SE from all subjects, including those with anti-drug antibodies. *p&lt;0.0001 significantly different from SC group.</w:t>
      </w:r>
    </w:p>
    <w:p>
      <w:pPr>
        <w:sectPr>
          <w:pgSz w:w="12240" w:h="15840" w:orient="portrait"/>
          <w:cols w:equalWidth="0" w:num="1">
            <w:col w:w="10780"/>
          </w:cols>
          <w:pgMar w:left="720" w:top="93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780"/>
          </w:cols>
          <w:pgMar w:left="720" w:top="932" w:right="7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License and Supply Agreement</w:t>
      </w:r>
    </w:p>
    <w:p>
      <w:pPr>
        <w:spacing w:after="0" w:line="238" w:lineRule="exact"/>
        <w:rPr>
          <w:sz w:val="20"/>
          <w:szCs w:val="20"/>
          <w:color w:val="auto"/>
        </w:rPr>
      </w:pPr>
    </w:p>
    <w:p>
      <w:pPr>
        <w:ind w:right="220" w:firstLine="979"/>
        <w:spacing w:after="0" w:line="249" w:lineRule="auto"/>
        <w:rPr>
          <w:sz w:val="20"/>
          <w:szCs w:val="20"/>
          <w:color w:val="auto"/>
        </w:rPr>
      </w:pPr>
      <w:r>
        <w:rPr>
          <w:rFonts w:ascii="Times New Roman" w:cs="Times New Roman" w:eastAsia="Times New Roman" w:hAnsi="Times New Roman"/>
          <w:sz w:val="20"/>
          <w:szCs w:val="20"/>
          <w:color w:val="auto"/>
        </w:rPr>
        <w:t>In January 2023, we announced entering into a License and Supply Agreement with Celltrion under which we receive a license and supply of Celltrion’s ustekinumab biosimilar for development and commercialization of RT-111 worldwide, subject to a right of first negotiation for Celltrion following completion of a Phase 1 clinical trial that meets its primary endpoint(s). We believe the Phase 1 clinical trial that we completed with RT-111, the topline data of which we announced in February 2024, satisfies the requirements for triggering Celltrion’s right of first negotiation.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Next Steps</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We intend to advance clinical development of RT-111 at higher doses.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RT-102: Parathyroid hormone (PTH) for the treatment of osteoporosis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overview</w:t>
      </w:r>
    </w:p>
    <w:p>
      <w:pPr>
        <w:spacing w:after="0" w:line="238" w:lineRule="exact"/>
        <w:rPr>
          <w:sz w:val="20"/>
          <w:szCs w:val="20"/>
          <w:color w:val="auto"/>
        </w:rPr>
      </w:pPr>
    </w:p>
    <w:p>
      <w:pPr>
        <w:ind w:right="200" w:firstLine="979"/>
        <w:spacing w:after="0" w:line="258" w:lineRule="auto"/>
        <w:rPr>
          <w:sz w:val="20"/>
          <w:szCs w:val="20"/>
          <w:color w:val="auto"/>
        </w:rPr>
      </w:pPr>
      <w:r>
        <w:rPr>
          <w:rFonts w:ascii="Times New Roman" w:cs="Times New Roman" w:eastAsia="Times New Roman" w:hAnsi="Times New Roman"/>
          <w:sz w:val="20"/>
          <w:szCs w:val="20"/>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with age.</w:t>
      </w:r>
    </w:p>
    <w:p>
      <w:pPr>
        <w:spacing w:after="0" w:line="188"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PTH is an effective bone-building treatment for osteoporosis. PTH is a hormone secreted by the parathyroid glands that regulates serum calcium concentration and promotes bone growth. PTH therapies are delivered by daily subcutaneous injections for up to two years. Approximately ten million Americans suffer from osteoporosis; however, we estimate that only a small fraction of this population is being treated with a form of PTH. While there may be other reasons for this, we believe that patient aversion to daily injections may be a major factor. As a result, non-bone-building and less effective antiresorptive drugs are used as first line therapies because they are available in oral form.</w:t>
      </w:r>
    </w:p>
    <w:p>
      <w:pPr>
        <w:spacing w:after="0" w:line="200" w:lineRule="exact"/>
        <w:rPr>
          <w:sz w:val="20"/>
          <w:szCs w:val="20"/>
          <w:color w:val="auto"/>
        </w:rPr>
      </w:pPr>
    </w:p>
    <w:p>
      <w:pPr>
        <w:ind w:right="120" w:firstLine="979"/>
        <w:spacing w:after="0" w:line="252" w:lineRule="auto"/>
        <w:rPr>
          <w:sz w:val="20"/>
          <w:szCs w:val="20"/>
          <w:color w:val="auto"/>
        </w:rPr>
      </w:pPr>
      <w:r>
        <w:rPr>
          <w:rFonts w:ascii="Times New Roman" w:cs="Times New Roman" w:eastAsia="Times New Roman" w:hAnsi="Times New Roman"/>
          <w:sz w:val="20"/>
          <w:szCs w:val="20"/>
          <w:color w:val="auto"/>
        </w:rPr>
        <w:t>Teriparatide, a synthetic form of the natural human parathyroid hormone hPTH(1-34), is a PTH analog administered as a once-daily injection to treat osteoporosis, first developed by Eli Lilly and Company and sold under the brand name Forteo. Another PTH analog injectable is Tymlos by Radius Health, Inc., which was approved in 2017. A teriparatide biosimilar injectable by Pfenex, Inc. was approved in 2019. Annual sales revenue of PTH analogs and biosimilars globally in 2021 was approximately $2.0 billion.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solution: RT-102</w:t>
      </w:r>
    </w:p>
    <w:p>
      <w:pPr>
        <w:spacing w:after="0" w:line="238" w:lineRule="exact"/>
        <w:rPr>
          <w:sz w:val="20"/>
          <w:szCs w:val="20"/>
          <w:color w:val="auto"/>
        </w:rPr>
      </w:pPr>
    </w:p>
    <w:p>
      <w:pPr>
        <w:ind w:right="140" w:firstLine="979"/>
        <w:spacing w:after="0" w:line="258" w:lineRule="auto"/>
        <w:rPr>
          <w:sz w:val="20"/>
          <w:szCs w:val="20"/>
          <w:color w:val="auto"/>
        </w:rPr>
      </w:pPr>
      <w:r>
        <w:rPr>
          <w:rFonts w:ascii="Times New Roman" w:cs="Times New Roman" w:eastAsia="Times New Roman" w:hAnsi="Times New Roman"/>
          <w:sz w:val="20"/>
          <w:szCs w:val="20"/>
          <w:color w:val="auto"/>
        </w:rPr>
        <w:t>We are developing RT-102, the RaniPill capsule containing our novel formulation of PTH, for oral treatment of osteoporosis. We have worldwide commercial rights to RT-102. In addition to the existing market, we believe there is an opportunity to expand the market by advancing RT-102 as a first line therapy for osteoporosis.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pharmacodynamic study</w:t>
      </w:r>
    </w:p>
    <w:p>
      <w:pPr>
        <w:spacing w:after="0" w:line="238" w:lineRule="exact"/>
        <w:rPr>
          <w:sz w:val="20"/>
          <w:szCs w:val="20"/>
          <w:color w:val="auto"/>
        </w:rPr>
      </w:pPr>
    </w:p>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We conducted a 6-week pharmacodynamic study of the RT-102 drug substance PTH (1-34) to evaluate the effect of daily RT-102 drug substance (“DS”) intraperitoneal injections on bone mineral density in a rodent model of osteoporosis. The study compared two control groups of rodents undergoing sham surgery (N=10) and ovariectomy (N=10) receiving no drug, to three overiectomized groups each dosed with 5 mcg/kg per day of either RT-102 DS (N=10), teriparatide (N=10), or abaloparatide (N=10).</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study found that, following six weeks of treatment:</w:t>
      </w:r>
    </w:p>
    <w:p>
      <w:pPr>
        <w:spacing w:after="0" w:line="254" w:lineRule="exact"/>
        <w:rPr>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RT-102 DS increased bone mineral density (“BMD”) in a rat model of osteoporosis.</w:t>
      </w:r>
    </w:p>
    <w:p>
      <w:pPr>
        <w:spacing w:after="0" w:line="253" w:lineRule="exact"/>
        <w:rPr>
          <w:rFonts w:ascii="Arial" w:cs="Arial" w:eastAsia="Arial" w:hAnsi="Arial"/>
          <w:sz w:val="20"/>
          <w:szCs w:val="20"/>
          <w:color w:val="auto"/>
        </w:rPr>
      </w:pPr>
    </w:p>
    <w:p>
      <w:pPr>
        <w:ind w:left="980" w:right="78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RT-102 DS delivered via the intraperitoneal (“IP”) route of administration was biologically active comparable to subcutaneously injected PTH analogs.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trials</w:t>
      </w:r>
    </w:p>
    <w:p>
      <w:pPr>
        <w:spacing w:after="0" w:line="238" w:lineRule="exact"/>
        <w:rPr>
          <w:sz w:val="20"/>
          <w:szCs w:val="20"/>
          <w:color w:val="auto"/>
        </w:rPr>
      </w:pPr>
    </w:p>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In 2022, we completed a Phase 1 clinical trial with RT-102 in Australia. The study involved a single-ascending dose portion (“Study Part 1”) and a seven-day repeat-dose portion (“Study Part 2”). The Phase 1 study met all of its endpoints, RT-102 was well tolerated and delivery yielded high bioavailability (more than 300% greater bioavailability than subcutaneous injection). No serious adverse events were reported in the study. We plan to initiate a Phase 2 clinical trial of RT-102 in 2024.</w:t>
      </w:r>
    </w:p>
    <w:p>
      <w:pPr>
        <w:sectPr>
          <w:pgSz w:w="12240" w:h="15840" w:orient="portrait"/>
          <w:cols w:equalWidth="0" w:num="1">
            <w:col w:w="10800"/>
          </w:cols>
          <w:pgMar w:left="720" w:top="932" w:right="72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932" w:right="72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auto"/>
        </w:rPr>
        <w:t>Study Part 1 - Topline Results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Study Design</w:t>
      </w:r>
    </w:p>
    <w:p>
      <w:pPr>
        <w:spacing w:after="0" w:line="240" w:lineRule="exact"/>
        <w:rPr>
          <w:sz w:val="20"/>
          <w:szCs w:val="20"/>
          <w:color w:val="auto"/>
        </w:rPr>
      </w:pPr>
    </w:p>
    <w:p>
      <w:pPr>
        <w:ind w:right="280" w:firstLine="979"/>
        <w:spacing w:after="0" w:line="247" w:lineRule="auto"/>
        <w:rPr>
          <w:sz w:val="20"/>
          <w:szCs w:val="20"/>
          <w:color w:val="auto"/>
        </w:rPr>
      </w:pPr>
      <w:r>
        <w:rPr>
          <w:rFonts w:ascii="Times New Roman" w:cs="Times New Roman" w:eastAsia="Times New Roman" w:hAnsi="Times New Roman"/>
          <w:sz w:val="20"/>
          <w:szCs w:val="20"/>
          <w:color w:val="auto"/>
        </w:rPr>
        <w:t>The single-center, open label, Study Part 1 was conducted in Australia. The study evaluated the safety, tolerability, and pharmacokinetics of RT-102 in healthy adult female volunteers. Of the 39 participants, 15 were administered RT-102 containing a single 20 μg dose of PTH and 14 were administered RT-102 containing a single 80 μg dose of PTH, while a control group of ten participants received a single 20 μg subcutaneous injection (SC) of Forteo (teriparatide), a commercial formulation of PTH for subcutaneous administration. The endpoints of the study were safety and tolerability, and measurements of serum concentrations of RT-102 in healthy adult female volunteers.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Safety Data</w:t>
      </w:r>
    </w:p>
    <w:p>
      <w:pPr>
        <w:spacing w:after="0" w:line="254" w:lineRule="exact"/>
        <w:rPr>
          <w:sz w:val="20"/>
          <w:szCs w:val="20"/>
          <w:color w:val="auto"/>
        </w:rPr>
      </w:pPr>
    </w:p>
    <w:p>
      <w:pPr>
        <w:ind w:left="980" w:right="180" w:hanging="491"/>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In Study Part 1, RT-102 was generally well tolerated, with no RaniPill-related adverse events (“AEs”) observed in study participants:</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0% (0/15) of participants dosed with RT-102 20 μg experienced drug-related AEs.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14% (2/14) of participants dosed with of RT-102 80 μg experienced drug-related AEs.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50% (5/10) of participants dosed with 20 μg of Forteo SC experienced drug-related AEs.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There were no serious adverse events (“SAEs”) noted during Study Part 1.</w:t>
      </w:r>
    </w:p>
    <w:p>
      <w:pPr>
        <w:spacing w:after="0" w:line="239" w:lineRule="exact"/>
        <w:rPr>
          <w:sz w:val="20"/>
          <w:szCs w:val="20"/>
          <w:color w:val="auto"/>
        </w:rPr>
      </w:pPr>
    </w:p>
    <w:p>
      <w:pPr>
        <w:ind w:right="600" w:firstLine="979"/>
        <w:spacing w:after="0" w:line="252" w:lineRule="auto"/>
        <w:rPr>
          <w:sz w:val="20"/>
          <w:szCs w:val="20"/>
          <w:color w:val="auto"/>
        </w:rPr>
      </w:pPr>
      <w:r>
        <w:rPr>
          <w:rFonts w:ascii="Times New Roman" w:cs="Times New Roman" w:eastAsia="Times New Roman" w:hAnsi="Times New Roman"/>
          <w:sz w:val="20"/>
          <w:szCs w:val="20"/>
          <w:color w:val="auto"/>
        </w:rPr>
        <w:t>Per protocol, in instances where the RaniPill capsule did not exit the stomach within seven hours, participants were excluded from the study. Based on the exclusion criteria, three participants were excluded from Study Part 1, one of whom experienced bloating, and one additional subject was excluded due to vomiting the capsule intact. In all instances, the capsule remnants passed from all participants who ingested the RaniPill capsule.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Pharmacokinetics</w:t>
      </w:r>
    </w:p>
    <w:p>
      <w:pPr>
        <w:spacing w:after="0" w:line="254" w:lineRule="exact"/>
        <w:rPr>
          <w:sz w:val="20"/>
          <w:szCs w:val="20"/>
          <w:color w:val="auto"/>
        </w:rPr>
      </w:pPr>
    </w:p>
    <w:p>
      <w:pPr>
        <w:ind w:left="980" w:right="58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In Study Part 1, RT-102 (20 μg and 80 μg) orally delivered PTH with 300%-400% greater bioavailability than PTH delivered by Forteo SC (20 μg).</w:t>
      </w:r>
    </w:p>
    <w:p>
      <w:pPr>
        <w:spacing w:after="0" w:line="18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RT-102 20 μg delivered PTH with lower, more sustained peak serum levels and higher area under the curve (“AUC”) than Forteo SC 20 μg.</w:t>
      </w:r>
    </w:p>
    <w:p>
      <w:pPr>
        <w:spacing w:after="0" w:line="199" w:lineRule="exact"/>
        <w:rPr>
          <w:sz w:val="20"/>
          <w:szCs w:val="20"/>
          <w:color w:val="auto"/>
        </w:rPr>
      </w:pPr>
    </w:p>
    <w:tbl>
      <w:tblPr>
        <w:tblLayout w:type="fixed"/>
        <w:tblInd w:w="810" w:type="dxa"/>
        <w:tblCellMar>
          <w:top w:w="0" w:type="dxa"/>
          <w:left w:w="0" w:type="dxa"/>
          <w:bottom w:w="0" w:type="dxa"/>
          <w:right w:w="0" w:type="dxa"/>
        </w:tblCellMar>
      </w:tblPr>
      <w:tr>
        <w:trPr>
          <w:trHeight w:val="228"/>
        </w:trPr>
        <w:tc>
          <w:tcPr>
            <w:tcW w:w="2320" w:type="dxa"/>
            <w:vAlign w:val="bottom"/>
            <w:tcBorders>
              <w:bottom w:val="single" w:sz="8" w:color="auto"/>
              <w:right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ind w:left="440"/>
              <w:spacing w:after="0" w:line="229" w:lineRule="exact"/>
              <w:rPr>
                <w:sz w:val="20"/>
                <w:szCs w:val="20"/>
                <w:color w:val="auto"/>
              </w:rPr>
            </w:pPr>
            <w:r>
              <w:rPr>
                <w:rFonts w:ascii="Times New Roman" w:cs="Times New Roman" w:eastAsia="Times New Roman" w:hAnsi="Times New Roman"/>
                <w:sz w:val="20"/>
                <w:szCs w:val="20"/>
                <w:b w:val="1"/>
                <w:bCs w:val="1"/>
                <w:color w:val="auto"/>
              </w:rPr>
              <w:t>Forteo SC 20</w:t>
            </w:r>
          </w:p>
        </w:tc>
        <w:tc>
          <w:tcPr>
            <w:tcW w:w="220" w:type="dxa"/>
            <w:vAlign w:val="bottom"/>
            <w:tcBorders>
              <w:top w:val="single" w:sz="8" w:color="auto"/>
              <w:bottom w:val="single" w:sz="8" w:color="auto"/>
            </w:tcBorders>
            <w:shd w:val="clear" w:color="auto" w:fill="FEFEFE"/>
          </w:tcPr>
          <w:p>
            <w:pPr>
              <w:spacing w:after="0" w:line="229" w:lineRule="exact"/>
              <w:rPr>
                <w:sz w:val="20"/>
                <w:szCs w:val="20"/>
                <w:color w:val="auto"/>
              </w:rPr>
            </w:pPr>
            <w:r>
              <w:rPr>
                <w:rFonts w:ascii="Times New Roman" w:cs="Times New Roman" w:eastAsia="Times New Roman" w:hAnsi="Times New Roman"/>
                <w:sz w:val="20"/>
                <w:szCs w:val="20"/>
                <w:b w:val="1"/>
                <w:bCs w:val="1"/>
                <w:color w:val="auto"/>
                <w:highlight w:val="white"/>
                <w:w w:val="93"/>
              </w:rPr>
              <w:t>μg</w:t>
            </w:r>
          </w:p>
        </w:tc>
        <w:tc>
          <w:tcPr>
            <w:tcW w:w="480" w:type="dxa"/>
            <w:vAlign w:val="bottom"/>
            <w:tcBorders>
              <w:top w:val="single" w:sz="8" w:color="auto"/>
              <w:bottom w:val="single" w:sz="8" w:color="auto"/>
              <w:right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ind w:left="540"/>
              <w:spacing w:after="0" w:line="229" w:lineRule="exact"/>
              <w:rPr>
                <w:sz w:val="20"/>
                <w:szCs w:val="20"/>
                <w:color w:val="auto"/>
              </w:rPr>
            </w:pPr>
            <w:r>
              <w:rPr>
                <w:rFonts w:ascii="Times New Roman" w:cs="Times New Roman" w:eastAsia="Times New Roman" w:hAnsi="Times New Roman"/>
                <w:sz w:val="20"/>
                <w:szCs w:val="20"/>
                <w:b w:val="1"/>
                <w:bCs w:val="1"/>
                <w:color w:val="auto"/>
              </w:rPr>
              <w:t>RT-102 20</w:t>
            </w:r>
          </w:p>
        </w:tc>
        <w:tc>
          <w:tcPr>
            <w:tcW w:w="200" w:type="dxa"/>
            <w:vAlign w:val="bottom"/>
            <w:tcBorders>
              <w:top w:val="single" w:sz="8" w:color="auto"/>
              <w:bottom w:val="single" w:sz="8" w:color="auto"/>
            </w:tcBorders>
            <w:shd w:val="clear" w:color="auto" w:fill="FEFEFE"/>
          </w:tcPr>
          <w:p>
            <w:pPr>
              <w:spacing w:after="0" w:line="229" w:lineRule="exact"/>
              <w:rPr>
                <w:sz w:val="20"/>
                <w:szCs w:val="20"/>
                <w:color w:val="auto"/>
              </w:rPr>
            </w:pPr>
            <w:r>
              <w:rPr>
                <w:rFonts w:ascii="Times New Roman" w:cs="Times New Roman" w:eastAsia="Times New Roman" w:hAnsi="Times New Roman"/>
                <w:sz w:val="20"/>
                <w:szCs w:val="20"/>
                <w:b w:val="1"/>
                <w:bCs w:val="1"/>
                <w:color w:val="auto"/>
                <w:highlight w:val="white"/>
                <w:w w:val="84"/>
              </w:rPr>
              <w:t>μg</w:t>
            </w:r>
          </w:p>
        </w:tc>
        <w:tc>
          <w:tcPr>
            <w:tcW w:w="580" w:type="dxa"/>
            <w:vAlign w:val="bottom"/>
            <w:tcBorders>
              <w:top w:val="single" w:sz="8" w:color="auto"/>
              <w:bottom w:val="single" w:sz="8" w:color="auto"/>
              <w:right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rPr>
              <w:t>RT-102 80</w:t>
            </w:r>
          </w:p>
        </w:tc>
        <w:tc>
          <w:tcPr>
            <w:tcW w:w="220" w:type="dxa"/>
            <w:vAlign w:val="bottom"/>
            <w:tcBorders>
              <w:top w:val="single" w:sz="8" w:color="auto"/>
              <w:bottom w:val="single" w:sz="8" w:color="auto"/>
            </w:tcBorders>
            <w:shd w:val="clear" w:color="auto" w:fill="FEFEFE"/>
          </w:tcPr>
          <w:p>
            <w:pPr>
              <w:spacing w:after="0" w:line="229" w:lineRule="exact"/>
              <w:rPr>
                <w:sz w:val="20"/>
                <w:szCs w:val="20"/>
                <w:color w:val="auto"/>
              </w:rPr>
            </w:pPr>
            <w:r>
              <w:rPr>
                <w:rFonts w:ascii="Times New Roman" w:cs="Times New Roman" w:eastAsia="Times New Roman" w:hAnsi="Times New Roman"/>
                <w:sz w:val="20"/>
                <w:szCs w:val="20"/>
                <w:b w:val="1"/>
                <w:bCs w:val="1"/>
                <w:color w:val="auto"/>
                <w:highlight w:val="white"/>
                <w:w w:val="93"/>
              </w:rPr>
              <w:t>μg</w:t>
            </w:r>
          </w:p>
        </w:tc>
        <w:tc>
          <w:tcPr>
            <w:tcW w:w="5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2320" w:type="dxa"/>
            <w:vAlign w:val="bottom"/>
            <w:tcBorders>
              <w:left w:val="single" w:sz="8" w:color="auto"/>
              <w:bottom w:val="single" w:sz="8" w:color="auto"/>
              <w:right w:val="single" w:sz="8" w:color="auto"/>
            </w:tcBorders>
          </w:tcPr>
          <w:p>
            <w:pPr>
              <w:ind w:left="120"/>
              <w:spacing w:after="0" w:line="208" w:lineRule="exact"/>
              <w:rPr>
                <w:sz w:val="20"/>
                <w:szCs w:val="20"/>
                <w:color w:val="auto"/>
              </w:rPr>
            </w:pPr>
            <w:r>
              <w:rPr>
                <w:rFonts w:ascii="Times New Roman" w:cs="Times New Roman" w:eastAsia="Times New Roman" w:hAnsi="Times New Roman"/>
                <w:sz w:val="20"/>
                <w:szCs w:val="20"/>
                <w:b w:val="1"/>
                <w:bCs w:val="1"/>
                <w:color w:val="auto"/>
              </w:rPr>
              <w:t>Cmax (pg/mL)</w:t>
            </w:r>
          </w:p>
        </w:tc>
        <w:tc>
          <w:tcPr>
            <w:tcW w:w="1600" w:type="dxa"/>
            <w:vAlign w:val="bottom"/>
            <w:tcBorders>
              <w:bottom w:val="single" w:sz="8" w:color="auto"/>
            </w:tcBorders>
          </w:tcPr>
          <w:p>
            <w:pPr>
              <w:jc w:val="center"/>
              <w:ind w:left="560"/>
              <w:spacing w:after="0" w:line="208" w:lineRule="exact"/>
              <w:rPr>
                <w:sz w:val="20"/>
                <w:szCs w:val="20"/>
                <w:color w:val="auto"/>
              </w:rPr>
            </w:pPr>
            <w:r>
              <w:rPr>
                <w:rFonts w:ascii="Times New Roman" w:cs="Times New Roman" w:eastAsia="Times New Roman" w:hAnsi="Times New Roman"/>
                <w:sz w:val="20"/>
                <w:szCs w:val="20"/>
                <w:color w:val="auto"/>
                <w:w w:val="98"/>
              </w:rPr>
              <w:t>128 ± 20</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640"/>
              <w:spacing w:after="0" w:line="208" w:lineRule="exact"/>
              <w:rPr>
                <w:sz w:val="20"/>
                <w:szCs w:val="20"/>
                <w:color w:val="auto"/>
              </w:rPr>
            </w:pPr>
            <w:r>
              <w:rPr>
                <w:rFonts w:ascii="Times New Roman" w:cs="Times New Roman" w:eastAsia="Times New Roman" w:hAnsi="Times New Roman"/>
                <w:sz w:val="20"/>
                <w:szCs w:val="20"/>
                <w:color w:val="auto"/>
                <w:w w:val="98"/>
              </w:rPr>
              <w:t>98 ± 10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971 ± 223</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08"/>
        </w:trPr>
        <w:tc>
          <w:tcPr>
            <w:tcW w:w="2320" w:type="dxa"/>
            <w:vAlign w:val="bottom"/>
            <w:tcBorders>
              <w:left w:val="single" w:sz="8" w:color="auto"/>
              <w:bottom w:val="single" w:sz="8" w:color="auto"/>
              <w:right w:val="single" w:sz="8" w:color="auto"/>
            </w:tcBorders>
          </w:tcPr>
          <w:p>
            <w:pPr>
              <w:ind w:left="120"/>
              <w:spacing w:after="0" w:line="208" w:lineRule="exact"/>
              <w:rPr>
                <w:sz w:val="20"/>
                <w:szCs w:val="20"/>
                <w:color w:val="auto"/>
              </w:rPr>
            </w:pPr>
            <w:r>
              <w:rPr>
                <w:rFonts w:ascii="Times New Roman" w:cs="Times New Roman" w:eastAsia="Times New Roman" w:hAnsi="Times New Roman"/>
                <w:sz w:val="20"/>
                <w:szCs w:val="20"/>
                <w:b w:val="1"/>
                <w:bCs w:val="1"/>
                <w:color w:val="auto"/>
              </w:rPr>
              <w:t>Tmax (hr)</w:t>
            </w:r>
          </w:p>
        </w:tc>
        <w:tc>
          <w:tcPr>
            <w:tcW w:w="1600" w:type="dxa"/>
            <w:vAlign w:val="bottom"/>
            <w:tcBorders>
              <w:bottom w:val="single" w:sz="8" w:color="auto"/>
            </w:tcBorders>
          </w:tcPr>
          <w:p>
            <w:pPr>
              <w:jc w:val="center"/>
              <w:ind w:left="560"/>
              <w:spacing w:after="0" w:line="208" w:lineRule="exact"/>
              <w:rPr>
                <w:sz w:val="20"/>
                <w:szCs w:val="20"/>
                <w:color w:val="auto"/>
              </w:rPr>
            </w:pPr>
            <w:r>
              <w:rPr>
                <w:rFonts w:ascii="Times New Roman" w:cs="Times New Roman" w:eastAsia="Times New Roman" w:hAnsi="Times New Roman"/>
                <w:sz w:val="20"/>
                <w:szCs w:val="20"/>
                <w:color w:val="auto"/>
              </w:rPr>
              <w:t>0.217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640"/>
              <w:spacing w:after="0" w:line="208" w:lineRule="exact"/>
              <w:rPr>
                <w:sz w:val="20"/>
                <w:szCs w:val="20"/>
                <w:color w:val="auto"/>
              </w:rPr>
            </w:pPr>
            <w:r>
              <w:rPr>
                <w:rFonts w:ascii="Times New Roman" w:cs="Times New Roman" w:eastAsia="Times New Roman" w:hAnsi="Times New Roman"/>
                <w:sz w:val="20"/>
                <w:szCs w:val="20"/>
                <w:color w:val="auto"/>
              </w:rPr>
              <w:t>1.13</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680"/>
              <w:spacing w:after="0" w:line="208" w:lineRule="exact"/>
              <w:rPr>
                <w:sz w:val="20"/>
                <w:szCs w:val="20"/>
                <w:color w:val="auto"/>
              </w:rPr>
            </w:pPr>
            <w:r>
              <w:rPr>
                <w:rFonts w:ascii="Times New Roman" w:cs="Times New Roman" w:eastAsia="Times New Roman" w:hAnsi="Times New Roman"/>
                <w:sz w:val="20"/>
                <w:szCs w:val="20"/>
                <w:color w:val="auto"/>
                <w:w w:val="97"/>
              </w:rPr>
              <w:t>0.994</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08"/>
        </w:trPr>
        <w:tc>
          <w:tcPr>
            <w:tcW w:w="2320" w:type="dxa"/>
            <w:vAlign w:val="bottom"/>
            <w:tcBorders>
              <w:left w:val="single" w:sz="8" w:color="auto"/>
              <w:bottom w:val="single" w:sz="8" w:color="auto"/>
              <w:right w:val="single" w:sz="8" w:color="auto"/>
            </w:tcBorders>
          </w:tcPr>
          <w:p>
            <w:pPr>
              <w:ind w:left="120"/>
              <w:spacing w:after="0" w:line="208" w:lineRule="exact"/>
              <w:rPr>
                <w:sz w:val="20"/>
                <w:szCs w:val="20"/>
                <w:color w:val="auto"/>
              </w:rPr>
            </w:pPr>
            <w:r>
              <w:rPr>
                <w:rFonts w:ascii="Times New Roman" w:cs="Times New Roman" w:eastAsia="Times New Roman" w:hAnsi="Times New Roman"/>
                <w:sz w:val="20"/>
                <w:szCs w:val="20"/>
                <w:b w:val="1"/>
                <w:bCs w:val="1"/>
                <w:color w:val="auto"/>
              </w:rPr>
              <w:t>AUC (h*pg/mL)</w:t>
            </w:r>
          </w:p>
        </w:tc>
        <w:tc>
          <w:tcPr>
            <w:tcW w:w="1600" w:type="dxa"/>
            <w:vAlign w:val="bottom"/>
            <w:tcBorders>
              <w:bottom w:val="single" w:sz="8" w:color="auto"/>
            </w:tcBorders>
          </w:tcPr>
          <w:p>
            <w:pPr>
              <w:jc w:val="center"/>
              <w:ind w:left="560"/>
              <w:spacing w:after="0" w:line="208" w:lineRule="exact"/>
              <w:rPr>
                <w:sz w:val="20"/>
                <w:szCs w:val="20"/>
                <w:color w:val="auto"/>
              </w:rPr>
            </w:pPr>
            <w:r>
              <w:rPr>
                <w:rFonts w:ascii="Times New Roman" w:cs="Times New Roman" w:eastAsia="Times New Roman" w:hAnsi="Times New Roman"/>
                <w:sz w:val="20"/>
                <w:szCs w:val="20"/>
                <w:color w:val="auto"/>
                <w:w w:val="98"/>
              </w:rPr>
              <w:t>126 ± 64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640"/>
              <w:spacing w:after="0" w:line="208" w:lineRule="exact"/>
              <w:rPr>
                <w:sz w:val="20"/>
                <w:szCs w:val="20"/>
                <w:color w:val="auto"/>
              </w:rPr>
            </w:pPr>
            <w:r>
              <w:rPr>
                <w:rFonts w:ascii="Times New Roman" w:cs="Times New Roman" w:eastAsia="Times New Roman" w:hAnsi="Times New Roman"/>
                <w:sz w:val="20"/>
                <w:szCs w:val="20"/>
                <w:color w:val="auto"/>
              </w:rPr>
              <w:t>342 ± 36</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left="460"/>
              <w:spacing w:after="0" w:line="208" w:lineRule="exact"/>
              <w:rPr>
                <w:sz w:val="20"/>
                <w:szCs w:val="20"/>
                <w:color w:val="auto"/>
              </w:rPr>
            </w:pPr>
            <w:r>
              <w:rPr>
                <w:rFonts w:ascii="Times New Roman" w:cs="Times New Roman" w:eastAsia="Times New Roman" w:hAnsi="Times New Roman"/>
                <w:sz w:val="20"/>
                <w:szCs w:val="20"/>
                <w:color w:val="auto"/>
              </w:rPr>
              <w:t>2600 ± 649</w:t>
            </w:r>
          </w:p>
        </w:tc>
        <w:tc>
          <w:tcPr>
            <w:tcW w:w="58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ind w:left="120"/>
              <w:spacing w:after="0" w:line="208" w:lineRule="exact"/>
              <w:rPr>
                <w:sz w:val="20"/>
                <w:szCs w:val="20"/>
                <w:color w:val="auto"/>
              </w:rPr>
            </w:pPr>
            <w:r>
              <w:rPr>
                <w:rFonts w:ascii="Times New Roman" w:cs="Times New Roman" w:eastAsia="Times New Roman" w:hAnsi="Times New Roman"/>
                <w:sz w:val="20"/>
                <w:szCs w:val="20"/>
                <w:b w:val="1"/>
                <w:bCs w:val="1"/>
                <w:color w:val="auto"/>
              </w:rPr>
              <w:t>Relative BA (5)</w:t>
            </w:r>
          </w:p>
        </w:tc>
        <w:tc>
          <w:tcPr>
            <w:tcW w:w="2300" w:type="dxa"/>
            <w:vAlign w:val="bottom"/>
            <w:tcBorders>
              <w:bottom w:val="single" w:sz="8" w:color="auto"/>
              <w:right w:val="single" w:sz="8" w:color="auto"/>
            </w:tcBorders>
            <w:gridSpan w:val="3"/>
          </w:tcPr>
          <w:p>
            <w:pPr>
              <w:ind w:left="960"/>
              <w:spacing w:after="0" w:line="208" w:lineRule="exact"/>
              <w:rPr>
                <w:sz w:val="20"/>
                <w:szCs w:val="20"/>
                <w:color w:val="auto"/>
              </w:rPr>
            </w:pPr>
            <w:r>
              <w:rPr>
                <w:rFonts w:ascii="Times New Roman" w:cs="Times New Roman" w:eastAsia="Times New Roman" w:hAnsi="Times New Roman"/>
                <w:sz w:val="20"/>
                <w:szCs w:val="20"/>
                <w:color w:val="auto"/>
              </w:rPr>
              <w:t>N/A</w:t>
            </w:r>
          </w:p>
        </w:tc>
        <w:tc>
          <w:tcPr>
            <w:tcW w:w="1500" w:type="dxa"/>
            <w:vAlign w:val="bottom"/>
            <w:tcBorders>
              <w:bottom w:val="single" w:sz="8" w:color="auto"/>
            </w:tcBorders>
          </w:tcPr>
          <w:p>
            <w:pPr>
              <w:jc w:val="center"/>
              <w:ind w:left="660"/>
              <w:spacing w:after="0" w:line="208" w:lineRule="exact"/>
              <w:rPr>
                <w:sz w:val="20"/>
                <w:szCs w:val="20"/>
                <w:color w:val="auto"/>
              </w:rPr>
            </w:pPr>
            <w:r>
              <w:rPr>
                <w:rFonts w:ascii="Times New Roman" w:cs="Times New Roman" w:eastAsia="Times New Roman" w:hAnsi="Times New Roman"/>
                <w:sz w:val="20"/>
                <w:szCs w:val="20"/>
                <w:color w:val="auto"/>
              </w:rPr>
              <w:t>~300%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680"/>
              <w:spacing w:after="0" w:line="208" w:lineRule="exact"/>
              <w:rPr>
                <w:sz w:val="20"/>
                <w:szCs w:val="20"/>
                <w:color w:val="auto"/>
              </w:rPr>
            </w:pPr>
            <w:r>
              <w:rPr>
                <w:rFonts w:ascii="Times New Roman" w:cs="Times New Roman" w:eastAsia="Times New Roman" w:hAnsi="Times New Roman"/>
                <w:sz w:val="20"/>
                <w:szCs w:val="20"/>
                <w:color w:val="auto"/>
                <w:w w:val="97"/>
              </w:rPr>
              <w:t>~400%</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Device Performance</w:t>
      </w:r>
    </w:p>
    <w:p>
      <w:pPr>
        <w:spacing w:after="0" w:line="254" w:lineRule="exact"/>
        <w:rPr>
          <w:sz w:val="20"/>
          <w:szCs w:val="20"/>
          <w:color w:val="auto"/>
        </w:rPr>
      </w:pPr>
    </w:p>
    <w:p>
      <w:pPr>
        <w:ind w:left="98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Two versions of the RaniPill capsule were used during Study Part 1: Version C, which was used in our prior Phase 1 study of octreotide (which also utilized a Version A and Version B); and Version D, the latest iteration of the RaniPill capsule.</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RaniPill Version D demonstrated a higher drug delivery success rate than Version C:</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1"/>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95% (20/21) of participants received successful drug delivery when ingesting RaniPill Version D.</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1"/>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75% (6/8) of participants received successful drug delivery when ingesting RaniPill Version C.</w:t>
      </w:r>
    </w:p>
    <w:p>
      <w:pPr>
        <w:spacing w:after="0" w:line="239" w:lineRule="exact"/>
        <w:rPr>
          <w:sz w:val="20"/>
          <w:szCs w:val="20"/>
          <w:color w:val="auto"/>
        </w:rPr>
      </w:pPr>
    </w:p>
    <w:p>
      <w:pPr>
        <w:ind w:right="80" w:firstLine="979"/>
        <w:spacing w:after="0" w:line="277" w:lineRule="auto"/>
        <w:rPr>
          <w:sz w:val="20"/>
          <w:szCs w:val="20"/>
          <w:color w:val="auto"/>
        </w:rPr>
      </w:pPr>
      <w:r>
        <w:rPr>
          <w:rFonts w:ascii="Times New Roman" w:cs="Times New Roman" w:eastAsia="Times New Roman" w:hAnsi="Times New Roman"/>
          <w:sz w:val="20"/>
          <w:szCs w:val="20"/>
          <w:color w:val="auto"/>
        </w:rPr>
        <w:t>The device performance analysis does not include participants excluded from the study per protocol, as drug delivery was not measured in such participants.</w:t>
      </w:r>
    </w:p>
    <w:p>
      <w:pPr>
        <w:sectPr>
          <w:pgSz w:w="12240" w:h="15840" w:orient="portrait"/>
          <w:cols w:equalWidth="0" w:num="1">
            <w:col w:w="10800"/>
          </w:cols>
          <w:pgMar w:left="720" w:top="93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932" w:right="72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auto"/>
        </w:rPr>
        <w:t>Study Part 2 - Topline Results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Study Design</w:t>
      </w:r>
    </w:p>
    <w:p>
      <w:pPr>
        <w:spacing w:after="0" w:line="240"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Study Part 2 was a continuation of Rani’s single-center, open-label Phase 1 study of RT-102 conducted in Australia. The study evaluated the safety and tolerability of once-daily administration of RT-102 containing 20 μg of PTH given repeatedly for seven consecutive days in ten healthy female volunteers (five of whom were post-menopausal). Complete pharmacokinetic profiles of PTH were obtained for each subject on Day 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Safety Data</w:t>
      </w:r>
    </w:p>
    <w:p>
      <w:pPr>
        <w:spacing w:after="0" w:line="254" w:lineRule="exact"/>
        <w:rPr>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RT-102 was generally well tolerated, with no serious adverse events noted during the study</w:t>
      </w:r>
    </w:p>
    <w:p>
      <w:pPr>
        <w:spacing w:after="0" w:line="253" w:lineRule="exact"/>
        <w:rPr>
          <w:rFonts w:ascii="Arial" w:cs="Arial" w:eastAsia="Arial" w:hAnsi="Arial"/>
          <w:sz w:val="20"/>
          <w:szCs w:val="20"/>
          <w:color w:val="auto"/>
        </w:rPr>
      </w:pPr>
    </w:p>
    <w:p>
      <w:pPr>
        <w:ind w:left="1460" w:right="540" w:hanging="481"/>
        <w:spacing w:after="0" w:line="276" w:lineRule="auto"/>
        <w:tabs>
          <w:tab w:leader="none" w:pos="1460" w:val="left"/>
        </w:tabs>
        <w:numPr>
          <w:ilvl w:val="1"/>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None of the participants withdrew from the repeat-dose study due to any adverse event related to the RaniPill capsule or due to difficulty swallowing the capsule</w:t>
      </w:r>
    </w:p>
    <w:p>
      <w:pPr>
        <w:spacing w:after="0" w:line="184" w:lineRule="exact"/>
        <w:rPr>
          <w:rFonts w:ascii="Arial" w:cs="Arial" w:eastAsia="Arial" w:hAnsi="Arial"/>
          <w:sz w:val="20"/>
          <w:szCs w:val="20"/>
          <w:color w:val="auto"/>
        </w:rPr>
      </w:pPr>
    </w:p>
    <w:p>
      <w:pPr>
        <w:ind w:left="1460" w:hanging="481"/>
        <w:spacing w:after="0"/>
        <w:tabs>
          <w:tab w:leader="none" w:pos="1460" w:val="left"/>
        </w:tabs>
        <w:numPr>
          <w:ilvl w:val="1"/>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Two subjects had transient, mild-to-moderate adverse events which resolved without any intervention</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Device remnants were excreted without sequelae in all subjects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Pharmacokinetics</w:t>
      </w:r>
    </w:p>
    <w:p>
      <w:pPr>
        <w:spacing w:after="0" w:line="254" w:lineRule="exact"/>
        <w:rPr>
          <w:sz w:val="20"/>
          <w:szCs w:val="20"/>
          <w:color w:val="auto"/>
        </w:rPr>
      </w:pPr>
    </w:p>
    <w:p>
      <w:pPr>
        <w:ind w:left="980" w:right="50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RT-102 delivered 20 μg of PTH with high bioavailability (relative to 20 μg SC Forteo (teriparatide) in Study Part 1, confirming the high bioavailability of PTH delivered via the RaniPill capsule observed during Study Part 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Device Performance</w:t>
      </w:r>
    </w:p>
    <w:p>
      <w:pPr>
        <w:spacing w:after="0" w:line="254" w:lineRule="exact"/>
        <w:rPr>
          <w:sz w:val="20"/>
          <w:szCs w:val="20"/>
          <w:color w:val="auto"/>
        </w:rPr>
      </w:pPr>
    </w:p>
    <w:p>
      <w:pPr>
        <w:ind w:left="980" w:right="16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In all ten participants who completed seven days of daily, consecutive dosing, the RaniPill capsule demonstrated an overall drug delivery success rate of 91% over the seven days (drug sampling was done at three, six and nine hours after capsule swallowing on Days 1-6).</w:t>
      </w:r>
    </w:p>
    <w:p>
      <w:pPr>
        <w:spacing w:after="0" w:line="201" w:lineRule="exact"/>
        <w:rPr>
          <w:rFonts w:ascii="Arial" w:cs="Arial" w:eastAsia="Arial" w:hAnsi="Arial"/>
          <w:sz w:val="20"/>
          <w:szCs w:val="20"/>
          <w:color w:val="auto"/>
        </w:rPr>
      </w:pPr>
    </w:p>
    <w:p>
      <w:pPr>
        <w:ind w:left="980" w:right="20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On Day 7, with more frequent, serial drug sampling after capsule swallowing on that day, the drug delivery success rate was 100%.</w:t>
      </w:r>
    </w:p>
    <w:p>
      <w:pPr>
        <w:spacing w:after="0" w:line="184" w:lineRule="exact"/>
        <w:rPr>
          <w:rFonts w:ascii="Arial" w:cs="Arial" w:eastAsia="Arial" w:hAnsi="Arial"/>
          <w:sz w:val="20"/>
          <w:szCs w:val="20"/>
          <w:color w:val="auto"/>
        </w:rPr>
      </w:pPr>
    </w:p>
    <w:p>
      <w:pPr>
        <w:ind w:left="980" w:right="64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On Days 1 through 6, participants ate food three hours after administration of the RaniPill capsule. The number of successful deployments was comparable before and after food was consumed.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w:t>
      </w:r>
    </w:p>
    <w:p>
      <w:pPr>
        <w:spacing w:after="0" w:line="238" w:lineRule="exact"/>
        <w:rPr>
          <w:sz w:val="20"/>
          <w:szCs w:val="20"/>
          <w:color w:val="auto"/>
        </w:rPr>
      </w:pPr>
    </w:p>
    <w:p>
      <w:pPr>
        <w:ind w:right="120" w:firstLine="979"/>
        <w:spacing w:after="0" w:line="258" w:lineRule="auto"/>
        <w:rPr>
          <w:sz w:val="20"/>
          <w:szCs w:val="20"/>
          <w:color w:val="auto"/>
        </w:rPr>
      </w:pPr>
      <w:r>
        <w:rPr>
          <w:rFonts w:ascii="Times New Roman" w:cs="Times New Roman" w:eastAsia="Times New Roman" w:hAnsi="Times New Roman"/>
          <w:sz w:val="20"/>
          <w:szCs w:val="20"/>
          <w:color w:val="auto"/>
        </w:rPr>
        <w:t>We have completed a pre-IND meeting with the FDA with respect to RT-102. Following feedback from the meeting, we believe that a 505(b)(2) pathway is suitable for the development of RT-102 in the U.S. In addition, we obtained guidance from the FDA on our preclinical and clinical development plans for RT-102. We intend to initiate a Phase 2 clinical trial of RT-102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RT-105: Anti-TNF-alpha antibody for the treatment of psoriatic arthritis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overview</w:t>
      </w:r>
    </w:p>
    <w:p>
      <w:pPr>
        <w:spacing w:after="0" w:line="238"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$21.2 billion in 2022. Adalimumab is approved by the FDA and EMA to treat a range of autoimmune conditions, including psoriasis, rheumatoid arthritis, and Crohn’s disease. In the U.S. alone, there are an estimated one and one-half million patients with rheumatoid arthritis, seven million with psoriasis, and three million with Crohn’s disease or ulcerative colitis. At least eight Humira biosimilars entered the U.S. market over the course of 2023.</w:t>
      </w:r>
    </w:p>
    <w:p>
      <w:pPr>
        <w:spacing w:after="0" w:line="200" w:lineRule="exact"/>
        <w:rPr>
          <w:sz w:val="20"/>
          <w:szCs w:val="20"/>
          <w:color w:val="auto"/>
        </w:rPr>
      </w:pPr>
    </w:p>
    <w:p>
      <w:pPr>
        <w:ind w:right="280" w:firstLine="979"/>
        <w:spacing w:after="0" w:line="277" w:lineRule="auto"/>
        <w:rPr>
          <w:sz w:val="20"/>
          <w:szCs w:val="20"/>
          <w:color w:val="auto"/>
        </w:rPr>
      </w:pPr>
      <w:r>
        <w:rPr>
          <w:rFonts w:ascii="Times New Roman" w:cs="Times New Roman" w:eastAsia="Times New Roman" w:hAnsi="Times New Roman"/>
          <w:sz w:val="20"/>
          <w:szCs w:val="20"/>
          <w:color w:val="auto"/>
        </w:rPr>
        <w:t>Patients who use adalimumab administer the drug through a subcutaneous injection once every two weeks. Despite the painful injections required to administer it, adalimumab was the best-selling drug globally in 2020.</w:t>
      </w:r>
    </w:p>
    <w:p>
      <w:pPr>
        <w:sectPr>
          <w:pgSz w:w="12240" w:h="15840" w:orient="portrait"/>
          <w:cols w:equalWidth="0" w:num="1">
            <w:col w:w="10760"/>
          </w:cols>
          <w:pgMar w:left="720" w:top="932"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760"/>
          </w:cols>
          <w:pgMar w:left="720" w:top="932" w:right="7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i w:val="1"/>
          <w:iCs w:val="1"/>
          <w:color w:val="auto"/>
        </w:rPr>
        <w:t>Our solution: RT-105</w:t>
      </w:r>
    </w:p>
    <w:p>
      <w:pPr>
        <w:spacing w:after="0" w:line="238" w:lineRule="exact"/>
        <w:rPr>
          <w:sz w:val="20"/>
          <w:szCs w:val="20"/>
          <w:color w:val="auto"/>
        </w:rPr>
      </w:pPr>
    </w:p>
    <w:p>
      <w:pPr>
        <w:ind w:right="100" w:firstLine="979"/>
        <w:spacing w:after="0" w:line="247" w:lineRule="auto"/>
        <w:rPr>
          <w:sz w:val="20"/>
          <w:szCs w:val="20"/>
          <w:color w:val="auto"/>
        </w:rPr>
      </w:pPr>
      <w:r>
        <w:rPr>
          <w:rFonts w:ascii="Times New Roman" w:cs="Times New Roman" w:eastAsia="Times New Roman" w:hAnsi="Times New Roman"/>
          <w:sz w:val="20"/>
          <w:szCs w:val="20"/>
          <w:color w:val="auto"/>
        </w:rPr>
        <w:t>We are developing RT-105, the RaniPill capsule containing a formulation of adalimumab, for oral treatment of a host of inflammatory conditions, beginning with treatment of psoriatic arthritis and later expanding to other indications for which TNF-alpha inhibitors are approved. We believe that the development of an orally administered anti-TNF-alpha antibody represents a significant market opportunity. In June 2023, we entered into a License and Supply Agreement with Celltrion under which we receive an exclusive license and supply of Celltrion’s adalimumab biosimilar for development and commercialization of RT-105 worldwide, subject to a right of first negotiation for Celltrion.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studies</w:t>
      </w:r>
    </w:p>
    <w:p>
      <w:pPr>
        <w:spacing w:after="0" w:line="238" w:lineRule="exact"/>
        <w:rPr>
          <w:sz w:val="20"/>
          <w:szCs w:val="20"/>
          <w:color w:val="auto"/>
        </w:rPr>
      </w:pPr>
    </w:p>
    <w:p>
      <w:pPr>
        <w:ind w:right="180" w:firstLine="979"/>
        <w:spacing w:after="0" w:line="252" w:lineRule="auto"/>
        <w:rPr>
          <w:sz w:val="20"/>
          <w:szCs w:val="20"/>
          <w:color w:val="auto"/>
        </w:rPr>
      </w:pPr>
      <w:r>
        <w:rPr>
          <w:rFonts w:ascii="Times New Roman" w:cs="Times New Roman" w:eastAsia="Times New Roman" w:hAnsi="Times New Roman"/>
          <w:sz w:val="20"/>
          <w:szCs w:val="20"/>
          <w:color w:val="auto"/>
        </w:rPr>
        <w:t>We evaluated the performance of RT-105 containing an adalimumab biosimilar in awake canines and compared it to the performance of the adalimumab biosimilar given by way of subcutaneous and intravenous injection. The PK profile for RT-105 was comparable to the profile for subcutaneous administration, and mean bioavailability for RT-105 was 49%, compared to 46% with subcutaneous injection.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Endoscopic administration of adalimumab into the jejunum of healthy human volunteers</w:t>
      </w:r>
    </w:p>
    <w:p>
      <w:pPr>
        <w:spacing w:after="0" w:line="240"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To assess whether the observations from preclinical studies regarding absorption of adalimumab through the intestinal wall translate to clinical trials, we conducted an endoscopic study in humans. The study involved ten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a 14-day study period.</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PK profiles were similar with no notable differences observed in either area under the curve (“AUC”) or maximum serum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concentration (“Cmax”). The mean AUC was 62.7 ± 11.4 μg/ml*day*kg/mg for the subcutaneous group and 45.0 ± 29.0</w:t>
      </w:r>
    </w:p>
    <w:p>
      <w:pPr>
        <w:spacing w:after="0"/>
        <w:rPr>
          <w:sz w:val="20"/>
          <w:szCs w:val="20"/>
          <w:color w:val="auto"/>
        </w:rPr>
      </w:pPr>
      <w:r>
        <w:rPr>
          <w:rFonts w:ascii="Times New Roman" w:cs="Times New Roman" w:eastAsia="Times New Roman" w:hAnsi="Times New Roman"/>
          <w:sz w:val="20"/>
          <w:szCs w:val="20"/>
          <w:color w:val="auto"/>
        </w:rPr>
        <w:t>μg/ml*day*kg/mg for the intrajejunal group. No serious adverse events were noted in this study, and adverse events of headache and</w:t>
      </w:r>
    </w:p>
    <w:p>
      <w:pPr>
        <w:spacing w:after="0"/>
        <w:rPr>
          <w:sz w:val="20"/>
          <w:szCs w:val="20"/>
          <w:color w:val="auto"/>
        </w:rPr>
      </w:pPr>
      <w:r>
        <w:rPr>
          <w:rFonts w:ascii="Times New Roman" w:cs="Times New Roman" w:eastAsia="Times New Roman" w:hAnsi="Times New Roman"/>
          <w:sz w:val="20"/>
          <w:szCs w:val="20"/>
          <w:color w:val="auto"/>
        </w:rPr>
        <w:t>flu-like symptoms after intrajejunal administration resolved within 48 hours. The results are consistent with data obtained in</w:t>
      </w:r>
    </w:p>
    <w:p>
      <w:pPr>
        <w:spacing w:after="0"/>
        <w:rPr>
          <w:sz w:val="20"/>
          <w:szCs w:val="20"/>
          <w:color w:val="auto"/>
        </w:rPr>
      </w:pPr>
      <w:r>
        <w:rPr>
          <w:rFonts w:ascii="Times New Roman" w:cs="Times New Roman" w:eastAsia="Times New Roman" w:hAnsi="Times New Roman"/>
          <w:sz w:val="20"/>
          <w:szCs w:val="20"/>
          <w:color w:val="auto"/>
        </w:rPr>
        <w:t>preclinical studies, confirming intrajejunal delivery as a viable route of delivery for adalimumab.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Next Steps</w:t>
      </w:r>
    </w:p>
    <w:p>
      <w:pPr>
        <w:spacing w:after="0" w:line="238" w:lineRule="exact"/>
        <w:rPr>
          <w:sz w:val="20"/>
          <w:szCs w:val="20"/>
          <w:color w:val="auto"/>
        </w:rPr>
      </w:pPr>
    </w:p>
    <w:p>
      <w:pPr>
        <w:ind w:right="140" w:firstLine="979"/>
        <w:spacing w:after="0" w:line="249" w:lineRule="auto"/>
        <w:rPr>
          <w:sz w:val="20"/>
          <w:szCs w:val="20"/>
          <w:color w:val="auto"/>
        </w:rPr>
      </w:pPr>
      <w:r>
        <w:rPr>
          <w:rFonts w:ascii="Times New Roman" w:cs="Times New Roman" w:eastAsia="Times New Roman" w:hAnsi="Times New Roman"/>
          <w:sz w:val="20"/>
          <w:szCs w:val="20"/>
          <w:color w:val="auto"/>
        </w:rPr>
        <w:t>In November 2023, we announced the pausing of development of RT-105 as part of a strategic focusing of the business. The next milestone for this program will be to initiate a Phase 1 clinical trial of RT-105. Under the Celltrion Agreement for adalimumab, Celltrion will have a right to terminate the agreement if we do not initiate a Phase 1 clinical trial with RT-105, or fail to deliver to Celltrion topline data from a Phase 1 trial that meets its primary endpoint(s), within certain agreed time periods. We anticipate resuming this program in time to enable us to satisfy these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RT-110: PTH for the treatment of hypoparathyroidism</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overview</w:t>
      </w:r>
    </w:p>
    <w:p>
      <w:pPr>
        <w:spacing w:after="0" w:line="238" w:lineRule="exact"/>
        <w:rPr>
          <w:sz w:val="20"/>
          <w:szCs w:val="20"/>
          <w:color w:val="auto"/>
        </w:rPr>
      </w:pPr>
    </w:p>
    <w:p>
      <w:pPr>
        <w:ind w:right="20" w:firstLine="979"/>
        <w:spacing w:after="0" w:line="252" w:lineRule="auto"/>
        <w:rPr>
          <w:sz w:val="20"/>
          <w:szCs w:val="20"/>
          <w:color w:val="auto"/>
        </w:rPr>
      </w:pPr>
      <w:r>
        <w:rPr>
          <w:rFonts w:ascii="Times New Roman" w:cs="Times New Roman" w:eastAsia="Times New Roman" w:hAnsi="Times New Roman"/>
          <w:sz w:val="20"/>
          <w:szCs w:val="20"/>
          <w:color w:val="auto"/>
        </w:rPr>
        <w:t>Hypoparathyroidism is a rare condition of low levels of serum PTH resulting in low calcium levels in the blood. The prevalence of hypoparathyroidism in the United States is approximately 115,000 people. PTH is currently approved for the treatment of hypoparathyroidism by the FDA and EMA. PTH treatment requires lifelong daily injections but has suboptimal efficacy. Treatment of hypoparathyroidism is most effective with consistent and sustained plasma levels of PTH.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solution: RT-110</w:t>
      </w:r>
    </w:p>
    <w:p>
      <w:pPr>
        <w:spacing w:after="0" w:line="238"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We are developing RT-110, the RaniPill capsule containing our second novel formulation of PTH, for oral treatment of hypoparathyroidism. We are creating a sustained release formulation of RT-110 which is intended to provide continuous exposures of the hormone required to normalize the calcium imbalance in hypoparathyroidism patients. We have worldwide commercial rights to RT-110. We believe that there is an unmet need for a delivery method more convenient than injection, and we further believe that the RaniPill capsule could provide for a treatment regimen that can better maintain consistent and sustained plasma levels of PTH than the current treatment regimen of daily PTH injections.</w:t>
      </w:r>
    </w:p>
    <w:p>
      <w:pPr>
        <w:sectPr>
          <w:pgSz w:w="12240" w:h="15840" w:orient="portrait"/>
          <w:cols w:equalWidth="0" w:num="1">
            <w:col w:w="10780"/>
          </w:cols>
          <w:pgMar w:left="720" w:top="93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780"/>
          </w:cols>
          <w:pgMar w:left="720" w:top="932" w:right="74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i w:val="1"/>
          <w:iCs w:val="1"/>
          <w:color w:val="auto"/>
        </w:rPr>
        <w:t>Next Steps</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In November 2023, we announced the pausing of development of RT-110 as part of a strategic focusing of the business.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next milestone for this program would be to initiate a Phase 1 clinical trial in healthy volunteers.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Market and Our Strategy</w:t>
      </w:r>
    </w:p>
    <w:p>
      <w:pPr>
        <w:spacing w:after="0" w:line="244"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More than half of the adult population of the U.S. has one or more chronic diseases. The affected population is expected to continue to grow as the population ages. Chronic conditions, including autoimmune diseases, metabolic disorders, cancers, and cardiovascular diseases are increasingly being treated with biologics. In 2022, six of the ten highest revenue-producing drugs in the world were biologics. Current treatments using biologics are primarily via injections.</w:t>
      </w:r>
    </w:p>
    <w:p>
      <w:pPr>
        <w:spacing w:after="0" w:line="194" w:lineRule="exact"/>
        <w:rPr>
          <w:sz w:val="20"/>
          <w:szCs w:val="20"/>
          <w:color w:val="auto"/>
        </w:rPr>
      </w:pPr>
    </w:p>
    <w:p>
      <w:pPr>
        <w:ind w:right="40" w:firstLine="979"/>
        <w:spacing w:after="0" w:line="252" w:lineRule="auto"/>
        <w:rPr>
          <w:sz w:val="20"/>
          <w:szCs w:val="20"/>
          <w:color w:val="auto"/>
        </w:rPr>
      </w:pPr>
      <w:r>
        <w:rPr>
          <w:rFonts w:ascii="Times New Roman" w:cs="Times New Roman" w:eastAsia="Times New Roman" w:hAnsi="Times New Roman"/>
          <w:sz w:val="20"/>
          <w:szCs w:val="20"/>
          <w:color w:val="auto"/>
        </w:rPr>
        <w:t>Biologics, the fastest growing segment of the drug industry, refers to a broad class of drugs that are derived from living sources. Biologics are distinguished from small molecules, like aspirin, which derive from chemistry. Biologics include, for example, recombinant therapeutic proteins, peptides, and monoclonal antibodies, as well as cell and gene therapies. The global biologics market size is estimated to be $429.5 billion in 2024 and is expected to reach $601.26 billion by 2029.</w:t>
      </w:r>
    </w:p>
    <w:p>
      <w:pPr>
        <w:spacing w:after="0" w:line="194" w:lineRule="exact"/>
        <w:rPr>
          <w:sz w:val="20"/>
          <w:szCs w:val="20"/>
          <w:color w:val="auto"/>
        </w:rPr>
      </w:pPr>
    </w:p>
    <w:p>
      <w:pPr>
        <w:ind w:right="120" w:firstLine="979"/>
        <w:spacing w:after="0" w:line="247" w:lineRule="auto"/>
        <w:rPr>
          <w:sz w:val="20"/>
          <w:szCs w:val="20"/>
          <w:color w:val="auto"/>
        </w:rPr>
      </w:pPr>
      <w:r>
        <w:rPr>
          <w:rFonts w:ascii="Times New Roman" w:cs="Times New Roman" w:eastAsia="Times New Roman" w:hAnsi="Times New Roman"/>
          <w:sz w:val="20"/>
          <w:szCs w:val="20"/>
          <w:color w:val="auto"/>
        </w:rPr>
        <w:t>Biologics must generally be administered through intravenous, intramuscular, or subcutaneous injection. Patient aversion to injections has promoted a significant interest in the development of solutions to enable the oral delivery of biologics. However, a significant hurdle is the ability to achieve sufficient bioavailability with oral biologics to produce an intended therapeutic effect. Bioavailability refers to the proportion of a delivered dose that reaches the bloodstream in active form. Attempts at oral delivery of biotherapeutics have remained largely unsuccessful due to the rapid degradation and digestion of biologics in the gastrointestinal (“GI”) environment before they can be absorbed into the bloodstream.</w:t>
      </w:r>
    </w:p>
    <w:p>
      <w:pPr>
        <w:spacing w:after="0" w:line="200"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Our solution is a novel, proprietary and patented platform technology referred to as the RaniPill capsule, an orally ingestible pill designed to automatically deploy in the small intestine to administer a precise therapeutic dose of a biologic into the intestinal wall. Our several preclinical studies and clinical trials have demonstrated bioavailability of biologics dosed via the RaniPill capsule that is generally comparable to the bioavailability of biologics dosed subcutaneously, with high dosing accuracy: this level of bioavailability is significantly higher than any that has been demonstrated with respect to others’ attempts at oral delivery of biologics.</w:t>
      </w:r>
    </w:p>
    <w:p>
      <w:pPr>
        <w:spacing w:after="0" w:line="197" w:lineRule="exact"/>
        <w:rPr>
          <w:sz w:val="20"/>
          <w:szCs w:val="20"/>
          <w:color w:val="auto"/>
        </w:rPr>
      </w:pPr>
    </w:p>
    <w:p>
      <w:pPr>
        <w:ind w:right="180" w:firstLine="979"/>
        <w:spacing w:after="0" w:line="246" w:lineRule="auto"/>
        <w:rPr>
          <w:sz w:val="20"/>
          <w:szCs w:val="20"/>
          <w:color w:val="auto"/>
        </w:rPr>
      </w:pPr>
      <w:r>
        <w:rPr>
          <w:rFonts w:ascii="Times New Roman" w:cs="Times New Roman" w:eastAsia="Times New Roman" w:hAnsi="Times New Roman"/>
          <w:sz w:val="20"/>
          <w:szCs w:val="20"/>
          <w:color w:val="auto"/>
        </w:rPr>
        <w:t>We are pursuing a number of clinical and preclinical pipeline programs utilizing our RaniPill capsule. In addition, our newly designed high-capacity oral biologic delivery device, the RaniPill HC, has the potential to deliver 500%-plus higher payloads than our current RaniPill GO capsule. We believe this is a significant breakthrough in drug delivery with the potential to provide expansive opportunities for the company, such that we could potentially pursue a convenient dosing option for over 50 additional biologics, for internal development or through partnership, including such biologics as dupilumab, pembrolizumab, etanercept, trastuzumab and secukinumab. We believe that oral biologics utilizing our RaniPill technology have the potential to disrupt the large and growing biologics market.</w:t>
      </w:r>
    </w:p>
    <w:p>
      <w:pPr>
        <w:spacing w:after="0" w:line="200" w:lineRule="exact"/>
        <w:rPr>
          <w:sz w:val="20"/>
          <w:szCs w:val="20"/>
          <w:color w:val="auto"/>
        </w:rPr>
      </w:pPr>
    </w:p>
    <w:p>
      <w:pPr>
        <w:ind w:right="20" w:firstLine="979"/>
        <w:spacing w:after="0" w:line="247" w:lineRule="auto"/>
        <w:rPr>
          <w:sz w:val="20"/>
          <w:szCs w:val="20"/>
          <w:color w:val="auto"/>
        </w:rPr>
      </w:pPr>
      <w:r>
        <w:rPr>
          <w:rFonts w:ascii="Times New Roman" w:cs="Times New Roman" w:eastAsia="Times New Roman" w:hAnsi="Times New Roman"/>
          <w:sz w:val="20"/>
          <w:szCs w:val="20"/>
          <w:color w:val="auto"/>
        </w:rPr>
        <w:t>Our strategic vision is to disrupt and expand the market currently served by injectable only therapeutic biologics. We plan to do this by developing and advancing a pipeline of oral biologics therapies to unlock the value of these assets and to progress platform development and by actively pursuing partnering of the technology with third party biopharmaceutical companies for the oral delivery of their biologics and drugs. We also intend to explore opportunities to demonstrate the potential of the delivery platform in additional modalities and therapeutics areas. We believe that the RaniPill capsule has the potential to improve the lives of millions of patients with chronic diseases who currently depend on biologics and drugs available only as injections.</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Our strategy includes the following aspects.</w:t>
      </w:r>
    </w:p>
    <w:p>
      <w:pPr>
        <w:spacing w:after="0" w:line="250" w:lineRule="exact"/>
        <w:rPr>
          <w:sz w:val="20"/>
          <w:szCs w:val="20"/>
          <w:color w:val="auto"/>
        </w:rPr>
      </w:pPr>
    </w:p>
    <w:p>
      <w:pPr>
        <w:ind w:left="1240" w:right="80" w:hanging="370"/>
        <w:spacing w:after="0" w:line="253"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Pursue validated and commercially established market opportunities. </w:t>
      </w:r>
      <w:r>
        <w:rPr>
          <w:rFonts w:ascii="Times New Roman" w:cs="Times New Roman" w:eastAsia="Times New Roman" w:hAnsi="Times New Roman"/>
          <w:sz w:val="20"/>
          <w:szCs w:val="20"/>
          <w:color w:val="auto"/>
        </w:rPr>
        <w:t>We intend to pursue high-value markets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biologics that are already approved or validated where we can develop differentiated products. We believe that these products will take market share from available therapies, while also expanding existing markets by reaching new patient populations that otherwise are not being treated by injectable biologics.</w:t>
      </w:r>
    </w:p>
    <w:p>
      <w:pPr>
        <w:spacing w:after="0" w:line="203" w:lineRule="exact"/>
        <w:rPr>
          <w:rFonts w:ascii="Arial" w:cs="Arial" w:eastAsia="Arial" w:hAnsi="Arial"/>
          <w:sz w:val="20"/>
          <w:szCs w:val="20"/>
          <w:color w:val="auto"/>
        </w:rPr>
      </w:pPr>
    </w:p>
    <w:p>
      <w:pPr>
        <w:ind w:left="1240" w:right="60" w:hanging="370"/>
        <w:spacing w:after="0" w:line="260"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Expand in-house manufacturing of the RaniPill capsule. </w:t>
      </w:r>
      <w:r>
        <w:rPr>
          <w:rFonts w:ascii="Times New Roman" w:cs="Times New Roman" w:eastAsia="Times New Roman" w:hAnsi="Times New Roman"/>
          <w:sz w:val="20"/>
          <w:szCs w:val="20"/>
          <w:color w:val="auto"/>
        </w:rPr>
        <w:t>We have vertically integrated our manufacturing, and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continue to scale and optimize our manufacturing processes by expanding our use of automation. For commercial scale manufacturing, we will consider engaging one or more third party contract manufacturers,</w:t>
      </w:r>
    </w:p>
    <w:p>
      <w:pPr>
        <w:spacing w:after="0" w:line="195" w:lineRule="exact"/>
        <w:rPr>
          <w:rFonts w:ascii="Arial" w:cs="Arial" w:eastAsia="Arial" w:hAnsi="Arial"/>
          <w:sz w:val="20"/>
          <w:szCs w:val="20"/>
          <w:color w:val="auto"/>
        </w:rPr>
      </w:pPr>
    </w:p>
    <w:p>
      <w:pPr>
        <w:ind w:left="1240" w:right="140" w:hanging="370"/>
        <w:spacing w:after="0" w:line="260" w:lineRule="auto"/>
        <w:tabs>
          <w:tab w:leader="none" w:pos="124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Invest in RaniPill capsule capabilities. </w:t>
      </w:r>
      <w:r>
        <w:rPr>
          <w:rFonts w:ascii="Times New Roman" w:cs="Times New Roman" w:eastAsia="Times New Roman" w:hAnsi="Times New Roman"/>
          <w:sz w:val="20"/>
          <w:szCs w:val="20"/>
          <w:color w:val="auto"/>
        </w:rPr>
        <w:t>We intend to become a leader in oral biologics by continuing to invest in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such as by expanding payload capacity and developing novel biologic formulations to maximize the number of therapeutic targets and addressable markets.</w:t>
      </w:r>
    </w:p>
    <w:p>
      <w:pPr>
        <w:sectPr>
          <w:pgSz w:w="12240" w:h="15840" w:orient="portrait"/>
          <w:cols w:equalWidth="0" w:num="1">
            <w:col w:w="10800"/>
          </w:cols>
          <w:pgMar w:left="720" w:top="932" w:right="72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932" w:right="720" w:bottom="0" w:gutter="0" w:footer="0" w:header="0"/>
          <w:type w:val="continuous"/>
        </w:sectPr>
      </w:pPr>
    </w:p>
    <w:bookmarkStart w:id="16" w:name="page17"/>
    <w:bookmarkEnd w:id="16"/>
    <w:p>
      <w:pPr>
        <w:ind w:left="1240" w:hanging="370"/>
        <w:spacing w:after="0" w:line="260" w:lineRule="auto"/>
        <w:tabs>
          <w:tab w:leader="none" w:pos="124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Expand our reach by selectively entering into strategic partnerships. </w:t>
      </w:r>
      <w:r>
        <w:rPr>
          <w:rFonts w:ascii="Times New Roman" w:cs="Times New Roman" w:eastAsia="Times New Roman" w:hAnsi="Times New Roman"/>
          <w:sz w:val="20"/>
          <w:szCs w:val="20"/>
          <w:color w:val="auto"/>
        </w:rPr>
        <w:t>We are actively exploring strategic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partnerships to enable us to expand our commercial reach and enable oral administration of a broader array of biologics and drugs.</w:t>
      </w:r>
    </w:p>
    <w:p>
      <w:pPr>
        <w:spacing w:after="0" w:line="195" w:lineRule="exact"/>
        <w:rPr>
          <w:rFonts w:ascii="Arial" w:cs="Arial" w:eastAsia="Arial" w:hAnsi="Arial"/>
          <w:sz w:val="20"/>
          <w:szCs w:val="20"/>
          <w:color w:val="auto"/>
        </w:rPr>
      </w:pPr>
    </w:p>
    <w:p>
      <w:pPr>
        <w:ind w:left="1240" w:right="80" w:hanging="370"/>
        <w:spacing w:after="0" w:line="260" w:lineRule="auto"/>
        <w:tabs>
          <w:tab w:leader="none" w:pos="124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Continue to strengthen our intellectual property portfolio. </w:t>
      </w:r>
      <w:r>
        <w:rPr>
          <w:rFonts w:ascii="Times New Roman" w:cs="Times New Roman" w:eastAsia="Times New Roman" w:hAnsi="Times New Roman"/>
          <w:sz w:val="20"/>
          <w:szCs w:val="20"/>
          <w:color w:val="auto"/>
        </w:rPr>
        <w:t>Our patent portfolio has helped establish us as a leading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oral biologics company. We plan to continue to innovate and expand our intellectual property by developing further innovations and new applications of the RaniPill capsule.</w:t>
      </w:r>
    </w:p>
    <w:p>
      <w:pPr>
        <w:spacing w:after="0" w:line="186" w:lineRule="exact"/>
        <w:rPr>
          <w:sz w:val="20"/>
          <w:szCs w:val="20"/>
          <w:color w:val="auto"/>
        </w:rPr>
      </w:pPr>
    </w:p>
    <w:p>
      <w:pPr>
        <w:jc w:val="both"/>
        <w:ind w:right="240" w:firstLine="979"/>
        <w:spacing w:after="0" w:line="258" w:lineRule="auto"/>
        <w:rPr>
          <w:sz w:val="20"/>
          <w:szCs w:val="20"/>
          <w:color w:val="auto"/>
        </w:rPr>
      </w:pPr>
      <w:r>
        <w:rPr>
          <w:rFonts w:ascii="Times New Roman" w:cs="Times New Roman" w:eastAsia="Times New Roman" w:hAnsi="Times New Roman"/>
          <w:sz w:val="20"/>
          <w:szCs w:val="20"/>
          <w:color w:val="auto"/>
        </w:rPr>
        <w:t>Rani LLC was founded by Mir Imran, our Chairman of the Board, who continues to contribute to our strategic planning and product development. Mir Imran has a background in medicine and engineering, is a prolific inventor and a serial entrepreneur, having founded more than 20 life sciences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Platform Technology</w:t>
      </w:r>
    </w:p>
    <w:p>
      <w:pPr>
        <w:spacing w:after="0" w:line="244" w:lineRule="exact"/>
        <w:rPr>
          <w:sz w:val="20"/>
          <w:szCs w:val="20"/>
          <w:color w:val="auto"/>
        </w:rPr>
      </w:pPr>
    </w:p>
    <w:p>
      <w:pPr>
        <w:ind w:right="280" w:firstLine="979"/>
        <w:spacing w:after="0" w:line="249" w:lineRule="auto"/>
        <w:rPr>
          <w:sz w:val="20"/>
          <w:szCs w:val="20"/>
          <w:color w:val="auto"/>
        </w:rPr>
      </w:pPr>
      <w:r>
        <w:rPr>
          <w:rFonts w:ascii="Times New Roman" w:cs="Times New Roman" w:eastAsia="Times New Roman" w:hAnsi="Times New Roman"/>
          <w:sz w:val="20"/>
          <w:szCs w:val="20"/>
          <w:color w:val="auto"/>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bioavailability.We are also developing a high-capacity version of the RaniPill capsule known as the RaniPill HC, which is intended to enable delivery of drug payloads up to 200μL in liquid form with high bioavailability.</w:t>
      </w:r>
    </w:p>
    <w:p>
      <w:pPr>
        <w:spacing w:after="0" w:line="197" w:lineRule="exact"/>
        <w:rPr>
          <w:sz w:val="20"/>
          <w:szCs w:val="20"/>
          <w:color w:val="auto"/>
        </w:rPr>
      </w:pPr>
    </w:p>
    <w:p>
      <w:pPr>
        <w:ind w:right="460" w:firstLine="979"/>
        <w:spacing w:after="0" w:line="277" w:lineRule="auto"/>
        <w:rPr>
          <w:sz w:val="20"/>
          <w:szCs w:val="20"/>
          <w:color w:val="auto"/>
        </w:rPr>
      </w:pPr>
      <w:r>
        <w:rPr>
          <w:rFonts w:ascii="Times New Roman" w:cs="Times New Roman" w:eastAsia="Times New Roman" w:hAnsi="Times New Roman"/>
          <w:sz w:val="20"/>
          <w:szCs w:val="20"/>
          <w:color w:val="auto"/>
        </w:rPr>
        <w:t>Each of our product candidates is a RaniPill capsule containing a biologic. We may use the term RaniPill platform or RaniPill device herein to refer to the physical structure and/or mechanisms of the RaniPill capsule absent a biologic.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RaniPill capsule</w:t>
      </w:r>
    </w:p>
    <w:p>
      <w:pPr>
        <w:spacing w:after="0" w:line="240" w:lineRule="exact"/>
        <w:rPr>
          <w:sz w:val="20"/>
          <w:szCs w:val="20"/>
          <w:color w:val="auto"/>
        </w:rPr>
      </w:pPr>
    </w:p>
    <w:p>
      <w:pPr>
        <w:ind w:right="140" w:firstLine="979"/>
        <w:spacing w:after="0" w:line="277" w:lineRule="auto"/>
        <w:rPr>
          <w:sz w:val="20"/>
          <w:szCs w:val="20"/>
          <w:color w:val="auto"/>
        </w:rPr>
      </w:pPr>
      <w:r>
        <w:rPr>
          <w:rFonts w:ascii="Times New Roman" w:cs="Times New Roman" w:eastAsia="Times New Roman" w:hAnsi="Times New Roman"/>
          <w:sz w:val="20"/>
          <w:szCs w:val="20"/>
          <w:color w:val="auto"/>
        </w:rPr>
        <w:t>The RaniPill capsule is a versatile, drug-agnostic, orally ingestible pill approximately the size of a fish oil or calcium pill or a ‘000’-sized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113665</wp:posOffset>
            </wp:positionV>
            <wp:extent cx="3098165" cy="2106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extLst>
                    </a:blip>
                    <a:srcRect/>
                    <a:stretch>
                      <a:fillRect/>
                    </a:stretch>
                  </pic:blipFill>
                  <pic:spPr bwMode="auto">
                    <a:xfrm>
                      <a:off x="0" y="0"/>
                      <a:ext cx="3098165"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RaniPill capsule in purple next to fish oil pills (gold) and calcium pills (white).</w:t>
      </w:r>
    </w:p>
    <w:p>
      <w:pPr>
        <w:spacing w:after="0" w:line="240" w:lineRule="exact"/>
        <w:rPr>
          <w:sz w:val="20"/>
          <w:szCs w:val="20"/>
          <w:color w:val="auto"/>
        </w:rPr>
      </w:pPr>
    </w:p>
    <w:p>
      <w:pPr>
        <w:ind w:right="40" w:firstLine="979"/>
        <w:spacing w:after="0" w:line="258" w:lineRule="auto"/>
        <w:rPr>
          <w:sz w:val="20"/>
          <w:szCs w:val="20"/>
          <w:color w:val="auto"/>
        </w:rPr>
      </w:pPr>
      <w:r>
        <w:rPr>
          <w:rFonts w:ascii="Times New Roman" w:cs="Times New Roman" w:eastAsia="Times New Roman" w:hAnsi="Times New Roman"/>
          <w:sz w:val="20"/>
          <w:szCs w:val="20"/>
          <w:color w:val="auto"/>
        </w:rPr>
        <w:t>The capsule includes a proprietary coating designed to withstand stomach acid but dissolve in the jejunum portion of the small intestine. Dissolution of the coating leads to a series of steps that result in a biologic being delivered into the highly vascularized wall of the small intestine so that the biologic can be absorbed into the vasculature and enter the bloodstream.</w:t>
      </w:r>
    </w:p>
    <w:p>
      <w:pPr>
        <w:sectPr>
          <w:pgSz w:w="12240" w:h="15840" w:orient="portrait"/>
          <w:cols w:equalWidth="0" w:num="1">
            <w:col w:w="10800"/>
          </w:cols>
          <w:pgMar w:left="720" w:top="9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940" w:right="720" w:bottom="0" w:gutter="0" w:footer="0" w:header="0"/>
          <w:type w:val="continuous"/>
        </w:sectPr>
      </w:pPr>
    </w:p>
    <w:bookmarkStart w:id="17" w:name="page18"/>
    <w:bookmarkEnd w:id="17"/>
    <w:p>
      <w:pPr>
        <w:ind w:right="420" w:firstLine="979"/>
        <w:spacing w:after="0" w:line="277" w:lineRule="auto"/>
        <w:rPr>
          <w:sz w:val="20"/>
          <w:szCs w:val="20"/>
          <w:color w:val="auto"/>
        </w:rPr>
      </w:pPr>
      <w:r>
        <w:rPr>
          <w:rFonts w:ascii="Times New Roman" w:cs="Times New Roman" w:eastAsia="Times New Roman" w:hAnsi="Times New Roman"/>
          <w:sz w:val="20"/>
          <w:szCs w:val="20"/>
          <w:color w:val="auto"/>
        </w:rPr>
        <w:t>The following illustrations depict the clinically tested RaniPill GO capsule traversing through and deploying within a lumen of the intestine illustrated in cross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306070</wp:posOffset>
            </wp:positionV>
            <wp:extent cx="6817995" cy="906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extLst>
                    </a:blip>
                    <a:srcRect/>
                    <a:stretch>
                      <a:fillRect/>
                    </a:stretch>
                  </pic:blipFill>
                  <pic:spPr bwMode="auto">
                    <a:xfrm>
                      <a:off x="0" y="0"/>
                      <a:ext cx="6817995" cy="90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60"/>
        <w:spacing w:after="0"/>
        <w:tabs>
          <w:tab w:leader="none" w:pos="3700" w:val="left"/>
          <w:tab w:leader="none" w:pos="6460" w:val="left"/>
          <w:tab w:leader="none" w:pos="9160" w:val="left"/>
        </w:tabs>
        <w:rPr>
          <w:sz w:val="20"/>
          <w:szCs w:val="20"/>
          <w:color w:val="auto"/>
        </w:rPr>
      </w:pPr>
      <w:r>
        <w:rPr>
          <w:rFonts w:ascii="Times New Roman" w:cs="Times New Roman" w:eastAsia="Times New Roman" w:hAnsi="Times New Roman"/>
          <w:sz w:val="20"/>
          <w:szCs w:val="20"/>
          <w:color w:val="auto"/>
        </w:rPr>
        <w:t>Panel A</w:t>
      </w:r>
      <w:r>
        <w:rPr>
          <w:sz w:val="20"/>
          <w:szCs w:val="20"/>
          <w:color w:val="auto"/>
        </w:rPr>
        <w:tab/>
      </w:r>
      <w:r>
        <w:rPr>
          <w:rFonts w:ascii="Times New Roman" w:cs="Times New Roman" w:eastAsia="Times New Roman" w:hAnsi="Times New Roman"/>
          <w:sz w:val="20"/>
          <w:szCs w:val="20"/>
          <w:color w:val="auto"/>
        </w:rPr>
        <w:t>Panel B</w:t>
      </w:r>
      <w:r>
        <w:rPr>
          <w:sz w:val="20"/>
          <w:szCs w:val="20"/>
          <w:color w:val="auto"/>
        </w:rPr>
        <w:tab/>
      </w:r>
      <w:r>
        <w:rPr>
          <w:rFonts w:ascii="Times New Roman" w:cs="Times New Roman" w:eastAsia="Times New Roman" w:hAnsi="Times New Roman"/>
          <w:sz w:val="20"/>
          <w:szCs w:val="20"/>
          <w:color w:val="auto"/>
        </w:rPr>
        <w:t>Panel C</w:t>
      </w:r>
      <w:r>
        <w:rPr>
          <w:sz w:val="20"/>
          <w:szCs w:val="20"/>
          <w:color w:val="auto"/>
        </w:rPr>
        <w:tab/>
      </w:r>
      <w:r>
        <w:rPr>
          <w:rFonts w:ascii="Times New Roman" w:cs="Times New Roman" w:eastAsia="Times New Roman" w:hAnsi="Times New Roman"/>
          <w:sz w:val="20"/>
          <w:szCs w:val="20"/>
          <w:color w:val="auto"/>
        </w:rPr>
        <w:t>Panel D</w:t>
      </w:r>
    </w:p>
    <w:p>
      <w:pPr>
        <w:spacing w:after="0" w:line="270" w:lineRule="exact"/>
        <w:rPr>
          <w:sz w:val="20"/>
          <w:szCs w:val="20"/>
          <w:color w:val="auto"/>
        </w:rPr>
      </w:pPr>
    </w:p>
    <w:p>
      <w:pPr>
        <w:ind w:left="720" w:right="1160"/>
        <w:spacing w:after="0" w:line="277" w:lineRule="auto"/>
        <w:rPr>
          <w:sz w:val="20"/>
          <w:szCs w:val="20"/>
          <w:color w:val="auto"/>
        </w:rPr>
      </w:pPr>
      <w:r>
        <w:rPr>
          <w:rFonts w:ascii="Times New Roman" w:cs="Times New Roman" w:eastAsia="Times New Roman" w:hAnsi="Times New Roman"/>
          <w:sz w:val="20"/>
          <w:szCs w:val="20"/>
          <w:u w:val="single" w:color="auto"/>
          <w:color w:val="auto"/>
        </w:rPr>
        <w:t>Panel A</w:t>
      </w:r>
      <w:r>
        <w:rPr>
          <w:rFonts w:ascii="Times New Roman" w:cs="Times New Roman" w:eastAsia="Times New Roman" w:hAnsi="Times New Roman"/>
          <w:sz w:val="20"/>
          <w:szCs w:val="20"/>
          <w:color w:val="auto"/>
        </w:rPr>
        <w:t>: As the RaniPill capsule exits the stomach and enters the small intestine, the higher pH environment of around 6.5 in the jejunum begins to dissolve the coating.</w:t>
      </w:r>
    </w:p>
    <w:p>
      <w:pPr>
        <w:spacing w:after="0" w:line="169" w:lineRule="exact"/>
        <w:rPr>
          <w:sz w:val="20"/>
          <w:szCs w:val="20"/>
          <w:color w:val="auto"/>
        </w:rPr>
      </w:pPr>
    </w:p>
    <w:p>
      <w:pPr>
        <w:ind w:left="720" w:right="900"/>
        <w:spacing w:after="0" w:line="277" w:lineRule="auto"/>
        <w:rPr>
          <w:sz w:val="20"/>
          <w:szCs w:val="20"/>
          <w:color w:val="auto"/>
        </w:rPr>
      </w:pPr>
      <w:r>
        <w:rPr>
          <w:rFonts w:ascii="Times New Roman" w:cs="Times New Roman" w:eastAsia="Times New Roman" w:hAnsi="Times New Roman"/>
          <w:sz w:val="20"/>
          <w:szCs w:val="20"/>
          <w:u w:val="single" w:color="auto"/>
          <w:color w:val="auto"/>
        </w:rPr>
        <w:t>Panel B</w:t>
      </w:r>
      <w:r>
        <w:rPr>
          <w:rFonts w:ascii="Times New Roman" w:cs="Times New Roman" w:eastAsia="Times New Roman" w:hAnsi="Times New Roman"/>
          <w:sz w:val="20"/>
          <w:szCs w:val="20"/>
          <w:color w:val="auto"/>
        </w:rPr>
        <w:t>: Dissolution of the coating exposes a balloon in the RaniPill capsule to intestinal fluid which results in the balloon self-inflating.</w:t>
      </w:r>
    </w:p>
    <w:p>
      <w:pPr>
        <w:spacing w:after="0" w:line="169" w:lineRule="exact"/>
        <w:rPr>
          <w:sz w:val="20"/>
          <w:szCs w:val="20"/>
          <w:color w:val="auto"/>
        </w:rPr>
      </w:pPr>
    </w:p>
    <w:p>
      <w:pPr>
        <w:ind w:left="720" w:right="820"/>
        <w:spacing w:after="0" w:line="252" w:lineRule="auto"/>
        <w:rPr>
          <w:sz w:val="20"/>
          <w:szCs w:val="20"/>
          <w:color w:val="auto"/>
        </w:rPr>
      </w:pPr>
      <w:r>
        <w:rPr>
          <w:rFonts w:ascii="Times New Roman" w:cs="Times New Roman" w:eastAsia="Times New Roman" w:hAnsi="Times New Roman"/>
          <w:sz w:val="20"/>
          <w:szCs w:val="20"/>
          <w:u w:val="single" w:color="auto"/>
          <w:color w:val="auto"/>
        </w:rPr>
        <w:t>Panel C</w:t>
      </w:r>
      <w:r>
        <w:rPr>
          <w:rFonts w:ascii="Times New Roman" w:cs="Times New Roman" w:eastAsia="Times New Roman" w:hAnsi="Times New Roman"/>
          <w:sz w:val="20"/>
          <w:szCs w:val="20"/>
          <w:color w:val="auto"/>
        </w:rPr>
        <w:t>: Inflation of the balloon orients a microneedle contained within the balloon approximately perpendicular to the intestinal wall. The pressure in the balloon delivers the microneedle, which is smaller than a grain of rice, into the intestinal wall. The microneedle dissolves in the moist tissue environment, and the drug is absorbed into the vasculature and thereby into the bloodstream.</w:t>
      </w:r>
    </w:p>
    <w:p>
      <w:pPr>
        <w:spacing w:after="0" w:line="194" w:lineRule="exact"/>
        <w:rPr>
          <w:sz w:val="20"/>
          <w:szCs w:val="20"/>
          <w:color w:val="auto"/>
        </w:rPr>
      </w:pPr>
    </w:p>
    <w:p>
      <w:pPr>
        <w:ind w:left="720" w:right="1120"/>
        <w:spacing w:after="0" w:line="277" w:lineRule="auto"/>
        <w:rPr>
          <w:sz w:val="20"/>
          <w:szCs w:val="20"/>
          <w:color w:val="auto"/>
        </w:rPr>
      </w:pPr>
      <w:r>
        <w:rPr>
          <w:rFonts w:ascii="Times New Roman" w:cs="Times New Roman" w:eastAsia="Times New Roman" w:hAnsi="Times New Roman"/>
          <w:sz w:val="20"/>
          <w:szCs w:val="20"/>
          <w:u w:val="single" w:color="auto"/>
          <w:color w:val="auto"/>
        </w:rPr>
        <w:t>Panel D</w:t>
      </w:r>
      <w:r>
        <w:rPr>
          <w:rFonts w:ascii="Times New Roman" w:cs="Times New Roman" w:eastAsia="Times New Roman" w:hAnsi="Times New Roman"/>
          <w:sz w:val="20"/>
          <w:szCs w:val="20"/>
          <w:color w:val="auto"/>
        </w:rPr>
        <w:t>: The balloon immediately deflates upon microneedle delivery and is excreted through normal digestive processes.</w:t>
      </w:r>
    </w:p>
    <w:p>
      <w:pPr>
        <w:spacing w:after="0" w:line="169" w:lineRule="exact"/>
        <w:rPr>
          <w:sz w:val="20"/>
          <w:szCs w:val="20"/>
          <w:color w:val="auto"/>
        </w:rPr>
      </w:pPr>
    </w:p>
    <w:p>
      <w:pPr>
        <w:ind w:right="800" w:firstLine="979"/>
        <w:spacing w:after="0" w:line="305" w:lineRule="auto"/>
        <w:rPr>
          <w:sz w:val="20"/>
          <w:szCs w:val="20"/>
          <w:color w:val="auto"/>
        </w:rPr>
      </w:pPr>
      <w:r>
        <w:rPr>
          <w:rFonts w:ascii="Times New Roman" w:cs="Times New Roman" w:eastAsia="Times New Roman" w:hAnsi="Times New Roman"/>
          <w:sz w:val="19"/>
          <w:szCs w:val="19"/>
          <w:color w:val="auto"/>
        </w:rPr>
        <w:t>The RaniPill HC operates similar to the RaniPill GO except that, instead of delivering a dissolvable microneedle containing a solid microtablet of drug, the RaniPill HC uses a dissolvable needle to deliver the drug payload in liquid form.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Features and advantages of the RaniPill capsule</w:t>
      </w:r>
    </w:p>
    <w:p>
      <w:pPr>
        <w:spacing w:after="0" w:line="240"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The RaniPill capsule is a result of years of internal research activities to develop and optimize specialized components and systems that make up the RaniPill capsule. Several advanced features are included in the RaniPill capsule, providing what we believe to be significant and sustainable competitive advantages in the field of oral delivery of biologics. Some of the features and advantages of the RaniPill capsule are listed below.</w:t>
      </w:r>
    </w:p>
    <w:p>
      <w:pPr>
        <w:spacing w:after="0" w:line="208" w:lineRule="exact"/>
        <w:rPr>
          <w:sz w:val="20"/>
          <w:szCs w:val="20"/>
          <w:color w:val="auto"/>
        </w:rPr>
      </w:pPr>
    </w:p>
    <w:p>
      <w:pPr>
        <w:ind w:left="1220" w:right="240" w:hanging="356"/>
        <w:spacing w:after="0" w:line="252" w:lineRule="auto"/>
        <w:tabs>
          <w:tab w:leader="none" w:pos="12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i w:val="1"/>
          <w:iCs w:val="1"/>
          <w:u w:val="single" w:color="auto"/>
          <w:color w:val="auto"/>
        </w:rPr>
        <w:t>High bioavailability and high dosing accuracy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Our studies conducted to date have demonstrated that the RaniPill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capsule delivers biologics with high bioavailability and high dosing accuracy. This level of bioavailability is significantly higher than that of currently marketed chemistry-based oral biologics, the best attempts of which to our awareness have resulted in peptides being delivered with only low single-digit bioavailability.</w:t>
      </w:r>
    </w:p>
    <w:p>
      <w:pPr>
        <w:spacing w:after="0" w:line="207" w:lineRule="exact"/>
        <w:rPr>
          <w:rFonts w:ascii="Arial" w:cs="Arial" w:eastAsia="Arial" w:hAnsi="Arial"/>
          <w:sz w:val="20"/>
          <w:szCs w:val="20"/>
          <w:color w:val="auto"/>
        </w:rPr>
      </w:pPr>
    </w:p>
    <w:p>
      <w:pPr>
        <w:jc w:val="both"/>
        <w:ind w:left="1220" w:right="40" w:hanging="356"/>
        <w:spacing w:after="0" w:line="258" w:lineRule="auto"/>
        <w:tabs>
          <w:tab w:leader="none" w:pos="12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i w:val="1"/>
          <w:iCs w:val="1"/>
          <w:u w:val="single" w:color="auto"/>
          <w:color w:val="auto"/>
        </w:rPr>
        <w:t>Protective coating avoids deployment in the stomach</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The proprietary protective coating formulation is pH-sensitive,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enabling the RaniPill capsule to maintain its integrity through the acidic environment in the stomach for deployment in the small intestine.</w:t>
      </w:r>
    </w:p>
    <w:p>
      <w:pPr>
        <w:spacing w:after="0" w:line="201" w:lineRule="exact"/>
        <w:rPr>
          <w:rFonts w:ascii="Arial" w:cs="Arial" w:eastAsia="Arial" w:hAnsi="Arial"/>
          <w:sz w:val="20"/>
          <w:szCs w:val="20"/>
          <w:color w:val="auto"/>
        </w:rPr>
      </w:pPr>
    </w:p>
    <w:p>
      <w:pPr>
        <w:ind w:left="1220" w:right="20" w:hanging="356"/>
        <w:spacing w:after="0" w:line="249" w:lineRule="auto"/>
        <w:tabs>
          <w:tab w:leader="none" w:pos="12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i w:val="1"/>
          <w:iCs w:val="1"/>
          <w:u w:val="single" w:color="auto"/>
          <w:color w:val="auto"/>
        </w:rPr>
        <w:t>Protection of the drug prior to delivery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microneedle and drug are protected from intestinal fluid until delivery,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then the rapid injection of the microneedle into the intestinal wall during delivery provides for little or no exposure of the microneedle or drug to intestinal fluid. This technique serves to overcome the body’s natural mechanisms that break biologics down in the harsh GI environment and thus block biologics from reaching the blood stream from within the intestine.</w:t>
      </w:r>
    </w:p>
    <w:p>
      <w:pPr>
        <w:spacing w:after="0" w:line="210" w:lineRule="exact"/>
        <w:rPr>
          <w:rFonts w:ascii="Arial" w:cs="Arial" w:eastAsia="Arial" w:hAnsi="Arial"/>
          <w:sz w:val="20"/>
          <w:szCs w:val="20"/>
          <w:color w:val="auto"/>
        </w:rPr>
      </w:pPr>
    </w:p>
    <w:p>
      <w:pPr>
        <w:ind w:left="1220" w:right="360" w:hanging="356"/>
        <w:spacing w:after="0" w:line="258" w:lineRule="auto"/>
        <w:tabs>
          <w:tab w:leader="none" w:pos="12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i w:val="1"/>
          <w:iCs w:val="1"/>
          <w:u w:val="single" w:color="auto"/>
          <w:color w:val="auto"/>
        </w:rPr>
        <w:t>Delivery in both fed and fasted states</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The RaniPill capsule is designed to deliver the drug payload regardless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whether the patient ingests the RaniPill capsule with or without food, which we expect will allow for more flexible dosing regimens and improved patient adherence to a given regimen.</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780"/>
          </w:cols>
          <w:pgMar w:left="720" w:top="930" w:right="740" w:bottom="0" w:gutter="0" w:footer="0" w:header="0"/>
          <w:type w:val="continuous"/>
        </w:sectPr>
      </w:pPr>
    </w:p>
    <w:bookmarkStart w:id="18" w:name="page19"/>
    <w:bookmarkEnd w:id="18"/>
    <w:p>
      <w:pPr>
        <w:ind w:left="1220" w:right="100" w:hanging="356"/>
        <w:spacing w:after="0" w:line="249" w:lineRule="auto"/>
        <w:tabs>
          <w:tab w:leader="none" w:pos="12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u w:val="single" w:color="auto"/>
          <w:color w:val="auto"/>
        </w:rPr>
        <w:t>Self-inflating balloon ensures reliable delivery</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The proprietary self-inflating balloon is designed to provide optimal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pressure to deliver the payload. In addition, the novel design of the balloon positions the microneedle approximately perpendicular to the intestinal wall for reliable drug delivery, with greater than 90% cumulative drug delivery success observed with the latest version of the RaniPill capsule used in our Phase 1 clinical trials of RT-102 and RT-111. The self-inflating balloon has been designed to minimize GI discomfort.</w:t>
      </w:r>
    </w:p>
    <w:p>
      <w:pPr>
        <w:spacing w:after="0" w:line="210" w:lineRule="exact"/>
        <w:rPr>
          <w:rFonts w:ascii="Arial" w:cs="Arial" w:eastAsia="Arial" w:hAnsi="Arial"/>
          <w:sz w:val="20"/>
          <w:szCs w:val="20"/>
          <w:color w:val="auto"/>
        </w:rPr>
      </w:pPr>
    </w:p>
    <w:p>
      <w:pPr>
        <w:ind w:left="1220" w:right="320" w:hanging="356"/>
        <w:spacing w:after="0" w:line="276" w:lineRule="auto"/>
        <w:tabs>
          <w:tab w:leader="none" w:pos="12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u w:val="single" w:color="auto"/>
          <w:color w:val="auto"/>
        </w:rPr>
        <w:t>Drug-agnostic design provides a standardized platform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RaniPill capsule is designed to deliver any molecule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irrespective of its molecular mass. This allows a single platform design to be used with multiple drugs.</w:t>
      </w:r>
    </w:p>
    <w:p>
      <w:pPr>
        <w:spacing w:after="0" w:line="184" w:lineRule="exact"/>
        <w:rPr>
          <w:rFonts w:ascii="Arial" w:cs="Arial" w:eastAsia="Arial" w:hAnsi="Arial"/>
          <w:sz w:val="20"/>
          <w:szCs w:val="20"/>
          <w:color w:val="auto"/>
        </w:rPr>
      </w:pPr>
    </w:p>
    <w:p>
      <w:pPr>
        <w:ind w:left="1220" w:right="80" w:hanging="356"/>
        <w:spacing w:after="0" w:line="246" w:lineRule="auto"/>
        <w:tabs>
          <w:tab w:leader="none" w:pos="12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u w:val="single" w:color="auto"/>
          <w:color w:val="auto"/>
        </w:rPr>
        <w:t>Optimized dosing regimen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Based on the confirmed patient preference for oral delivery alternatives, we expect better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treatment adherence with oral dosing versus injections, thus enabling a more clinically-favorable dosing regimen. For example, the RaniPill capsule may enable a regimen of small, more frequent doses, versus larger less frequent doses for injections, to improve treatment adherence. In addition, small, more frequent dosing may allow for therapeutic exposures to be maintained within a narrow range, whereas larger less frequent injection dosing can lead to large variations in therapeutic exposure, which may contribute to adverse events, loss of efficacy, and increased propensity for immunogenic response.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RaniPill HC</w:t>
      </w:r>
    </w:p>
    <w:p>
      <w:pPr>
        <w:spacing w:after="0" w:line="240" w:lineRule="exact"/>
        <w:rPr>
          <w:sz w:val="20"/>
          <w:szCs w:val="20"/>
          <w:color w:val="auto"/>
        </w:rPr>
      </w:pPr>
    </w:p>
    <w:p>
      <w:pPr>
        <w:ind w:firstLine="979"/>
        <w:spacing w:after="0" w:line="258" w:lineRule="auto"/>
        <w:rPr>
          <w:sz w:val="20"/>
          <w:szCs w:val="20"/>
          <w:color w:val="auto"/>
        </w:rPr>
      </w:pPr>
      <w:r>
        <w:rPr>
          <w:rFonts w:ascii="Times New Roman" w:cs="Times New Roman" w:eastAsia="Times New Roman" w:hAnsi="Times New Roman"/>
          <w:sz w:val="20"/>
          <w:szCs w:val="20"/>
          <w:color w:val="auto"/>
        </w:rPr>
        <w:t>We continue to develop the RaniPill HC, a high-capacity RaniPill capsule designed to deliver drug payloads up to 200μL, 500%-plus higher than the payload capacity of the RaniPill GO. In September 2023, we announced three positive preclinical studies which support the development of the RaniPill HC device.</w:t>
      </w:r>
    </w:p>
    <w:p>
      <w:pPr>
        <w:spacing w:after="0" w:line="188" w:lineRule="exact"/>
        <w:rPr>
          <w:sz w:val="20"/>
          <w:szCs w:val="20"/>
          <w:color w:val="auto"/>
        </w:rPr>
      </w:pPr>
    </w:p>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Rani conducted two preclinical studies of the RaniPill HC containing 40ug of teriparatide. In the first study, two RaniPill HC capsules were orally administered to 5 awake canine subjects sequentially, with a second RaniPill HC capsule administered after the deployment of the previous device was confirmed. In the second study, a single RaniPill HC capsule was administered to ten awake canines.</w:t>
      </w:r>
    </w:p>
    <w:p>
      <w:pPr>
        <w:spacing w:after="0" w:line="208" w:lineRule="exact"/>
        <w:rPr>
          <w:sz w:val="20"/>
          <w:szCs w:val="20"/>
          <w:color w:val="auto"/>
        </w:rPr>
      </w:pPr>
    </w:p>
    <w:p>
      <w:pPr>
        <w:ind w:left="980" w:right="380" w:hanging="491"/>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RaniPill HC achieved 18/20 successful drug delivery of teriparatide in the two studies, resulting in a cumulative 90% success rate.</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drug delivery was confirmed by positive drug signal for teriparatide in serum.</w:t>
      </w:r>
    </w:p>
    <w:p>
      <w:pPr>
        <w:spacing w:after="0" w:line="253"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Devices used in these studies were separate iterations, and may not comprise all the same components expected in a final version.</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Rani also conducted an additional preclinical study of RaniPill HC containing Fe57 (iron) in 2 canine subjects.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RaniPill HC containing Fe57 showed a positive drug signal comparable to subcutaneous injection.</w:t>
      </w:r>
    </w:p>
    <w:p>
      <w:pPr>
        <w:spacing w:after="0" w:line="239" w:lineRule="exact"/>
        <w:rPr>
          <w:sz w:val="20"/>
          <w:szCs w:val="20"/>
          <w:color w:val="auto"/>
        </w:rPr>
      </w:pPr>
    </w:p>
    <w:p>
      <w:pPr>
        <w:ind w:right="40" w:firstLine="979"/>
        <w:spacing w:after="0" w:line="245" w:lineRule="auto"/>
        <w:rPr>
          <w:sz w:val="20"/>
          <w:szCs w:val="20"/>
          <w:color w:val="auto"/>
        </w:rPr>
      </w:pPr>
      <w:r>
        <w:rPr>
          <w:rFonts w:ascii="Times New Roman" w:cs="Times New Roman" w:eastAsia="Times New Roman" w:hAnsi="Times New Roman"/>
          <w:sz w:val="20"/>
          <w:szCs w:val="20"/>
          <w:color w:val="auto"/>
        </w:rPr>
        <w:t>In October and November 2023, we announced the completion of two preclinical studies of the RaniPill HC with antibodies, adalimumab and an undisclosed anti-interleukin antibody (“Undisclosed MAB”). In the two studies, the RaniPill HC achieved an oral delivery success rate of 100% (10/10). In one study, we tracked the serum concentrations of adalimumab, following the oral administration of the enteric-coated RaniPill HC capsule containing 11mg of Humira (adalimumab) to four canine models. In the second study, we tracked the serum concentrations of the Undisclosed MAB, following the oral administration of the enteric-coated RaniPill HC capsule containing 16.5mg of Undisclosed MAB to six canine models. In both studies, the RaniPill HC was well tolerated, all animals remained healthy throughout the study period with no clinical findings or adverse events, and all device remnants were excreted normally without sequelae.</w:t>
      </w:r>
    </w:p>
    <w:p>
      <w:pPr>
        <w:spacing w:after="0" w:line="202" w:lineRule="exact"/>
        <w:rPr>
          <w:sz w:val="20"/>
          <w:szCs w:val="20"/>
          <w:color w:val="auto"/>
        </w:rPr>
      </w:pPr>
    </w:p>
    <w:p>
      <w:pPr>
        <w:ind w:right="220" w:firstLine="979"/>
        <w:spacing w:after="0" w:line="258" w:lineRule="auto"/>
        <w:rPr>
          <w:sz w:val="20"/>
          <w:szCs w:val="20"/>
          <w:color w:val="auto"/>
        </w:rPr>
      </w:pPr>
      <w:r>
        <w:rPr>
          <w:rFonts w:ascii="Times New Roman" w:cs="Times New Roman" w:eastAsia="Times New Roman" w:hAnsi="Times New Roman"/>
          <w:sz w:val="20"/>
          <w:szCs w:val="20"/>
          <w:color w:val="auto"/>
        </w:rPr>
        <w:t>Comparing the pharmacokinetic results of 11mg of adalimumab delivered via the RaniPill HC (N=4) with historical pharmacokinetic data we generated with 5mg of an adalimumab biosimilar (GP2017) delivered via subcutaneous injection (N=3), there is a higher estimated bioavailability of adalimumab delivered via the RaniPill HC relative to the subcutaneous injection route.</w:t>
      </w:r>
    </w:p>
    <w:p>
      <w:pPr>
        <w:sectPr>
          <w:pgSz w:w="12240" w:h="15840" w:orient="portrait"/>
          <w:cols w:equalWidth="0" w:num="1">
            <w:col w:w="10740"/>
          </w:cols>
          <w:pgMar w:left="720" w:top="944"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740"/>
          </w:cols>
          <w:pgMar w:left="720" w:top="944" w:right="780" w:bottom="0" w:gutter="0" w:footer="0" w:header="0"/>
          <w:type w:val="continuous"/>
        </w:sectPr>
      </w:pPr>
    </w:p>
    <w:bookmarkStart w:id="19" w:name="page20"/>
    <w:bookmarkEnd w:id="19"/>
    <w:p>
      <w:pPr>
        <w:ind w:left="980"/>
        <w:spacing w:after="0"/>
        <w:rPr>
          <w:sz w:val="20"/>
          <w:szCs w:val="20"/>
          <w:color w:val="auto"/>
        </w:rPr>
      </w:pPr>
      <w:r>
        <w:rPr>
          <w:rFonts w:ascii="Times New Roman" w:cs="Times New Roman" w:eastAsia="Times New Roman" w:hAnsi="Times New Roman"/>
          <w:sz w:val="20"/>
          <w:szCs w:val="20"/>
          <w:color w:val="auto"/>
        </w:rPr>
        <w:t>Adalimumab 11mg via RaniPill HC vs Adalimumab Biosimilar 5mg via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183515</wp:posOffset>
            </wp:positionV>
            <wp:extent cx="4257675" cy="2695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extLst>
                    </a:blip>
                    <a:srcRect/>
                    <a:stretch>
                      <a:fillRect/>
                    </a:stretch>
                  </pic:blipFill>
                  <pic:spPr bwMode="auto">
                    <a:xfrm>
                      <a:off x="0" y="0"/>
                      <a:ext cx="4257675" cy="269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20"/>
          <w:szCs w:val="20"/>
          <w:color w:val="auto"/>
        </w:rPr>
        <w:t>All Data are Means ± SE</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Pharmacokinetics of Undisclosed MAB (16.5mg) Delivered Orally via RaniPill HC Capsules to Awake Canines (N=6)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165100</wp:posOffset>
            </wp:positionV>
            <wp:extent cx="4257675" cy="254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4257675" cy="254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20"/>
          <w:szCs w:val="20"/>
          <w:color w:val="auto"/>
        </w:rPr>
        <w:t>All Data are Means ± SE</w:t>
      </w:r>
    </w:p>
    <w:p>
      <w:pPr>
        <w:spacing w:after="0" w:line="240" w:lineRule="exact"/>
        <w:rPr>
          <w:sz w:val="20"/>
          <w:szCs w:val="20"/>
          <w:color w:val="auto"/>
        </w:rPr>
      </w:pPr>
    </w:p>
    <w:p>
      <w:pPr>
        <w:ind w:firstLine="979"/>
        <w:spacing w:after="0" w:line="258" w:lineRule="auto"/>
        <w:rPr>
          <w:sz w:val="20"/>
          <w:szCs w:val="20"/>
          <w:color w:val="auto"/>
        </w:rPr>
      </w:pPr>
      <w:r>
        <w:rPr>
          <w:rFonts w:ascii="Times New Roman" w:cs="Times New Roman" w:eastAsia="Times New Roman" w:hAnsi="Times New Roman"/>
          <w:sz w:val="20"/>
          <w:szCs w:val="20"/>
          <w:color w:val="auto"/>
        </w:rPr>
        <w:t>Preliminary preclinical testing supports the potential for RaniPill HC to have high reliability, and initial analysis of drug delivery via the RaniPill HC shows a potential for mimicking parenteral (subcutaneous) administration. We intend for the RaniPill HC to be ready for potential Phase 1 clinical trials in the second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60-Day GLP Study</w:t>
      </w:r>
    </w:p>
    <w:p>
      <w:pPr>
        <w:spacing w:after="0" w:line="240" w:lineRule="exact"/>
        <w:rPr>
          <w:sz w:val="20"/>
          <w:szCs w:val="20"/>
          <w:color w:val="auto"/>
        </w:rPr>
      </w:pPr>
    </w:p>
    <w:p>
      <w:pPr>
        <w:ind w:right="100" w:firstLine="979"/>
        <w:spacing w:after="0" w:line="246" w:lineRule="auto"/>
        <w:rPr>
          <w:sz w:val="20"/>
          <w:szCs w:val="20"/>
          <w:color w:val="auto"/>
        </w:rPr>
      </w:pPr>
      <w:r>
        <w:rPr>
          <w:rFonts w:ascii="Times New Roman" w:cs="Times New Roman" w:eastAsia="Times New Roman" w:hAnsi="Times New Roman"/>
          <w:sz w:val="20"/>
          <w:szCs w:val="20"/>
          <w:color w:val="auto"/>
        </w:rPr>
        <w:t>We conducted a preclinical GLP study evaluating the safety and tolerability of the RaniPill drug delivery platform, following 60-day repeat oral administration of the test article, RT-100, in healthy animals. RT-100 is an enteric-coated capsule identical to RT-102, but instead of PTH contained the pharmaceutical excipient mannitol. The control group received a RaniPill capsule (Mock-RP) of similar weight to RT-100 but filled with potato starch. Male and female (1:1) animals were divided into two groups and were administered either Mock-RP (N=12) or RT-100 (N=24) once daily for 60 days, with half of the animals completing an additional 14-day clinical observation and safety evaluation period. RT-100 was well-tolerated with no treatment-related adverse events and all animals remained clinically healthy throughout the study.</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780"/>
          </w:cols>
          <w:pgMar w:left="720" w:top="930" w:right="74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study in humans confirming reliable deployment in fed and fasted states</w:t>
      </w:r>
    </w:p>
    <w:p>
      <w:pPr>
        <w:spacing w:after="0" w:line="240" w:lineRule="exact"/>
        <w:rPr>
          <w:sz w:val="20"/>
          <w:szCs w:val="20"/>
          <w:color w:val="auto"/>
        </w:rPr>
      </w:pPr>
    </w:p>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An initial clinical assessment of the RaniPill capsule (without a drug) was conducted to evaluate the safety and tolerability of the platform and to compare device performance in fed and fasted states in twenty healthy volunteers, divided into two groups of ten.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w:t>
      </w:r>
    </w:p>
    <w:p>
      <w:pPr>
        <w:spacing w:after="0" w:line="200"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The total transit time for the RaniPill capsule was longer in the fed group than in the fasted group because the capsule remained in the stomach longer in the fed group. However, food did not impact the deployment time of the RaniPill capsule. This was confirmed via radiographic tracking which showed successful balloon inflation, indicating both that the protective coating dissolved as designed and the balloon inflated as designed, regardless of the presence of matter in the lumen of the intestinal tract.</w:t>
      </w:r>
    </w:p>
    <w:p>
      <w:pPr>
        <w:spacing w:after="0" w:line="186" w:lineRule="exact"/>
        <w:rPr>
          <w:sz w:val="20"/>
          <w:szCs w:val="20"/>
          <w:color w:val="auto"/>
        </w:rPr>
      </w:pPr>
    </w:p>
    <w:p>
      <w:pPr>
        <w:ind w:right="440" w:firstLine="979"/>
        <w:spacing w:after="0" w:line="267" w:lineRule="auto"/>
        <w:rPr>
          <w:sz w:val="20"/>
          <w:szCs w:val="20"/>
          <w:color w:val="auto"/>
        </w:rPr>
      </w:pPr>
      <w:r>
        <w:rPr>
          <w:rFonts w:ascii="Times New Roman" w:cs="Times New Roman" w:eastAsia="Times New Roman" w:hAnsi="Times New Roman"/>
          <w:sz w:val="20"/>
          <w:szCs w:val="20"/>
          <w:color w:val="auto"/>
        </w:rPr>
        <w:t>No volunteers reported difficulty in swallowing the capsule, nor did any study participant report experiencing pain or sensing an awareness upon balloon deployment.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Regulatory Pathways</w:t>
      </w:r>
    </w:p>
    <w:p>
      <w:pPr>
        <w:spacing w:after="0" w:line="244"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Test, approval, manufacture, and sale of our products are subject to federal, state, local, and foreign statutes and regulations.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We detail the U.S. regulatory pathway in this section. In the United States, the FDA regulates biologic products such as ours under the Federal Food, Drug and Cosmetic Act (“FDCA”) and the Public Health Service Act (“PHSA”) and their implementing regulations. Other jurisdictions will have somewhat different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centers: CDRH, CBER, CDER, OCP</w:t>
      </w:r>
    </w:p>
    <w:p>
      <w:pPr>
        <w:spacing w:after="0" w:line="240" w:lineRule="exact"/>
        <w:rPr>
          <w:sz w:val="20"/>
          <w:szCs w:val="20"/>
          <w:color w:val="auto"/>
        </w:rPr>
      </w:pPr>
    </w:p>
    <w:p>
      <w:pPr>
        <w:ind w:firstLine="979"/>
        <w:spacing w:after="0" w:line="243" w:lineRule="auto"/>
        <w:rPr>
          <w:sz w:val="20"/>
          <w:szCs w:val="20"/>
          <w:color w:val="auto"/>
        </w:rPr>
      </w:pPr>
      <w:r>
        <w:rPr>
          <w:rFonts w:ascii="Times New Roman" w:cs="Times New Roman" w:eastAsia="Times New Roman" w:hAnsi="Times New Roman"/>
          <w:sz w:val="20"/>
          <w:szCs w:val="20"/>
          <w:color w:val="auto"/>
        </w:rPr>
        <w:t>Each of our product candidates includes the RaniPill platform and a biologic. The RaniPill platform, if marketed without a biologic, would be classified by the FDA as a device regulated by the Center for Devices and Radiological Health (“CDRH”). A biologic, if marketed without the RaniPill platform, would be classified by the FDA as either a “biological product” regulated by the Center for Biologics Evaluation and Research (“CBER”) or a “drug” regulated by the Center for Drug Evaluation and Research (“CDER”). The classification as biological product or drug would depend on the FDA’s definition of “biological product” with respect to the active ingredient of a product candidate at the time a request for regulatory license or approval is submitted to the FDA to market that product candidate. The FDA currently defines a biological product as “a virus, therapeutic serum, toxin, antitoxin, vaccine, blood, blood component or derivative, allergenic product, protein, or analogous product, or arsphenamine or derivative of arsphenamine (or any other trivalent organic arsenic compound), applicable to the prevention, treatment, or cure of a disease or condition of human beings,” and defines a protein as an “alpha amino acid polymer with a specific, defined sequence that is greater than 40 amino acids in size.”</w:t>
      </w:r>
    </w:p>
    <w:p>
      <w:pPr>
        <w:spacing w:after="0" w:line="244" w:lineRule="exact"/>
        <w:rPr>
          <w:sz w:val="20"/>
          <w:szCs w:val="20"/>
          <w:color w:val="auto"/>
        </w:rPr>
      </w:pPr>
    </w:p>
    <w:p>
      <w:pPr>
        <w:ind w:right="100" w:firstLine="979"/>
        <w:spacing w:after="0" w:line="245" w:lineRule="auto"/>
        <w:rPr>
          <w:sz w:val="20"/>
          <w:szCs w:val="20"/>
          <w:color w:val="auto"/>
        </w:rPr>
      </w:pPr>
      <w:r>
        <w:rPr>
          <w:rFonts w:ascii="Times New Roman" w:cs="Times New Roman" w:eastAsia="Times New Roman" w:hAnsi="Times New Roman"/>
          <w:sz w:val="20"/>
          <w:szCs w:val="20"/>
          <w:color w:val="auto"/>
        </w:rPr>
        <w:t>Because our product candidates each include a device and a biologic, it is expected that each of our product candidates will be classified by the FDA as a combination product. The FDA is charged with assigning a center with primary jurisdiction, or a lead center, for review of a combination product. The designation of a lead center generally eliminates the need to receive approvals from more than one center. The determination of which center will be the lead center is based on the “primary mode of action” of the combination product, although the other centers may participate in review. The FDA has also established an Office of Combination Products, (“OCP”), which serves as a focal point for combination product issues for agency reviewers and industry. OCP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202" w:lineRule="exact"/>
        <w:rPr>
          <w:sz w:val="20"/>
          <w:szCs w:val="20"/>
          <w:color w:val="auto"/>
        </w:rPr>
      </w:pPr>
    </w:p>
    <w:p>
      <w:pPr>
        <w:ind w:right="400" w:firstLine="979"/>
        <w:spacing w:after="0" w:line="258" w:lineRule="auto"/>
        <w:rPr>
          <w:sz w:val="20"/>
          <w:szCs w:val="20"/>
          <w:color w:val="auto"/>
        </w:rPr>
      </w:pPr>
      <w:r>
        <w:rPr>
          <w:rFonts w:ascii="Times New Roman" w:cs="Times New Roman" w:eastAsia="Times New Roman" w:hAnsi="Times New Roman"/>
          <w:sz w:val="20"/>
          <w:szCs w:val="20"/>
          <w:color w:val="auto"/>
        </w:rPr>
        <w:t>It is expected that most of our product candidates will include a biologic within the FDA’s definition of “biological product” and some of our product candidates may include a biologic that will be considered a “drug.” CDER is the lead center for review of therapeutic proteins at this time, thus most of our product candidates will have CDER as the lead center.</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930" w:right="720" w:bottom="0" w:gutter="0" w:footer="0" w:header="0"/>
          <w:type w:val="continuous"/>
        </w:sectPr>
      </w:pPr>
    </w:p>
    <w:bookmarkStart w:id="21" w:name="page22"/>
    <w:bookmarkEnd w:id="21"/>
    <w:p>
      <w:pPr>
        <w:ind w:firstLine="979"/>
        <w:spacing w:after="0" w:line="237" w:lineRule="auto"/>
        <w:rPr>
          <w:sz w:val="20"/>
          <w:szCs w:val="20"/>
          <w:color w:val="auto"/>
        </w:rPr>
      </w:pPr>
      <w:r>
        <w:rPr>
          <w:rFonts w:ascii="Times New Roman" w:cs="Times New Roman" w:eastAsia="Times New Roman" w:hAnsi="Times New Roman"/>
          <w:sz w:val="20"/>
          <w:szCs w:val="20"/>
          <w:color w:val="auto"/>
        </w:rPr>
        <w:t>For each product candidate, we will perform numerous preclinical laboratory tests and animal studies, as well as perform human clinical trials. Preclinical laboratory tests, preclinical animal studies, and/or clinical trials may be ongoing concurrently for a product candidate in focused studies to assess various properties of a formulation and/or the platform of the product candidate. Animal studies require pre-approval by an independent institutional review board (“IRB”) or ethics committee. Human studies in the United States require pre-approval by the FDA. For FDA approval of a human trial, if the trial will involve a biologic alone then an IND application will be needed, and if the trial will involve the RaniPill platform alone then an investigational device exemption (“IDE”) application will be needed. For a clinical trial in which the RaniPill platform will be used in combination with a biologic, we must submit an IDE application if the lead center is CDRH or an IND application if the lead center is CBER or CDER. For the RaniPill platform used in combination with a biologic, it is expected that CBER or CDER will be the lead center. IND and IDE applications are discussed in more detail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Approval or license to market the RaniPill capsule</w:t>
      </w:r>
    </w:p>
    <w:p>
      <w:pPr>
        <w:spacing w:after="0" w:line="233" w:lineRule="exact"/>
        <w:rPr>
          <w:sz w:val="20"/>
          <w:szCs w:val="20"/>
          <w:color w:val="auto"/>
        </w:rPr>
      </w:pPr>
    </w:p>
    <w:p>
      <w:pPr>
        <w:jc w:val="both"/>
        <w:ind w:right="220" w:firstLine="979"/>
        <w:spacing w:after="0" w:line="251" w:lineRule="auto"/>
        <w:rPr>
          <w:sz w:val="20"/>
          <w:szCs w:val="20"/>
          <w:color w:val="auto"/>
        </w:rPr>
      </w:pPr>
      <w:r>
        <w:rPr>
          <w:rFonts w:ascii="Times New Roman" w:cs="Times New Roman" w:eastAsia="Times New Roman" w:hAnsi="Times New Roman"/>
          <w:sz w:val="20"/>
          <w:szCs w:val="20"/>
          <w:color w:val="auto"/>
        </w:rPr>
        <w:t>The FDA has specified a BLA path for seeking a license to market a biological product and a new drug application path for seeking approval to market a drug. It is expected that most of our product candidates will follow the BLA path while some may follow the NDA path.</w:t>
      </w:r>
    </w:p>
    <w:p>
      <w:pPr>
        <w:spacing w:after="0" w:line="188" w:lineRule="exact"/>
        <w:rPr>
          <w:sz w:val="20"/>
          <w:szCs w:val="20"/>
          <w:color w:val="auto"/>
        </w:rPr>
      </w:pPr>
    </w:p>
    <w:p>
      <w:pPr>
        <w:ind w:right="60" w:firstLine="979"/>
        <w:spacing w:after="0" w:line="238" w:lineRule="auto"/>
        <w:rPr>
          <w:sz w:val="20"/>
          <w:szCs w:val="20"/>
          <w:color w:val="auto"/>
        </w:rPr>
      </w:pPr>
      <w:r>
        <w:rPr>
          <w:rFonts w:ascii="Times New Roman" w:cs="Times New Roman" w:eastAsia="Times New Roman" w:hAnsi="Times New Roman"/>
          <w:sz w:val="20"/>
          <w:szCs w:val="20"/>
          <w:color w:val="auto"/>
        </w:rPr>
        <w:t>Our current pipeline includes well-characterized biologics that have been in clinical use for several years. We believe that we may be able to leverage the FDA’s prior conclusions of safety, purity, and potency for already-approved products in our own BLA or NDA. The degree to which we may be able to reduce the burden on our own development may depend on whether the API or drug substance is the same as the original approved product. Additionally, because certain products originally approved under an NDA have been reclassified by the FDA and would now follow a BLA pathway, it is unclear whether conclusions regarding such reclassified products can be leveraged in our BLA submissions. We intend to have the scope of the leverage that will be available from already-approved biologics clarified on a product-by-product basis for each product candidate in pre-IND meetings with the FDA.</w:t>
      </w:r>
    </w:p>
    <w:p>
      <w:pPr>
        <w:spacing w:after="0" w:line="202" w:lineRule="exact"/>
        <w:rPr>
          <w:sz w:val="20"/>
          <w:szCs w:val="20"/>
          <w:color w:val="auto"/>
        </w:rPr>
      </w:pPr>
    </w:p>
    <w:p>
      <w:pPr>
        <w:ind w:right="160" w:firstLine="979"/>
        <w:spacing w:after="0" w:line="270" w:lineRule="auto"/>
        <w:rPr>
          <w:sz w:val="20"/>
          <w:szCs w:val="20"/>
          <w:color w:val="auto"/>
        </w:rPr>
      </w:pPr>
      <w:r>
        <w:rPr>
          <w:rFonts w:ascii="Times New Roman" w:cs="Times New Roman" w:eastAsia="Times New Roman" w:hAnsi="Times New Roman"/>
          <w:sz w:val="20"/>
          <w:szCs w:val="20"/>
          <w:color w:val="auto"/>
        </w:rPr>
        <w:t>We have completed a pre-IND meeting with the FDA with respect to RT-102. Following feedback from the meeting, we believe that a 505(b)(2) pathway is suitable for the development of RT-102 in the U.S.</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CBER and CDER may ask for additional testing for specific biologics, disease indications, or patient populations.</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Additional information regarding regulatory pathways is provided in the “</w:t>
      </w:r>
      <w:r>
        <w:rPr>
          <w:rFonts w:ascii="Times New Roman" w:cs="Times New Roman" w:eastAsia="Times New Roman" w:hAnsi="Times New Roman"/>
          <w:sz w:val="20"/>
          <w:szCs w:val="20"/>
          <w:i w:val="1"/>
          <w:iCs w:val="1"/>
          <w:color w:val="auto"/>
        </w:rPr>
        <w:t>Government Regulation</w:t>
      </w:r>
      <w:r>
        <w:rPr>
          <w:rFonts w:ascii="Times New Roman" w:cs="Times New Roman" w:eastAsia="Times New Roman" w:hAnsi="Times New Roman"/>
          <w:sz w:val="20"/>
          <w:szCs w:val="20"/>
          <w:color w:val="auto"/>
        </w:rPr>
        <w:t>” section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and Evaluation Agreements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Celltrion license and supply agreements</w:t>
      </w:r>
    </w:p>
    <w:p>
      <w:pPr>
        <w:spacing w:after="0" w:line="233" w:lineRule="exact"/>
        <w:rPr>
          <w:sz w:val="20"/>
          <w:szCs w:val="20"/>
          <w:color w:val="auto"/>
        </w:rPr>
      </w:pPr>
    </w:p>
    <w:p>
      <w:pPr>
        <w:ind w:right="260" w:firstLine="979"/>
        <w:spacing w:after="0" w:line="237" w:lineRule="auto"/>
        <w:rPr>
          <w:sz w:val="20"/>
          <w:szCs w:val="20"/>
          <w:color w:val="auto"/>
        </w:rPr>
      </w:pPr>
      <w:r>
        <w:rPr>
          <w:rFonts w:ascii="Times New Roman" w:cs="Times New Roman" w:eastAsia="Times New Roman" w:hAnsi="Times New Roman"/>
          <w:sz w:val="20"/>
          <w:szCs w:val="20"/>
          <w:color w:val="auto"/>
        </w:rPr>
        <w:t>In January 2023, we entered into a License and Supply Agreement with Celltrion regarding its ustekinumab biosimilar, CT-P43 (the “Ustekinumab Celltrion Agreement"). In June 2023, we entered into a License and Supply Agreement with Celltrion regarding its adalimumab biosimilar (the “Adalimumab Celltrion Agreement” and together with the Ustekinumab Celltrion Agreement, the “Celltrion Agreements”). Under the Celltrion Agreements, Celltrion grants us an exclusive, worldwide, royalty-free license to certain intellectual property to make, use, sell, offer for sale, import and otherwise exploit RT-111 and RT-105 and to use certain information to support the manufacture, development and commercialization of RT-111 and RT-105. Celltrion will provide, and we will purchase, supply of ustekinumab biosimilar and adalimumab biosimilar at supply prices set forth in the respective Celltrion Agreement. We will obtain ustekiunmab biosimilar and adalimumab biosimilar exclusively from Celltrion for the manufacture, development and commercialization of RT-111 and RT-105, respectively, subject to a right to obtain supply from alternative sources under certain circumstances where Celltrion experiences supply disruption.</w:t>
      </w:r>
    </w:p>
    <w:p>
      <w:pPr>
        <w:spacing w:after="0" w:line="202" w:lineRule="exact"/>
        <w:rPr>
          <w:sz w:val="20"/>
          <w:szCs w:val="20"/>
          <w:color w:val="auto"/>
        </w:rPr>
      </w:pPr>
    </w:p>
    <w:p>
      <w:pPr>
        <w:ind w:right="100" w:firstLine="979"/>
        <w:spacing w:after="0" w:line="236" w:lineRule="auto"/>
        <w:rPr>
          <w:sz w:val="20"/>
          <w:szCs w:val="20"/>
          <w:color w:val="auto"/>
        </w:rPr>
      </w:pPr>
      <w:r>
        <w:rPr>
          <w:rFonts w:ascii="Times New Roman" w:cs="Times New Roman" w:eastAsia="Times New Roman" w:hAnsi="Times New Roman"/>
          <w:sz w:val="20"/>
          <w:szCs w:val="20"/>
          <w:color w:val="auto"/>
        </w:rPr>
        <w:t>Under the Celltrion Agreements, we have sole right to manufacture, develop and commercialize RT-111 and RT-105 worldwide, subject to an exclusive right of first negotiation (“ROFN”) granted to Celltrion for each program. For each program, following our delivery to Celltrion of a data package consisting of topline safety information, pharmacokinetic results and device performance, and the raw data related to topline results from a Phase 1 clinical trial of such program that meets its primary endpoint(s), Celltrion will have 30 days to exercise its ROFN with respect to that program. If Celltrion timely exercises the ROFN, then Celltrion will have an exclusive period of 90 days to negotiate in good faith a definitive agreement with us for rights to clinically develop and commercialize the applicable program in territories selected by Celltrion. In the event Celltrion does not timely exercise the ROFN or Celltrion notifies us that it does not intend to exercise the ROFN or, after timely exercising the ROFN, notifies us that Celltrion withdraws its exercise of the ROFN, or the parties fail to enter into a definitive agreement for the development and commercialization of the applicable program within the exclusive negotiation period, then the ROFN regarding that program will terminate and we will have no further obligations under the Celltrion Agreements related to a ROFN for that program. We believe the Phase 1 clinical trial that we completed with RT-111, the topline data of which we announced in February 2024, satisfies the requirements for triggering Celltrion’s ROFN with respect to that program.</w:t>
      </w:r>
    </w:p>
    <w:p>
      <w:pPr>
        <w:sectPr>
          <w:pgSz w:w="12240" w:h="15840" w:orient="portrait"/>
          <w:cols w:equalWidth="0" w:num="1">
            <w:col w:w="10800"/>
          </w:cols>
          <w:pgMar w:left="720" w:top="925" w:right="720" w:bottom="0"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925" w:right="720" w:bottom="0" w:gutter="0" w:footer="0" w:header="0"/>
          <w:type w:val="continuous"/>
        </w:sectPr>
      </w:pPr>
    </w:p>
    <w:bookmarkStart w:id="22" w:name="page23"/>
    <w:bookmarkEnd w:id="22"/>
    <w:p>
      <w:pPr>
        <w:jc w:val="both"/>
        <w:ind w:right="120" w:firstLine="979"/>
        <w:spacing w:after="0" w:line="249" w:lineRule="auto"/>
        <w:rPr>
          <w:sz w:val="20"/>
          <w:szCs w:val="20"/>
          <w:color w:val="auto"/>
        </w:rPr>
      </w:pPr>
      <w:r>
        <w:rPr>
          <w:rFonts w:ascii="Times New Roman" w:cs="Times New Roman" w:eastAsia="Times New Roman" w:hAnsi="Times New Roman"/>
          <w:sz w:val="20"/>
          <w:szCs w:val="20"/>
          <w:color w:val="auto"/>
        </w:rPr>
        <w:t>The Celltrion Agreements allocate rights between the parties with respect to inventions generated in performance of the agreement for the manufacture, development and commercialization of each of RT-111 and RT-105, respectively. Celltrion will own intellectual property generated in the programs solely related to its ustekinumab biosimilar or adalimumab biosimilar, respectively.</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We will own all other intellectual property generated in the programs, and we grant Celltrion an exclusive, worldwide license under such intellectual property solely for use with its ustekinumab biosimilar or adalimumab biosimilar, respectively. We will own all data related to the research, development, manufacture, regulatory activities and commercialization of RT-111 and RT-105 conducted by us. The Celltrion Agreements also contain customary representations, warranties and covenants, and mutual indemnification provisions. We have a right to terminate each agreement for convenience subject to certain notice periods. Celltrion has a right to terminate each agreement if we do not achieve certain development milestones with respect to that agreement, and each party has certain rights to terminate the applicable agreement for material breach or safety concerns regarding the stekinumab biosimilar or RT-111, or adalimumab biosimilar or RT-105,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Novartis evaluation agreement</w:t>
      </w:r>
    </w:p>
    <w:p>
      <w:pPr>
        <w:spacing w:after="0" w:line="240"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In May 2015, we entered into an Evaluation and First Rights Agreement (the “Novartis Agreement”) with Novartis Pharmaceuticals Corporation (“Novartis”), in which we agreed to perform certain specified research for Novartis to evaluate two specified Novartis compounds with our oral drug delivery technology. In August 2019 and July 2020, we amended the agreement to focus on one compound. Under the agreement, we granted Novartis an exclusive, fully paid-up license to the intellectual property it generates for the sole purpose of delivering that compound via any delivery route other than through use of any microtablet. Novartis will own intellectual property generated related to that compound and we will own all other intellectual property regardless of inventorship. We are currently in the process of completing our own internal testing of higher capacity payloads in the RaniPill capsule. Certain data from such testing was shared with Novartis pursuant to the July 2020 amendment. Following delivery of a report by us, Novartis will have a right of first negotiation to obtain rights to research, develop, manufacture, and commercialize a specified class of biologics formulated with our delivery technology (“Novartis Field”) for a period of four months. If we and Novartis do not reach an agreement in this period, for a period of another six months Novartis will have the opportunity to make a topping bid on any third-party transaction proposal in the Novartis Field. Unless earlier terminated, the Novartis Agreement will expire upon the expiration of the last-to-expire time periods for which Novartis has a right of first negotiation or a right to make a topping bid. Prior to these periods, Novartis may terminate the Novartis Agreement at any time for convenience, and we and Novartis may terminate the Novartis Agreement for the other party’s uncured material breach.</w:t>
      </w:r>
    </w:p>
    <w:p>
      <w:pPr>
        <w:spacing w:after="0" w:line="211" w:lineRule="exact"/>
        <w:rPr>
          <w:sz w:val="20"/>
          <w:szCs w:val="20"/>
          <w:color w:val="auto"/>
        </w:rPr>
      </w:pPr>
    </w:p>
    <w:p>
      <w:pPr>
        <w:ind w:right="240" w:firstLine="979"/>
        <w:spacing w:after="0" w:line="249" w:lineRule="auto"/>
        <w:rPr>
          <w:sz w:val="20"/>
          <w:szCs w:val="20"/>
          <w:color w:val="auto"/>
        </w:rPr>
      </w:pPr>
      <w:r>
        <w:rPr>
          <w:rFonts w:ascii="Times New Roman" w:cs="Times New Roman" w:eastAsia="Times New Roman" w:hAnsi="Times New Roman"/>
          <w:sz w:val="20"/>
          <w:szCs w:val="20"/>
          <w:color w:val="auto"/>
        </w:rPr>
        <w:t>Novartis has paid us an aggregate of $7.0 million under the Novartis Agreement as of December 31, 2022 and made an equity investment of approximately $5 million in our Series C preferred unit financing. As part of the organizational transactions in connection with our initial public offering, the Series C preferred units were exchanged for 404,638 Paired Interests. We did not receive any payments from Novartis under the Novartis Agreement in 2023 and we do not expect any future payments under the Novartis Agreement unless we and Novartis negotiate a new agreement constructed around a higher-capacity payload system.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Quality Assurance</w:t>
      </w:r>
    </w:p>
    <w:p>
      <w:pPr>
        <w:spacing w:after="0" w:line="244"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We currently manufacture and assemble RaniPill capsules at our facility in San Jose,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w:t>
      </w:r>
    </w:p>
    <w:p>
      <w:pPr>
        <w:spacing w:after="0" w:line="197" w:lineRule="exact"/>
        <w:rPr>
          <w:sz w:val="20"/>
          <w:szCs w:val="20"/>
          <w:color w:val="auto"/>
        </w:rPr>
      </w:pPr>
    </w:p>
    <w:p>
      <w:pPr>
        <w:ind w:right="240" w:firstLine="979"/>
        <w:spacing w:after="0" w:line="277" w:lineRule="auto"/>
        <w:rPr>
          <w:sz w:val="20"/>
          <w:szCs w:val="20"/>
          <w:color w:val="auto"/>
        </w:rPr>
      </w:pPr>
      <w:r>
        <w:rPr>
          <w:rFonts w:ascii="Times New Roman" w:cs="Times New Roman" w:eastAsia="Times New Roman" w:hAnsi="Times New Roman"/>
          <w:sz w:val="20"/>
          <w:szCs w:val="20"/>
          <w:color w:val="auto"/>
        </w:rPr>
        <w:t>Each RaniPill capsule is assembled through a process which involves a series of integrated, well-developed, and highly reproducible steps that have been optimized to consistently produce capsules of high reliability.</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164465</wp:posOffset>
            </wp:positionV>
            <wp:extent cx="5586095" cy="676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558609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 Microtableting only applicable to drugs formulated for use in the RaniPill GO capsule.</w:t>
      </w:r>
    </w:p>
    <w:p>
      <w:pPr>
        <w:sectPr>
          <w:pgSz w:w="12240" w:h="15840" w:orient="portrait"/>
          <w:cols w:equalWidth="0" w:num="1">
            <w:col w:w="10760"/>
          </w:cols>
          <w:pgMar w:left="720" w:top="93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760"/>
          </w:cols>
          <w:pgMar w:left="720" w:top="930" w:right="760" w:bottom="0" w:gutter="0" w:footer="0" w:header="0"/>
          <w:type w:val="continuous"/>
        </w:sectPr>
      </w:pPr>
    </w:p>
    <w:bookmarkStart w:id="23" w:name="page24"/>
    <w:bookmarkEnd w:id="23"/>
    <w:p>
      <w:pPr>
        <w:ind w:firstLine="979"/>
        <w:spacing w:after="0" w:line="243" w:lineRule="auto"/>
        <w:rPr>
          <w:sz w:val="20"/>
          <w:szCs w:val="20"/>
          <w:color w:val="auto"/>
        </w:rPr>
      </w:pPr>
      <w:r>
        <w:rPr>
          <w:rFonts w:ascii="Times New Roman" w:cs="Times New Roman" w:eastAsia="Times New Roman" w:hAnsi="Times New Roman"/>
          <w:sz w:val="20"/>
          <w:szCs w:val="20"/>
          <w:color w:val="auto"/>
        </w:rPr>
        <w:t>For the RaniPill GO, a drug API or drug substance combined with excipients specific to the drug API or drug substance is lyophilized and compressed into a solid microtablet form. The microtablet (in the case of RaniPill GO) or liquid drug (in the case of RaniPill HC) is sealed inside a microsyringe under aseptic conditions. The microsyringe is incorporated in the RaniPill capsule, which is given a protective coating. Each of these steps in the manufacturing process has been subjected to rigorous testing and process qualification procedures to ensure manufacturing consistency. In the case of ustekinumab for RT-111 and adalimumab for RT-105, we obtain supply of drug substance from Celltrion under the Celltrion Agreements. For other APIs or drug substances, we rely on non-exclusive, third-party relationships with several manufacturers for the drug API or drug substance. We maintain in-house capabilities related to the aseptic manufacturing, following FDA Current Good Manufacturing Practice (“cGMP”) regulations for drugs that contain minimum requirements for the methods, facilities, and controls used in manufacturing, processing, and packing of a drug product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242" w:lineRule="exact"/>
        <w:rPr>
          <w:sz w:val="20"/>
          <w:szCs w:val="20"/>
          <w:color w:val="auto"/>
        </w:rPr>
      </w:pPr>
    </w:p>
    <w:p>
      <w:pPr>
        <w:jc w:val="both"/>
        <w:ind w:right="300" w:firstLine="979"/>
        <w:spacing w:after="0" w:line="258" w:lineRule="auto"/>
        <w:rPr>
          <w:sz w:val="20"/>
          <w:szCs w:val="20"/>
          <w:color w:val="auto"/>
        </w:rPr>
      </w:pPr>
      <w:r>
        <w:rPr>
          <w:rFonts w:ascii="Times New Roman" w:cs="Times New Roman" w:eastAsia="Times New Roman" w:hAnsi="Times New Roman"/>
          <w:sz w:val="20"/>
          <w:szCs w:val="20"/>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key markets for our products, once approved, will be in the United States, Europe, and Asia.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supply infrastructure</w:t>
      </w:r>
    </w:p>
    <w:p>
      <w:pPr>
        <w:spacing w:after="0" w:line="240" w:lineRule="exact"/>
        <w:rPr>
          <w:sz w:val="20"/>
          <w:szCs w:val="20"/>
          <w:color w:val="auto"/>
        </w:rPr>
      </w:pPr>
    </w:p>
    <w:p>
      <w:pPr>
        <w:ind w:right="60" w:firstLine="979"/>
        <w:spacing w:after="0" w:line="249" w:lineRule="auto"/>
        <w:rPr>
          <w:sz w:val="20"/>
          <w:szCs w:val="20"/>
          <w:color w:val="auto"/>
        </w:rPr>
      </w:pPr>
      <w:r>
        <w:rPr>
          <w:rFonts w:ascii="Times New Roman" w:cs="Times New Roman" w:eastAsia="Times New Roman" w:hAnsi="Times New Roman"/>
          <w:sz w:val="20"/>
          <w:szCs w:val="20"/>
          <w:color w:val="auto"/>
        </w:rPr>
        <w:t>Development of our product candidates includes identifying sources that can provide consistent quality and increasing quantities of APIs or drug substance to meet our needs through in vitro studies, preclinical studies, and clinical trials, and later into commercialization. We currently do not have agreements in place for long-term supplies of any API or drug substance, other than ustekinumab biosimilar for RT-111 and adalimumab biosimilar for RT-105. Availability of API or drug substance supply may inform our decisions regarding which product candidates present the best development opportunities.</w:t>
      </w:r>
    </w:p>
    <w:p>
      <w:pPr>
        <w:spacing w:after="0" w:line="233" w:lineRule="exact"/>
        <w:rPr>
          <w:sz w:val="20"/>
          <w:szCs w:val="20"/>
          <w:color w:val="auto"/>
        </w:rPr>
      </w:pPr>
    </w:p>
    <w:p>
      <w:pPr>
        <w:ind w:right="20" w:firstLine="979"/>
        <w:spacing w:after="0" w:line="305" w:lineRule="auto"/>
        <w:rPr>
          <w:sz w:val="20"/>
          <w:szCs w:val="20"/>
          <w:color w:val="auto"/>
        </w:rPr>
      </w:pPr>
      <w:r>
        <w:rPr>
          <w:rFonts w:ascii="Times New Roman" w:cs="Times New Roman" w:eastAsia="Times New Roman" w:hAnsi="Times New Roman"/>
          <w:sz w:val="19"/>
          <w:szCs w:val="19"/>
          <w:color w:val="auto"/>
        </w:rPr>
        <w:t>Currently we do not have any approved products. We intend to either develop the commercialization sales and supply infrastructure as our product candidates are approved, or partner with pharmaceutical companies or distributors for commercialization.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 of approved products by third-party payors</w:t>
      </w:r>
    </w:p>
    <w:p>
      <w:pPr>
        <w:spacing w:after="0" w:line="240" w:lineRule="exact"/>
        <w:rPr>
          <w:sz w:val="20"/>
          <w:szCs w:val="20"/>
          <w:color w:val="auto"/>
        </w:rPr>
      </w:pPr>
    </w:p>
    <w:p>
      <w:pPr>
        <w:ind w:right="60" w:firstLine="979"/>
        <w:spacing w:after="0" w:line="246" w:lineRule="auto"/>
        <w:rPr>
          <w:sz w:val="20"/>
          <w:szCs w:val="20"/>
          <w:color w:val="auto"/>
        </w:rPr>
      </w:pPr>
      <w:r>
        <w:rPr>
          <w:rFonts w:ascii="Times New Roman" w:cs="Times New Roman" w:eastAsia="Times New Roman" w:hAnsi="Times New Roman"/>
          <w:sz w:val="20"/>
          <w:szCs w:val="20"/>
          <w:color w:val="auto"/>
        </w:rPr>
        <w:t>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the payors. Decisions regarding whether to cover a product, the extent of coverage, and the amount of reimbursement to be provided are made separately, and these decisions are made on a plan-by-plan basis because there is no uniform policy for coverage and reimbursement. As a result, one payor’s decision to cover a particular product does not ensure that other payors will also provide coverage for the product, or that any of the reimbursement rates will be adequate.</w:t>
      </w:r>
    </w:p>
    <w:p>
      <w:pPr>
        <w:spacing w:after="0" w:line="200" w:lineRule="exact"/>
        <w:rPr>
          <w:sz w:val="20"/>
          <w:szCs w:val="20"/>
          <w:color w:val="auto"/>
        </w:rPr>
      </w:pPr>
    </w:p>
    <w:p>
      <w:pPr>
        <w:ind w:right="260" w:firstLine="979"/>
        <w:spacing w:after="0" w:line="249" w:lineRule="auto"/>
        <w:rPr>
          <w:sz w:val="20"/>
          <w:szCs w:val="20"/>
          <w:color w:val="auto"/>
        </w:rPr>
      </w:pPr>
      <w:r>
        <w:rPr>
          <w:rFonts w:ascii="Times New Roman" w:cs="Times New Roman" w:eastAsia="Times New Roman" w:hAnsi="Times New Roman"/>
          <w:sz w:val="20"/>
          <w:szCs w:val="20"/>
          <w:color w:val="auto"/>
        </w:rPr>
        <w:t>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products to each payor separately, with no assurance that coverage and adequate reimbursement will be applied consistently or obtained in the first instance.</w:t>
      </w:r>
    </w:p>
    <w:p>
      <w:pPr>
        <w:spacing w:after="0" w:line="197" w:lineRule="exact"/>
        <w:rPr>
          <w:sz w:val="20"/>
          <w:szCs w:val="20"/>
          <w:color w:val="auto"/>
        </w:rPr>
      </w:pPr>
    </w:p>
    <w:p>
      <w:pPr>
        <w:ind w:right="140" w:firstLine="979"/>
        <w:spacing w:after="0" w:line="258" w:lineRule="auto"/>
        <w:rPr>
          <w:sz w:val="20"/>
          <w:szCs w:val="20"/>
          <w:color w:val="auto"/>
        </w:rPr>
      </w:pPr>
      <w:r>
        <w:rPr>
          <w:rFonts w:ascii="Times New Roman" w:cs="Times New Roman" w:eastAsia="Times New Roman" w:hAnsi="Times New Roman"/>
          <w:sz w:val="20"/>
          <w:szCs w:val="20"/>
          <w:color w:val="auto"/>
        </w:rPr>
        <w:t>For products administered under the supervision of a physician, obtaining coverage and adequate reimbursement may be particularly difficult because of the higher prices often associated with such drugs. Additionally, separate reimbursement for the treatment or procedure in which the product is used may not be available, which may impact physician utilization.</w:t>
      </w:r>
    </w:p>
    <w:p>
      <w:pPr>
        <w:spacing w:after="0" w:line="188"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In addition, the U.S. government, state legislatures, and foreign governments have continued implementing cost-containment programs, including price controls, restrictions on coverage and reimbursement, and requirements for substitution of generic products when available. Third-party payors are increasingly challenging prices charged, examining medical necessity, and reviewing cost effectiveness in addition to questioning safety and efficacy. A decrease in, or decision to stop, payor reimbursement for a product could reduce physician prescribing of, and patient demand for, the product.</w:t>
      </w:r>
    </w:p>
    <w:p>
      <w:pPr>
        <w:sectPr>
          <w:pgSz w:w="12240" w:h="15840" w:orient="portrait"/>
          <w:cols w:equalWidth="0" w:num="1">
            <w:col w:w="10780"/>
          </w:cols>
          <w:pgMar w:left="720" w:top="930" w:right="740" w:bottom="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780"/>
          </w:cols>
          <w:pgMar w:left="720" w:top="930" w:right="74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40" w:lineRule="exact"/>
        <w:rPr>
          <w:sz w:val="20"/>
          <w:szCs w:val="20"/>
          <w:color w:val="auto"/>
        </w:rPr>
      </w:pPr>
    </w:p>
    <w:p>
      <w:pPr>
        <w:jc w:val="both"/>
        <w:ind w:right="260" w:firstLine="979"/>
        <w:spacing w:after="0" w:line="252" w:lineRule="auto"/>
        <w:rPr>
          <w:sz w:val="20"/>
          <w:szCs w:val="20"/>
          <w:color w:val="auto"/>
        </w:rPr>
      </w:pPr>
      <w:r>
        <w:rPr>
          <w:rFonts w:ascii="Times New Roman" w:cs="Times New Roman" w:eastAsia="Times New Roman" w:hAnsi="Times New Roman"/>
          <w:sz w:val="20"/>
          <w:szCs w:val="20"/>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94" w:lineRule="exact"/>
        <w:rPr>
          <w:sz w:val="20"/>
          <w:szCs w:val="20"/>
          <w:color w:val="auto"/>
        </w:rPr>
      </w:pPr>
    </w:p>
    <w:p>
      <w:pPr>
        <w:ind w:right="80" w:firstLine="979"/>
        <w:spacing w:after="0" w:line="249" w:lineRule="auto"/>
        <w:rPr>
          <w:sz w:val="20"/>
          <w:szCs w:val="20"/>
          <w:color w:val="auto"/>
        </w:rPr>
      </w:pPr>
      <w:r>
        <w:rPr>
          <w:rFonts w:ascii="Times New Roman" w:cs="Times New Roman" w:eastAsia="Times New Roman" w:hAnsi="Times New Roman"/>
          <w:sz w:val="20"/>
          <w:szCs w:val="20"/>
          <w:color w:val="auto"/>
        </w:rPr>
        <w:t>Broadly speaking, we will face competition from current and future (generic or biosimilar) manufacturers of the branded injectable versions of our pipeline drugs, manufacturers such as AbbVie Inc., Eli Lilly and Company, Janssen Biotech, Inc., etc. However, we believe that oral biologics have the potential to take significant market share from current injectable therapies. We also believe that oral biologics have the potential to expand existing markets by an early reach into new patient populations that are averse to taking injections.</w:t>
      </w:r>
    </w:p>
    <w:p>
      <w:pPr>
        <w:spacing w:after="0" w:line="197" w:lineRule="exact"/>
        <w:rPr>
          <w:sz w:val="20"/>
          <w:szCs w:val="20"/>
          <w:color w:val="auto"/>
        </w:rPr>
      </w:pPr>
    </w:p>
    <w:p>
      <w:pPr>
        <w:ind w:right="60" w:firstLine="979"/>
        <w:spacing w:after="0" w:line="244" w:lineRule="auto"/>
        <w:rPr>
          <w:sz w:val="20"/>
          <w:szCs w:val="20"/>
          <w:color w:val="auto"/>
        </w:rPr>
      </w:pPr>
      <w:r>
        <w:rPr>
          <w:rFonts w:ascii="Times New Roman" w:cs="Times New Roman" w:eastAsia="Times New Roman" w:hAnsi="Times New Roman"/>
          <w:sz w:val="20"/>
          <w:szCs w:val="20"/>
          <w:color w:val="auto"/>
        </w:rPr>
        <w:t>We are aware of certain other companies that are pursuing oral biologics through either device-based or chemistry-based technologies. We may also face competition from companies that develop oral small molecule therapeutics to the same biological targets as biologics. Early-stage device-based technologies such as the SOMA and LUMI from the Novo Nordisk-MIT collaboration were reported to be in early clinical and preclinical stages, respectively. Two other companies pursuing a device-based approach are Biograil ApS and Biora Therapeutics, Inc., both of which were reported to be in a preclinical stage of development. Chemistry-based oral delivery companies include Oramed Pharmaceuticals, Inc., Entera Bio Ltd., Protagonist Therapeutics, Inc., i2O Therapeutics, Intract Pharma, and two with recently approved oral peptide products – Mycappssa from Chiesi Farmaceutici SpA and Rybelsus from Novo Nordisk A/S. Chemistry-based approaches have limited applications because they work only for small peptides and, even then, with low (often less than 1%) bioavailability, far lower than injections. In contrast, our versatile technology is designed to deliver biologics, from small peptides to large proteins, irrespective of molecular mass and with bioavailability similar to that of injections.</w:t>
      </w:r>
    </w:p>
    <w:p>
      <w:pPr>
        <w:spacing w:after="0" w:line="202" w:lineRule="exact"/>
        <w:rPr>
          <w:sz w:val="20"/>
          <w:szCs w:val="20"/>
          <w:color w:val="auto"/>
        </w:rPr>
      </w:pPr>
    </w:p>
    <w:p>
      <w:pPr>
        <w:ind w:right="120" w:firstLine="979"/>
        <w:spacing w:after="0" w:line="305" w:lineRule="auto"/>
        <w:rPr>
          <w:sz w:val="20"/>
          <w:szCs w:val="20"/>
          <w:color w:val="auto"/>
        </w:rPr>
      </w:pPr>
      <w:r>
        <w:rPr>
          <w:rFonts w:ascii="Times New Roman" w:cs="Times New Roman" w:eastAsia="Times New Roman" w:hAnsi="Times New Roman"/>
          <w:sz w:val="19"/>
          <w:szCs w:val="19"/>
          <w:color w:val="auto"/>
        </w:rPr>
        <w:t>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impact</w:t>
      </w:r>
    </w:p>
    <w:p>
      <w:pPr>
        <w:spacing w:after="0" w:line="240" w:lineRule="exact"/>
        <w:rPr>
          <w:sz w:val="20"/>
          <w:szCs w:val="20"/>
          <w:color w:val="auto"/>
        </w:rPr>
      </w:pPr>
    </w:p>
    <w:p>
      <w:pPr>
        <w:ind w:right="440" w:firstLine="979"/>
        <w:spacing w:after="0" w:line="277" w:lineRule="auto"/>
        <w:rPr>
          <w:sz w:val="20"/>
          <w:szCs w:val="20"/>
          <w:color w:val="auto"/>
        </w:rPr>
      </w:pPr>
      <w:r>
        <w:rPr>
          <w:rFonts w:ascii="Times New Roman" w:cs="Times New Roman" w:eastAsia="Times New Roman" w:hAnsi="Times New Roman"/>
          <w:sz w:val="20"/>
          <w:szCs w:val="20"/>
          <w:color w:val="auto"/>
        </w:rPr>
        <w:t>We have instituted policies and procedures related to appropriate chemical and biological material handling, use, and disposal in our facilities, and we train our employees on these policies and procedures.</w:t>
      </w:r>
    </w:p>
    <w:p>
      <w:pPr>
        <w:spacing w:after="0" w:line="169" w:lineRule="exact"/>
        <w:rPr>
          <w:sz w:val="20"/>
          <w:szCs w:val="20"/>
          <w:color w:val="auto"/>
        </w:rPr>
      </w:pPr>
    </w:p>
    <w:p>
      <w:pPr>
        <w:ind w:right="60" w:firstLine="979"/>
        <w:spacing w:after="0" w:line="258" w:lineRule="auto"/>
        <w:rPr>
          <w:sz w:val="20"/>
          <w:szCs w:val="20"/>
          <w:color w:val="auto"/>
        </w:rPr>
      </w:pPr>
      <w:r>
        <w:rPr>
          <w:rFonts w:ascii="Times New Roman" w:cs="Times New Roman" w:eastAsia="Times New Roman" w:hAnsi="Times New Roman"/>
          <w:sz w:val="20"/>
          <w:szCs w:val="20"/>
          <w:color w:val="auto"/>
        </w:rPr>
        <w:t>Regulations in certain jurisdictions may require us to submit with our marketing approval request an environmental impact assessment related to our biologics, our RaniPill platform, or both. Such assessments could cause significant expenditures. We may be able to reduce expenditures related to these assessments by our strategy of using biologics already approved for marketing.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Our commercial success depends in part on our ability to obtain and maintain protection for our current and future product candidates and the technologies used to develop and manufacture them. Our development efforts have enabled us to construct an extensive intellectual property portfolio that we believe provides us a competitive advantage.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200" w:lineRule="exact"/>
        <w:rPr>
          <w:sz w:val="20"/>
          <w:szCs w:val="20"/>
          <w:color w:val="auto"/>
        </w:rPr>
      </w:pPr>
    </w:p>
    <w:p>
      <w:pPr>
        <w:ind w:firstLine="979"/>
        <w:spacing w:after="0" w:line="277" w:lineRule="auto"/>
        <w:rPr>
          <w:sz w:val="20"/>
          <w:szCs w:val="20"/>
          <w:color w:val="auto"/>
        </w:rPr>
      </w:pPr>
      <w:r>
        <w:rPr>
          <w:rFonts w:ascii="Times New Roman" w:cs="Times New Roman" w:eastAsia="Times New Roman" w:hAnsi="Times New Roman"/>
          <w:sz w:val="20"/>
          <w:szCs w:val="20"/>
          <w:color w:val="auto"/>
        </w:rPr>
        <w:t xml:space="preserve">For information regarding the risks related to our intellectual property, see the section titled </w:t>
      </w:r>
      <w:r>
        <w:rPr>
          <w:rFonts w:ascii="Times New Roman" w:cs="Times New Roman" w:eastAsia="Times New Roman" w:hAnsi="Times New Roman"/>
          <w:sz w:val="20"/>
          <w:szCs w:val="20"/>
          <w:i w:val="1"/>
          <w:iCs w:val="1"/>
          <w:color w:val="auto"/>
        </w:rPr>
        <w:t>“Risk Factors— Risks Related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Our Intellectual Property.”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240" w:lineRule="exact"/>
        <w:rPr>
          <w:sz w:val="20"/>
          <w:szCs w:val="20"/>
          <w:color w:val="auto"/>
        </w:rPr>
      </w:pPr>
    </w:p>
    <w:p>
      <w:pPr>
        <w:ind w:right="140" w:firstLine="979"/>
        <w:spacing w:after="0" w:line="246" w:lineRule="auto"/>
        <w:rPr>
          <w:sz w:val="20"/>
          <w:szCs w:val="20"/>
          <w:color w:val="auto"/>
        </w:rPr>
      </w:pPr>
      <w:r>
        <w:rPr>
          <w:rFonts w:ascii="Times New Roman" w:cs="Times New Roman" w:eastAsia="Times New Roman" w:hAnsi="Times New Roman"/>
          <w:sz w:val="20"/>
          <w:szCs w:val="20"/>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United States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780"/>
          </w:cols>
          <w:pgMar w:left="720" w:top="930" w:right="740" w:bottom="0" w:gutter="0" w:footer="0" w:header="0"/>
          <w:type w:val="continuous"/>
        </w:sectPr>
      </w:pPr>
    </w:p>
    <w:bookmarkStart w:id="25" w:name="page26"/>
    <w:bookmarkEnd w:id="25"/>
    <w:p>
      <w:pPr>
        <w:ind w:right="60" w:firstLine="979"/>
        <w:spacing w:after="0" w:line="241" w:lineRule="auto"/>
        <w:rPr>
          <w:sz w:val="20"/>
          <w:szCs w:val="20"/>
          <w:color w:val="auto"/>
        </w:rPr>
      </w:pPr>
      <w:r>
        <w:rPr>
          <w:rFonts w:ascii="Times New Roman" w:cs="Times New Roman" w:eastAsia="Times New Roman" w:hAnsi="Times New Roman"/>
          <w:sz w:val="20"/>
          <w:szCs w:val="20"/>
          <w:color w:val="auto"/>
        </w:rPr>
        <w:t>Our initial patent family has a priority date in 2009, with patent term expected to extend into at least 2030 if all fees are paid. This patent family claims many device aspects of the RaniPill platform, including aspects of the RaniPill GO and certain aspects of the RaniPill HC, and the delivery of a wide variety of biologics using the RaniPill platform. Granted patents and pending patent applications in this core family number more than 270. As of January 1, 2024, this patent family included 79 patents issued in the United States and 144 patents issued in other jurisdictions (in Australia, Austria, Belgium, Canada, China, Denmark, Finland, France, Germany, India, Ireland, Italy, Japan, Netherlands, Norway, Poland, Portugal, Spain, Sweden, Switzerland, Turkey, and the United Kingdom), with applications pending in the United States, Australia, Canada, China, Europe, Hong Kong, India, and Japan.</w:t>
      </w:r>
    </w:p>
    <w:p>
      <w:pPr>
        <w:spacing w:after="0" w:line="20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We also own several patent families directed to the RaniPill HC. These patent families have priority dates in 2020, 2022, and 2023, with patent term expected to extend into at least 2044 if all fees are paid. These patent families include claims directed to device aspects, devices containing specific biologics, methods of preparing such devices, and methods of delivering a wide variety of biologics using the RaniPill HC.</w:t>
      </w:r>
    </w:p>
    <w:p>
      <w:pPr>
        <w:spacing w:after="0" w:line="194"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Our microtablet patent family includes claims covering the microtablets delivered by the RaniPill GO. This patent family has a priority date in 2014, includes several dozen granted patents and pending patent applications, and is expected to have patent terms extending into at least 2035 if all fees are paid. As of January 1, 2024, this patent family included 12 patents issued in the United States, 11 patents issued in other jurisdictions (i.e., Australia, Canada, China and Japan), with applications pending in the United States, Australia, Canada, China, Europe, India, and Japan.</w:t>
      </w:r>
    </w:p>
    <w:p>
      <w:pPr>
        <w:spacing w:after="0" w:line="197" w:lineRule="exact"/>
        <w:rPr>
          <w:sz w:val="20"/>
          <w:szCs w:val="20"/>
          <w:color w:val="auto"/>
        </w:rPr>
      </w:pPr>
    </w:p>
    <w:p>
      <w:pPr>
        <w:ind w:right="120" w:firstLine="979"/>
        <w:spacing w:after="0" w:line="247" w:lineRule="auto"/>
        <w:rPr>
          <w:sz w:val="20"/>
          <w:szCs w:val="20"/>
          <w:color w:val="auto"/>
        </w:rPr>
      </w:pPr>
      <w:r>
        <w:rPr>
          <w:rFonts w:ascii="Times New Roman" w:cs="Times New Roman" w:eastAsia="Times New Roman" w:hAnsi="Times New Roman"/>
          <w:sz w:val="20"/>
          <w:szCs w:val="20"/>
          <w:color w:val="auto"/>
        </w:rPr>
        <w:t>We own numerous additional patents and patent applications, with claims to additional biologics, pharmacologic properties of various biologics and various next generation devices, with applications pending in the United States, Australia, Brazil, Canada, China, Europe, Hong Kong, India, Japan, Mexico, and South Korea. Patents in these families are expected to expire between the late 2030s and early 2040s if all fees are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 and other proprietary information</w:t>
      </w:r>
    </w:p>
    <w:p>
      <w:pPr>
        <w:spacing w:after="0" w:line="235" w:lineRule="exact"/>
        <w:rPr>
          <w:sz w:val="20"/>
          <w:szCs w:val="20"/>
          <w:color w:val="auto"/>
        </w:rPr>
      </w:pPr>
    </w:p>
    <w:p>
      <w:pPr>
        <w:ind w:right="80" w:firstLine="979"/>
        <w:spacing w:after="0"/>
        <w:rPr>
          <w:sz w:val="20"/>
          <w:szCs w:val="20"/>
          <w:color w:val="auto"/>
        </w:rPr>
      </w:pPr>
      <w:r>
        <w:rPr>
          <w:rFonts w:ascii="Times New Roman" w:cs="Times New Roman" w:eastAsia="Times New Roman" w:hAnsi="Times New Roman"/>
          <w:sz w:val="20"/>
          <w:szCs w:val="20"/>
          <w:color w:val="auto"/>
        </w:rPr>
        <w:t>We rely in part on keeping our trade secrets and other proprietary information confidential. We protect proprietary information by executing confidentiality agreements and intellectual property assignment agreements with employees, and consulting or other contractual agreements with consultants, scientific advisors, sponsored researchers, contractors, and other collaborators, prior to commencement of our relationship with them.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9" w:lineRule="exact"/>
        <w:rPr>
          <w:sz w:val="20"/>
          <w:szCs w:val="20"/>
          <w:color w:val="auto"/>
        </w:rPr>
      </w:pPr>
    </w:p>
    <w:p>
      <w:pPr>
        <w:ind w:right="60" w:firstLine="979"/>
        <w:spacing w:after="0" w:line="238" w:lineRule="auto"/>
        <w:rPr>
          <w:sz w:val="20"/>
          <w:szCs w:val="20"/>
          <w:color w:val="auto"/>
        </w:rPr>
      </w:pPr>
      <w:r>
        <w:rPr>
          <w:rFonts w:ascii="Times New Roman" w:cs="Times New Roman" w:eastAsia="Times New Roman" w:hAnsi="Times New Roman"/>
          <w:sz w:val="20"/>
          <w:szCs w:val="20"/>
          <w:color w:val="auto"/>
        </w:rPr>
        <w:t>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products such as those we are developing. We, along with our third-party contractors and/or collaboration partners, will be required to navigate the various preclinical, clinical, and commercial approval requirements of the governing regulatory authorities of the countries in which we wish to conduct studies or seek approval or licensure of our product candidates. Failure to comply with applicable regulations at any time during the product development process or approval process or after approval may result in delays to the conduct of a study, regulatory review, or commercialization authorization, or may subject an applicant to administrative or judicial actions. In the United States, such actions could include, among other actions, refusal to allow proceeding with clinical trials, imposition of a clinical hold, refusal to approve pending applications, withdrawal of an approval, license suspension or revocation,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Good Manufacturing Practices (“cGMP”)</w:t>
      </w:r>
    </w:p>
    <w:p>
      <w:pPr>
        <w:spacing w:after="0" w:line="235" w:lineRule="exact"/>
        <w:rPr>
          <w:sz w:val="20"/>
          <w:szCs w:val="20"/>
          <w:color w:val="auto"/>
        </w:rPr>
      </w:pPr>
    </w:p>
    <w:p>
      <w:pPr>
        <w:ind w:right="40" w:firstLine="979"/>
        <w:spacing w:after="0" w:line="241" w:lineRule="auto"/>
        <w:rPr>
          <w:sz w:val="20"/>
          <w:szCs w:val="20"/>
          <w:color w:val="auto"/>
        </w:rPr>
      </w:pPr>
      <w:r>
        <w:rPr>
          <w:rFonts w:ascii="Times New Roman" w:cs="Times New Roman" w:eastAsia="Times New Roman" w:hAnsi="Times New Roman"/>
          <w:sz w:val="20"/>
          <w:szCs w:val="20"/>
          <w:color w:val="auto"/>
        </w:rPr>
        <w:t>To obtain marketing approval for a candidate product, we must finalize processes for manufacturing the product in commercial quantities in accordance with cGMP requirements. These processes must address design, monitoring, control, and maintenance of manufacturing processes and facilities, and the implemented processes must be capable of consistently producing quality batches of the product candidate. Our processes must, among other things, enable us to monitor several aspects of the interim and finished product, such as identity, purity, strength, quality, potency, and sterility as applicable. Additionally, stability studies must be conducted to demonstrate that the product candidate does not undergo unacceptable deterioration over its shelf life, and appropriate packaging must be selected and tested.</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926" w:right="72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and clinical development</w:t>
      </w:r>
    </w:p>
    <w:p>
      <w:pPr>
        <w:spacing w:after="0" w:line="240"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For each product candidate, we perform numerous laboratory tests and preclinical animal studies, as well as human clinical trials. Preclinical laboratory tests, preclinical animal studies, and/or clinical trials may be ongoing concurrently for a product candidate in focused studies to assess various properties of a formulation and/or platform of the product candidate. Animal studies require pre-approval by an independent Institutional Animal Care and Use Committee (“IACUC”). Human studies in the United States require pre-approval by the FDA and an independent IRB, requested by way of an IDE or IND for investigational products such as our product candidates.</w:t>
      </w:r>
    </w:p>
    <w:p>
      <w:pPr>
        <w:spacing w:after="0" w:line="236"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current Good Clinical Practices (“GCP”), which includes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Furthermore, an independent IRB or ethics committee for each site proposing to conduct the clinical trial must review and approve the plan for any clinical trial and its informed consent form before the clinical trial begins at that site, and an IRB or ethics committee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the trial is not being performed in accordance with the investigational plan or associated protocols,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the data safety monitoring board determines that there is an unacceptable safety risk for subjects, no demonstration of efficacy, or other grounds. There are also requirements governing the reporting of ongoing preclinical studies,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206" w:lineRule="exact"/>
        <w:rPr>
          <w:sz w:val="20"/>
          <w:szCs w:val="20"/>
          <w:color w:val="auto"/>
        </w:rPr>
      </w:pPr>
    </w:p>
    <w:p>
      <w:pPr>
        <w:ind w:right="420" w:firstLine="979"/>
        <w:spacing w:after="0" w:line="277" w:lineRule="auto"/>
        <w:rPr>
          <w:sz w:val="20"/>
          <w:szCs w:val="20"/>
          <w:color w:val="auto"/>
        </w:rPr>
      </w:pPr>
      <w:r>
        <w:rPr>
          <w:rFonts w:ascii="Times New Roman" w:cs="Times New Roman" w:eastAsia="Times New Roman" w:hAnsi="Times New Roman"/>
          <w:sz w:val="20"/>
          <w:szCs w:val="20"/>
          <w:color w:val="auto"/>
        </w:rPr>
        <w:t>Human clinical trials are typically conducted in three phases that may be performed sequentially, in overlapping time frames, or in combination.</w:t>
      </w:r>
    </w:p>
    <w:p>
      <w:pPr>
        <w:spacing w:after="0" w:line="183" w:lineRule="exact"/>
        <w:rPr>
          <w:sz w:val="20"/>
          <w:szCs w:val="20"/>
          <w:color w:val="auto"/>
        </w:rPr>
      </w:pPr>
    </w:p>
    <w:p>
      <w:pPr>
        <w:ind w:left="1240" w:right="40" w:hanging="370"/>
        <w:spacing w:after="0" w:line="249" w:lineRule="auto"/>
        <w:tabs>
          <w:tab w:leader="none" w:pos="1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Phase 1 includes the initial introduction of an investigational new drug into humans. Phase 1 studies may be conducted in patients or normal volunteer subjects. These studies are designed to determine the metabolism and pharmacologic actions of the drug in humans, the side effects associated with increasing doses, and, if possible, to gain early evidence on effectiveness. The total number of subjects included in Phase 1 studies varies with the drug but is generally in the range of 20 to 80.</w:t>
      </w:r>
    </w:p>
    <w:p>
      <w:pPr>
        <w:spacing w:after="0" w:line="210" w:lineRule="exact"/>
        <w:rPr>
          <w:rFonts w:ascii="Arial" w:cs="Arial" w:eastAsia="Arial" w:hAnsi="Arial"/>
          <w:sz w:val="20"/>
          <w:szCs w:val="20"/>
          <w:color w:val="auto"/>
        </w:rPr>
      </w:pPr>
    </w:p>
    <w:p>
      <w:pPr>
        <w:ind w:left="1240" w:right="60" w:hanging="370"/>
        <w:spacing w:after="0" w:line="252" w:lineRule="auto"/>
        <w:tabs>
          <w:tab w:leader="none" w:pos="1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conducted in a relatively small number of patients, usually involving no more than several hundred subjects.</w:t>
      </w:r>
    </w:p>
    <w:p>
      <w:pPr>
        <w:spacing w:after="0" w:line="207" w:lineRule="exact"/>
        <w:rPr>
          <w:rFonts w:ascii="Arial" w:cs="Arial" w:eastAsia="Arial" w:hAnsi="Arial"/>
          <w:sz w:val="20"/>
          <w:szCs w:val="20"/>
          <w:color w:val="auto"/>
        </w:rPr>
      </w:pPr>
    </w:p>
    <w:p>
      <w:pPr>
        <w:ind w:left="1240" w:right="320" w:hanging="370"/>
        <w:spacing w:after="0" w:line="249" w:lineRule="auto"/>
        <w:tabs>
          <w:tab w:leader="none" w:pos="12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Phase 3 studies are expanded controlled and uncontrolled trials.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w:t>
      </w:r>
    </w:p>
    <w:p>
      <w:pPr>
        <w:spacing w:after="0" w:line="196" w:lineRule="exact"/>
        <w:rPr>
          <w:sz w:val="20"/>
          <w:szCs w:val="20"/>
          <w:color w:val="auto"/>
        </w:rPr>
      </w:pPr>
    </w:p>
    <w:p>
      <w:pPr>
        <w:ind w:right="200" w:firstLine="979"/>
        <w:spacing w:after="0" w:line="277" w:lineRule="auto"/>
        <w:rPr>
          <w:sz w:val="20"/>
          <w:szCs w:val="20"/>
          <w:color w:val="auto"/>
        </w:rPr>
      </w:pPr>
      <w:r>
        <w:rPr>
          <w:rFonts w:ascii="Times New Roman" w:cs="Times New Roman" w:eastAsia="Times New Roman" w:hAnsi="Times New Roman"/>
          <w:sz w:val="20"/>
          <w:szCs w:val="20"/>
          <w:color w:val="auto"/>
        </w:rPr>
        <w:t>For each of our product candidates, we may conduct Phase 1, Phase 2, and Phase 3 clinical trials of our formulation, the RaniPill platform, or the formulation in combination with the RaniPill platform.</w:t>
      </w:r>
    </w:p>
    <w:p>
      <w:pPr>
        <w:spacing w:after="0" w:line="169"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In some cases, the FDA may require, or we may voluntarily pursue, additional clinical trials after a product is approved to gain more information about the product. These so-called Phase 4 studies may alternatively be made a condition to approval of the BLA or NDA. These trials are used to gain additional experience from the treatment of patients in the intended therapeutic indication and further document clinical benefit in the case of drugs approved under certain regulatory programs, such as accelerated approval regulations. Failure to exhibit due diligence with regard to conducting Phase 4 clinical trials could result in withdrawal of approval for the associated product.</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780"/>
          </w:cols>
          <w:pgMar w:left="720" w:top="930" w:right="740" w:bottom="0" w:gutter="0" w:footer="0" w:header="0"/>
          <w:type w:val="continuous"/>
        </w:sectPr>
      </w:pPr>
    </w:p>
    <w:bookmarkStart w:id="27" w:name="page28"/>
    <w:bookmarkEnd w:id="27"/>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During all phases of clinical development, regulatory agencies require extensive monitoring and auditing of all clinical activities, clinical data, and clinical trial investigators. Progress reports detailing the results of the clinical trials, among other information, must be submitted at least annually to the FDA, and written IND or IDE safety reports must be submitted to the FDA and the investigators for serious and unexpected suspected adverse events, findings from other studies suggesting a significant risk to humans exposed to a particular or similar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Investigational products</w:t>
      </w:r>
    </w:p>
    <w:p>
      <w:pPr>
        <w:spacing w:after="0" w:line="240" w:lineRule="exact"/>
        <w:rPr>
          <w:sz w:val="20"/>
          <w:szCs w:val="20"/>
          <w:color w:val="auto"/>
        </w:rPr>
      </w:pPr>
    </w:p>
    <w:p>
      <w:pPr>
        <w:ind w:right="100" w:firstLine="979"/>
        <w:spacing w:after="0" w:line="258" w:lineRule="auto"/>
        <w:rPr>
          <w:sz w:val="20"/>
          <w:szCs w:val="20"/>
          <w:color w:val="auto"/>
        </w:rPr>
      </w:pPr>
      <w:r>
        <w:rPr>
          <w:rFonts w:ascii="Times New Roman" w:cs="Times New Roman" w:eastAsia="Times New Roman" w:hAnsi="Times New Roman"/>
          <w:sz w:val="20"/>
          <w:szCs w:val="20"/>
          <w:color w:val="auto"/>
        </w:rPr>
        <w:t>Prior to initiating a clinical trial in the United States of an investigational product such as for one of our product candidates, the FDA must grant authorization to proceed. A request for authorization is made by way of an IND or IDE application as applicable for the clinical trial.</w:t>
      </w:r>
    </w:p>
    <w:p>
      <w:pPr>
        <w:spacing w:after="0" w:line="188" w:lineRule="exact"/>
        <w:rPr>
          <w:sz w:val="20"/>
          <w:szCs w:val="20"/>
          <w:color w:val="auto"/>
        </w:rPr>
      </w:pPr>
    </w:p>
    <w:p>
      <w:pPr>
        <w:ind w:right="100" w:firstLine="979"/>
        <w:spacing w:after="0" w:line="249" w:lineRule="auto"/>
        <w:rPr>
          <w:sz w:val="20"/>
          <w:szCs w:val="20"/>
          <w:color w:val="auto"/>
        </w:rPr>
      </w:pPr>
      <w:r>
        <w:rPr>
          <w:rFonts w:ascii="Times New Roman" w:cs="Times New Roman" w:eastAsia="Times New Roman" w:hAnsi="Times New Roman"/>
          <w:sz w:val="20"/>
          <w:szCs w:val="20"/>
          <w:color w:val="auto"/>
        </w:rPr>
        <w:t>An IND is a request for authorization from the FDA to administer an investigational new drug product to humans. The central focus of an IND submission is on the general investigational plan and the protocols to be used in associated preclinical studies and clinical trials. The IND also includes results of animal and in vitro studies already performed to assess toxicology, pharmacokinetics, pharmacology and pharmacodynamic characteristics of the product. The IND further includes chemistry, manufacturing, and controls information, and human data or literature to support the use of the investigational product.</w:t>
      </w:r>
    </w:p>
    <w:p>
      <w:pPr>
        <w:spacing w:after="0" w:line="197" w:lineRule="exact"/>
        <w:rPr>
          <w:sz w:val="20"/>
          <w:szCs w:val="20"/>
          <w:color w:val="auto"/>
        </w:rPr>
      </w:pPr>
    </w:p>
    <w:p>
      <w:pPr>
        <w:ind w:firstLine="979"/>
        <w:spacing w:after="0" w:line="258" w:lineRule="auto"/>
        <w:rPr>
          <w:sz w:val="20"/>
          <w:szCs w:val="20"/>
          <w:color w:val="auto"/>
        </w:rPr>
      </w:pPr>
      <w:r>
        <w:rPr>
          <w:rFonts w:ascii="Times New Roman" w:cs="Times New Roman" w:eastAsia="Times New Roman" w:hAnsi="Times New Roman"/>
          <w:sz w:val="20"/>
          <w:szCs w:val="20"/>
          <w:color w:val="auto"/>
        </w:rPr>
        <w:t>An IDE is a request for authorization from the FDA to allow an investigational device to be used in a clinical trial to collect safety and effectiveness data. The IDE application must be supported by appropriate data, such as animal and laboratory testing results, showing that it is safe to test the device in humans and that the testing protocol is scientifically sound.</w:t>
      </w:r>
    </w:p>
    <w:p>
      <w:pPr>
        <w:spacing w:after="0" w:line="188" w:lineRule="exact"/>
        <w:rPr>
          <w:sz w:val="20"/>
          <w:szCs w:val="20"/>
          <w:color w:val="auto"/>
        </w:rPr>
      </w:pPr>
    </w:p>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An IND or IDE must become effective before human clinical trials may begin. The IND or IDE automatically becomes effective 30 days after receipt by the FDA, unless the FDA, within the 30-day period, raises safety concerns or questions about the proposed clinical trial. In such a case, the IND or IDE may be placed on clinical hold to resolve any outstanding concerns or questions before the clinical trial can begin.</w:t>
      </w:r>
    </w:p>
    <w:p>
      <w:pPr>
        <w:spacing w:after="0" w:line="194" w:lineRule="exact"/>
        <w:rPr>
          <w:sz w:val="20"/>
          <w:szCs w:val="20"/>
          <w:color w:val="auto"/>
        </w:rPr>
      </w:pPr>
    </w:p>
    <w:p>
      <w:pPr>
        <w:ind w:right="280" w:firstLine="979"/>
        <w:spacing w:after="0" w:line="277" w:lineRule="auto"/>
        <w:rPr>
          <w:sz w:val="20"/>
          <w:szCs w:val="20"/>
          <w:color w:val="auto"/>
        </w:rPr>
      </w:pPr>
      <w:r>
        <w:rPr>
          <w:rFonts w:ascii="Times New Roman" w:cs="Times New Roman" w:eastAsia="Times New Roman" w:hAnsi="Times New Roman"/>
          <w:sz w:val="20"/>
          <w:szCs w:val="20"/>
          <w:color w:val="auto"/>
        </w:rPr>
        <w:t>The FDA’s approval of an IND or IDE does not bind the FDA to accept the results of the trial as sufficient to prove the stated conclusions, even if the trial meets its intended success criteria.</w:t>
      </w:r>
    </w:p>
    <w:p>
      <w:pPr>
        <w:spacing w:after="0" w:line="169" w:lineRule="exact"/>
        <w:rPr>
          <w:sz w:val="20"/>
          <w:szCs w:val="20"/>
          <w:color w:val="auto"/>
        </w:rPr>
      </w:pPr>
    </w:p>
    <w:p>
      <w:pPr>
        <w:ind w:right="380" w:firstLine="979"/>
        <w:spacing w:after="0" w:line="252" w:lineRule="auto"/>
        <w:rPr>
          <w:sz w:val="20"/>
          <w:szCs w:val="20"/>
          <w:color w:val="auto"/>
        </w:rPr>
      </w:pPr>
      <w:r>
        <w:rPr>
          <w:rFonts w:ascii="Times New Roman" w:cs="Times New Roman" w:eastAsia="Times New Roman" w:hAnsi="Times New Roman"/>
          <w:sz w:val="20"/>
          <w:szCs w:val="20"/>
          <w:color w:val="auto"/>
        </w:rPr>
        <w:t>All clinical trials must be conducted in accordance with FDA regulations that govern investigational product labeling, prohibit promotion, and specify an array of recordkeeping, reporting, and monitoring responsibilities of study sponsors and study investigators. Required records and reports are subject to inspection by the FDA. Clinical trials must further comply with FDA regulations that govern institutional review board approval, informed consent, and other human subject protections.</w:t>
      </w:r>
    </w:p>
    <w:p>
      <w:pPr>
        <w:spacing w:after="0" w:line="194" w:lineRule="exact"/>
        <w:rPr>
          <w:sz w:val="20"/>
          <w:szCs w:val="20"/>
          <w:color w:val="auto"/>
        </w:rPr>
      </w:pPr>
    </w:p>
    <w:p>
      <w:pPr>
        <w:ind w:right="300" w:firstLine="979"/>
        <w:spacing w:after="0" w:line="277" w:lineRule="auto"/>
        <w:rPr>
          <w:sz w:val="20"/>
          <w:szCs w:val="20"/>
          <w:color w:val="auto"/>
        </w:rPr>
      </w:pPr>
      <w:r>
        <w:rPr>
          <w:rFonts w:ascii="Times New Roman" w:cs="Times New Roman" w:eastAsia="Times New Roman" w:hAnsi="Times New Roman"/>
          <w:sz w:val="20"/>
          <w:szCs w:val="20"/>
          <w:color w:val="auto"/>
        </w:rPr>
        <w:t>An amendment to the existing IND or IDE must be made for subsequent protocol changes and also for each successive clinical trial conducted during product development.</w:t>
      </w:r>
    </w:p>
    <w:p>
      <w:pPr>
        <w:spacing w:after="0" w:line="169" w:lineRule="exact"/>
        <w:rPr>
          <w:sz w:val="20"/>
          <w:szCs w:val="20"/>
          <w:color w:val="auto"/>
        </w:rPr>
      </w:pPr>
    </w:p>
    <w:p>
      <w:pPr>
        <w:ind w:right="20" w:firstLine="979"/>
        <w:spacing w:after="0" w:line="252" w:lineRule="auto"/>
        <w:rPr>
          <w:sz w:val="20"/>
          <w:szCs w:val="20"/>
          <w:color w:val="auto"/>
        </w:rPr>
      </w:pPr>
      <w:r>
        <w:rPr>
          <w:rFonts w:ascii="Times New Roman" w:cs="Times New Roman" w:eastAsia="Times New Roman" w:hAnsi="Times New Roman"/>
          <w:sz w:val="20"/>
          <w:szCs w:val="20"/>
          <w:color w:val="auto"/>
        </w:rPr>
        <w:t>Although the FDA Quality System Regulation does not fully apply to investigational products, the requirement for controls on design and development does apply. The sponsor also must manufacture the investigational product in conformity with the quality controls described in the IND or IDE application and any conditions of IND or IDE approval that FDA may impose with respect to manufacturing.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BLA/NDA review process</w:t>
      </w:r>
    </w:p>
    <w:p>
      <w:pPr>
        <w:spacing w:after="0" w:line="240"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product candidate for one or more specified indications and must contain proof of safety and efficacy for a drug or safety, purity, and potency for a biological product. The application may include both negative and ambiguous results of preclinical studies and clinical trials, as well as positive findings. Data may come from company-sponsored clinical trials intended to test the safety and efficacy of a product’s use and/or from a number of alternative sources, including studies initiated by investigators or cooperative clinical groups.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930" w:right="720" w:bottom="0" w:gutter="0" w:footer="0" w:header="0"/>
          <w:type w:val="continuous"/>
        </w:sectPr>
      </w:pPr>
    </w:p>
    <w:bookmarkStart w:id="28" w:name="page29"/>
    <w:bookmarkEnd w:id="28"/>
    <w:p>
      <w:pPr>
        <w:ind w:right="60" w:firstLine="979"/>
        <w:spacing w:after="0" w:line="249" w:lineRule="auto"/>
        <w:rPr>
          <w:sz w:val="20"/>
          <w:szCs w:val="20"/>
          <w:color w:val="auto"/>
        </w:rPr>
      </w:pPr>
      <w:r>
        <w:rPr>
          <w:rFonts w:ascii="Times New Roman" w:cs="Times New Roman" w:eastAsia="Times New Roman" w:hAnsi="Times New Roman"/>
          <w:sz w:val="20"/>
          <w:szCs w:val="20"/>
          <w:color w:val="auto"/>
        </w:rPr>
        <w:t>Under the Prescription Drug User Fee Act (“PDUFA”) and the Biologics Price Competition and Innovation Act of 2009 (“BPCI”), as amended, each NDA or BLA must be accompanied by a user fee. User fees may be adjusted on an annual basis. PDUFA also imposes an annual program fee for each marketed human drug or biologic. Biosimilar User Fee Amendments impose a user fee for a biosimilar development program at the time of the first meeting with the FDA or the initial IND submission, whichever occurs first. This fee must be paid annually.</w:t>
      </w:r>
    </w:p>
    <w:p>
      <w:pPr>
        <w:spacing w:after="0" w:line="197" w:lineRule="exact"/>
        <w:rPr>
          <w:sz w:val="20"/>
          <w:szCs w:val="20"/>
          <w:color w:val="auto"/>
        </w:rPr>
      </w:pPr>
    </w:p>
    <w:p>
      <w:pPr>
        <w:ind w:right="80" w:firstLine="979"/>
        <w:spacing w:after="0" w:line="246" w:lineRule="auto"/>
        <w:rPr>
          <w:sz w:val="20"/>
          <w:szCs w:val="20"/>
          <w:color w:val="auto"/>
        </w:rPr>
      </w:pPr>
      <w:r>
        <w:rPr>
          <w:rFonts w:ascii="Times New Roman" w:cs="Times New Roman" w:eastAsia="Times New Roman" w:hAnsi="Times New Roman"/>
          <w:sz w:val="20"/>
          <w:szCs w:val="20"/>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and respond to the applicant, or six months if the submission is designated for priority review. The FDA does not always meet its PDUFA goal dates for standard and priority NDAs or BLAs, and the review process may be extended by FDA requests for additional information or clarification.</w:t>
      </w:r>
    </w:p>
    <w:p>
      <w:pPr>
        <w:spacing w:after="0" w:line="200"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specific deficiencies in the NDA or BLA identified by the FDA. A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Research Equity Act (PREA)</w:t>
      </w:r>
    </w:p>
    <w:p>
      <w:pPr>
        <w:spacing w:after="0" w:line="240" w:lineRule="exact"/>
        <w:rPr>
          <w:sz w:val="20"/>
          <w:szCs w:val="20"/>
          <w:color w:val="auto"/>
        </w:rPr>
      </w:pPr>
    </w:p>
    <w:p>
      <w:pPr>
        <w:ind w:firstLine="979"/>
        <w:spacing w:after="0" w:line="243" w:lineRule="auto"/>
        <w:rPr>
          <w:sz w:val="20"/>
          <w:szCs w:val="20"/>
          <w:color w:val="auto"/>
        </w:rPr>
      </w:pPr>
      <w:r>
        <w:rPr>
          <w:rFonts w:ascii="Times New Roman" w:cs="Times New Roman" w:eastAsia="Times New Roman" w:hAnsi="Times New Roman"/>
          <w:sz w:val="20"/>
          <w:szCs w:val="20"/>
          <w:color w:val="auto"/>
        </w:rPr>
        <w:t>Under the Pediatric Research Equity Act (“PREA”), a BLA or NDA submission or supplement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930" w:right="72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240"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The FDA has a number of programs intended to expedite the development or review of products that meet certain criteria. For example, presently the FDA has a fast-track designation, a priority review path, an accelerated approval path, and a breakthrough therapy designation. Any product submitted to the FDA for approval may be eligible for one or more of such FDA programs intended to expedite development and review. These expedited approvals do not change the standards for approval but may expedite the development or approval process. We may explore some of these opportunities for our product candidates as appropriate.</w:t>
      </w:r>
    </w:p>
    <w:p>
      <w:pPr>
        <w:spacing w:after="0" w:line="211" w:lineRule="exact"/>
        <w:rPr>
          <w:sz w:val="20"/>
          <w:szCs w:val="20"/>
          <w:color w:val="auto"/>
        </w:rPr>
      </w:pPr>
    </w:p>
    <w:p>
      <w:pPr>
        <w:ind w:left="720" w:hanging="360"/>
        <w:spacing w:after="0" w:line="249"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New drugs may be eligible for fast-track designation if they are intended to treat a serious or life-threatening disease or condition and demonstrate the potential to address unmet medical needs for the disease or condition. Fast-track designation applies to the combination of the product and the specific indication for which it is being studied. The sponsor of a fast-track product has opportunities for more frequent interactions with the review team during product development, and the FDA may consider sections of the BLA or NDA for review on a rolling basis before the complete application is submitted.</w:t>
      </w:r>
    </w:p>
    <w:p>
      <w:pPr>
        <w:spacing w:after="0" w:line="210" w:lineRule="exact"/>
        <w:rPr>
          <w:rFonts w:ascii="Arial" w:cs="Arial" w:eastAsia="Arial" w:hAnsi="Arial"/>
          <w:sz w:val="20"/>
          <w:szCs w:val="20"/>
          <w:color w:val="auto"/>
        </w:rPr>
      </w:pPr>
    </w:p>
    <w:p>
      <w:pPr>
        <w:ind w:left="720" w:right="20" w:hanging="360"/>
        <w:spacing w:after="0" w:line="247"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 product is eligible for priority review if it has the potential to provide safe and effective therapy where no satisfactory alternative therapy exists or to provide a significant improvement in the treatment, diagnosis or prevention of a disease compared to marketed products. The FDA will attempt to direct additional resources to the evaluation of a BLA or NDA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213" w:lineRule="exact"/>
        <w:rPr>
          <w:rFonts w:ascii="Arial" w:cs="Arial" w:eastAsia="Arial" w:hAnsi="Arial"/>
          <w:sz w:val="20"/>
          <w:szCs w:val="20"/>
          <w:color w:val="auto"/>
        </w:rPr>
      </w:pPr>
    </w:p>
    <w:p>
      <w:pPr>
        <w:ind w:left="720" w:right="40" w:hanging="360"/>
        <w:spacing w:after="0" w:line="245"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Products intended to treat serious or life threatening diseases or conditions may be eligible for accelerated approval upon a determination that the product has an effect on a surrogate endpoint that is reasonably likely to predict clinical benefit, has an effect on a clinical endpoint that can be measured earlier than irreversible morbidity or mortality, or that is reasonably likely to predict an effect on irreversible morbidity or mortality or other clinical benefit, taking into account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215" w:lineRule="exact"/>
        <w:rPr>
          <w:rFonts w:ascii="Arial" w:cs="Arial" w:eastAsia="Arial" w:hAnsi="Arial"/>
          <w:sz w:val="20"/>
          <w:szCs w:val="20"/>
          <w:color w:val="auto"/>
        </w:rPr>
      </w:pPr>
    </w:p>
    <w:p>
      <w:pPr>
        <w:ind w:left="720" w:right="40" w:hanging="360"/>
        <w:spacing w:after="0" w:line="249"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Food and Drug Administration Safety and Innovation Act established a category referred to as “breakthrough therapies.”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w:t>
      </w:r>
    </w:p>
    <w:p>
      <w:pPr>
        <w:spacing w:after="0" w:line="196" w:lineRule="exact"/>
        <w:rPr>
          <w:sz w:val="20"/>
          <w:szCs w:val="20"/>
          <w:color w:val="auto"/>
        </w:rPr>
      </w:pPr>
    </w:p>
    <w:p>
      <w:pPr>
        <w:ind w:right="100" w:firstLine="979"/>
        <w:spacing w:after="0" w:line="277"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may decide that the time period for FDA review or approval will not be shortened.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40" w:lineRule="exact"/>
        <w:rPr>
          <w:sz w:val="20"/>
          <w:szCs w:val="20"/>
          <w:color w:val="auto"/>
        </w:rPr>
      </w:pPr>
    </w:p>
    <w:p>
      <w:pPr>
        <w:ind w:right="40" w:firstLine="979"/>
        <w:spacing w:after="0" w:line="255" w:lineRule="auto"/>
        <w:rPr>
          <w:sz w:val="20"/>
          <w:szCs w:val="20"/>
          <w:color w:val="auto"/>
        </w:rPr>
      </w:pPr>
      <w:r>
        <w:rPr>
          <w:rFonts w:ascii="Times New Roman" w:cs="Times New Roman" w:eastAsia="Times New Roman" w:hAnsi="Times New Roman"/>
          <w:sz w:val="19"/>
          <w:szCs w:val="19"/>
          <w:color w:val="auto"/>
        </w:rPr>
        <w:t>Any products manufactured or distributed by us pursuant to FDA approvals are subject to pervasive and continuing regulation by the FDA, including, among other things, requirements relating to cGMP, quality controls, record-keeping, reporting of adverse experiences, periodic reporting, product sampling and distribution, and advertising and promotion of the product. After approval, most changes to the approved product, including adding new indications or other labeling claims, are subject to prior FDA review and approval. There also are continuing user fee requirements, under which the FDA assesses an annual program fee for each approved product. The FDA regulations require that products be manufactured in specific approved facilities and in accordance with cGMP. Biologics manufacturers and their subcontractors are required to register their establishments with the FDA and certain state agencies, and are subject to periodic unannounced inspections by the FDA and certain state agencies for compliance with cGMP,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We are responsible for the selection and monitoring of qualified contract manufacturers, laboratories, and packagers, and, in certain circumstances, qualified suppliers to them. These facilities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we must continue to expend time, money, and effort on quality control for our own facilities and the facilities of others which contribute to the commercialization of our final product, to maintain compliance with cGMP and other aspects of regulatory compliance.</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780"/>
          </w:cols>
          <w:pgMar w:left="720" w:top="930" w:right="740" w:bottom="0" w:gutter="0" w:footer="0" w:header="0"/>
          <w:type w:val="continuous"/>
        </w:sectPr>
      </w:pPr>
    </w:p>
    <w:bookmarkStart w:id="30" w:name="page31"/>
    <w:bookmarkEnd w:id="30"/>
    <w:p>
      <w:pPr>
        <w:ind w:right="380" w:firstLine="979"/>
        <w:spacing w:after="0" w:line="247"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risk evaluation and mitigation strategy (“REMS”) program. Other potential consequences include, among other things:</w:t>
      </w:r>
    </w:p>
    <w:p>
      <w:pPr>
        <w:spacing w:after="0" w:line="214" w:lineRule="exact"/>
        <w:rPr>
          <w:sz w:val="20"/>
          <w:szCs w:val="20"/>
          <w:color w:val="auto"/>
        </w:rPr>
      </w:pPr>
    </w:p>
    <w:p>
      <w:pPr>
        <w:ind w:left="1240" w:right="180" w:hanging="370"/>
        <w:spacing w:after="0" w:line="276" w:lineRule="auto"/>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a product, complete withdrawal of the product from the market, or product recalls;</w:t>
      </w:r>
    </w:p>
    <w:p>
      <w:pPr>
        <w:spacing w:after="0" w:line="184" w:lineRule="exact"/>
        <w:rPr>
          <w:rFonts w:ascii="Arial" w:cs="Arial" w:eastAsia="Arial" w:hAnsi="Arial"/>
          <w:sz w:val="20"/>
          <w:szCs w:val="20"/>
          <w:color w:val="auto"/>
        </w:rPr>
      </w:pPr>
    </w:p>
    <w:p>
      <w:pPr>
        <w:ind w:left="1240" w:hanging="370"/>
        <w:spacing w:after="0"/>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253" w:lineRule="exact"/>
        <w:rPr>
          <w:rFonts w:ascii="Arial" w:cs="Arial" w:eastAsia="Arial" w:hAnsi="Arial"/>
          <w:sz w:val="20"/>
          <w:szCs w:val="20"/>
          <w:color w:val="auto"/>
        </w:rPr>
      </w:pPr>
    </w:p>
    <w:p>
      <w:pPr>
        <w:ind w:left="1240" w:right="680" w:hanging="370"/>
        <w:spacing w:after="0" w:line="276" w:lineRule="auto"/>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existing product approvals;</w:t>
      </w:r>
    </w:p>
    <w:p>
      <w:pPr>
        <w:spacing w:after="0" w:line="184" w:lineRule="exact"/>
        <w:rPr>
          <w:rFonts w:ascii="Arial" w:cs="Arial" w:eastAsia="Arial" w:hAnsi="Arial"/>
          <w:sz w:val="20"/>
          <w:szCs w:val="20"/>
          <w:color w:val="auto"/>
        </w:rPr>
      </w:pPr>
    </w:p>
    <w:p>
      <w:pPr>
        <w:ind w:left="1240" w:hanging="370"/>
        <w:spacing w:after="0"/>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of the FDA to permit the import or export of products;</w:t>
      </w:r>
    </w:p>
    <w:p>
      <w:pPr>
        <w:spacing w:after="0" w:line="253" w:lineRule="exact"/>
        <w:rPr>
          <w:rFonts w:ascii="Arial" w:cs="Arial" w:eastAsia="Arial" w:hAnsi="Arial"/>
          <w:sz w:val="20"/>
          <w:szCs w:val="20"/>
          <w:color w:val="auto"/>
        </w:rPr>
      </w:pPr>
    </w:p>
    <w:p>
      <w:pPr>
        <w:ind w:left="1240" w:hanging="370"/>
        <w:spacing w:after="0"/>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253" w:lineRule="exact"/>
        <w:rPr>
          <w:rFonts w:ascii="Arial" w:cs="Arial" w:eastAsia="Arial" w:hAnsi="Arial"/>
          <w:sz w:val="20"/>
          <w:szCs w:val="20"/>
          <w:color w:val="auto"/>
        </w:rPr>
      </w:pPr>
    </w:p>
    <w:p>
      <w:pPr>
        <w:ind w:left="1240" w:hanging="370"/>
        <w:spacing w:after="0"/>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253" w:lineRule="exact"/>
        <w:rPr>
          <w:rFonts w:ascii="Arial" w:cs="Arial" w:eastAsia="Arial" w:hAnsi="Arial"/>
          <w:sz w:val="20"/>
          <w:szCs w:val="20"/>
          <w:color w:val="auto"/>
        </w:rPr>
      </w:pPr>
    </w:p>
    <w:p>
      <w:pPr>
        <w:ind w:left="1240" w:right="300" w:hanging="370"/>
        <w:spacing w:after="0" w:line="276" w:lineRule="auto"/>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and other communications containing warnings or other safety information about the product, and</w:t>
      </w:r>
    </w:p>
    <w:p>
      <w:pPr>
        <w:spacing w:after="0" w:line="184" w:lineRule="exact"/>
        <w:rPr>
          <w:rFonts w:ascii="Arial" w:cs="Arial" w:eastAsia="Arial" w:hAnsi="Arial"/>
          <w:sz w:val="20"/>
          <w:szCs w:val="20"/>
          <w:color w:val="auto"/>
        </w:rPr>
      </w:pPr>
    </w:p>
    <w:p>
      <w:pPr>
        <w:ind w:left="1240" w:hanging="370"/>
        <w:spacing w:after="0"/>
        <w:tabs>
          <w:tab w:leader="none" w:pos="12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9" w:lineRule="exact"/>
        <w:rPr>
          <w:sz w:val="20"/>
          <w:szCs w:val="20"/>
          <w:color w:val="auto"/>
        </w:rPr>
      </w:pPr>
    </w:p>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The FDA closely regulates the marketing, labeling, advertising, and promotion of biologics. A company can make only those claims relating to safety,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one or more of adverse publicity, warning letters, corrective advertising, civil penalties, criminal penalties, government investigation,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Orange Book; Purple Book</w:t>
      </w:r>
    </w:p>
    <w:p>
      <w:pPr>
        <w:spacing w:after="0" w:line="240" w:lineRule="exact"/>
        <w:rPr>
          <w:sz w:val="20"/>
          <w:szCs w:val="20"/>
          <w:color w:val="auto"/>
        </w:rPr>
      </w:pPr>
    </w:p>
    <w:p>
      <w:pPr>
        <w:ind w:right="340" w:firstLine="979"/>
        <w:spacing w:after="0" w:line="258" w:lineRule="auto"/>
        <w:rPr>
          <w:sz w:val="20"/>
          <w:szCs w:val="20"/>
          <w:color w:val="auto"/>
        </w:rPr>
      </w:pPr>
      <w:r>
        <w:rPr>
          <w:rFonts w:ascii="Times New Roman" w:cs="Times New Roman" w:eastAsia="Times New Roman" w:hAnsi="Times New Roman"/>
          <w:sz w:val="20"/>
          <w:szCs w:val="20"/>
          <w:color w:val="auto"/>
        </w:rPr>
        <w:t>The FDA publishes the Orange Book for products following the NDA pathway and the Purple Book for products following the BLA pathway. Our product candidates will be listed in the Orange Book after approval for marketing or listed in the Purple Book after license for marketing, as applicable.</w:t>
      </w:r>
    </w:p>
    <w:p>
      <w:pPr>
        <w:spacing w:after="0" w:line="188"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The Orange Book contains information about all FDA-approved drug products regulated by CDER and their exclusivities. The Orange Book also includes patent information. The applicant provides patent information to the FDA as part of its NDA, or after patent grant. Orange Book patent listing provides a 30 month stay of FDA approval of any generic submitted via an abbreviated new drug application (“ANDA”). An applicant submitting an ANDA must, for each patent listed against the approved drug in the Orange Book, either (i) state that the ANDA applicant is not seeking approval for a patented method of use, (ii) ask the FDA to delay approval until that patent is expired (a “Paragraph III” certification), or (iii) attest that the patent is invalid, unenforceable, or will not be infringed by the generic product (a “Paragraph IV” certification), which can trigger ANDA litigation over the associated patent.</w:t>
      </w:r>
    </w:p>
    <w:p>
      <w:pPr>
        <w:spacing w:after="0" w:line="200" w:lineRule="exact"/>
        <w:rPr>
          <w:sz w:val="20"/>
          <w:szCs w:val="20"/>
          <w:color w:val="auto"/>
        </w:rPr>
      </w:pPr>
    </w:p>
    <w:p>
      <w:pPr>
        <w:ind w:right="80" w:firstLine="979"/>
        <w:spacing w:after="0" w:line="249" w:lineRule="auto"/>
        <w:rPr>
          <w:sz w:val="20"/>
          <w:szCs w:val="20"/>
          <w:color w:val="auto"/>
        </w:rPr>
      </w:pPr>
      <w:r>
        <w:rPr>
          <w:rFonts w:ascii="Times New Roman" w:cs="Times New Roman" w:eastAsia="Times New Roman" w:hAnsi="Times New Roman"/>
          <w:sz w:val="20"/>
          <w:szCs w:val="20"/>
          <w:color w:val="auto"/>
        </w:rPr>
        <w:t>The purple book contains information about all FDA-licensed biological products regulated by CBER, including licensed biosimilar and interchangeable products and their reference products, and FDA-licensed allergenic, cellular and gene therapy, hematologic, and vaccine products regulated by CBER. The Purple Book includes granted exclusivity information. The Purple Book also includes for each biological product a list of patents identified to a biosimilar applicant during biosimilar litigation under the BPCIA.</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780"/>
          </w:cols>
          <w:pgMar w:left="720" w:top="930" w:right="74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Exclusivities</w:t>
      </w:r>
    </w:p>
    <w:p>
      <w:pPr>
        <w:spacing w:after="0" w:line="240" w:lineRule="exact"/>
        <w:rPr>
          <w:sz w:val="20"/>
          <w:szCs w:val="20"/>
          <w:color w:val="auto"/>
        </w:rPr>
      </w:pPr>
    </w:p>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Some of our product candidates may be eligible for exclusivities provided under various FDA programs. Exclusivity refers to certain delays and prohibitions on approval of competitor drugs available under an applicable statute that take effect upon FDA’s approval of a biologic or drug, or of certain supplements to the BLA or NDA. Exclusivities do not convey any advantage in or shorten the duration of the regulatory review and approval process.</w:t>
      </w:r>
    </w:p>
    <w:p>
      <w:pPr>
        <w:spacing w:after="0" w:line="194" w:lineRule="exact"/>
        <w:rPr>
          <w:sz w:val="20"/>
          <w:szCs w:val="20"/>
          <w:color w:val="auto"/>
        </w:rPr>
      </w:pPr>
    </w:p>
    <w:p>
      <w:pPr>
        <w:ind w:right="260" w:firstLine="979"/>
        <w:spacing w:after="0" w:line="252" w:lineRule="auto"/>
        <w:rPr>
          <w:sz w:val="20"/>
          <w:szCs w:val="20"/>
          <w:color w:val="auto"/>
        </w:rPr>
      </w:pPr>
      <w:r>
        <w:rPr>
          <w:rFonts w:ascii="Times New Roman" w:cs="Times New Roman" w:eastAsia="Times New Roman" w:hAnsi="Times New Roman"/>
          <w:sz w:val="20"/>
          <w:szCs w:val="20"/>
          <w:color w:val="auto"/>
        </w:rPr>
        <w:t>For an applicant to be able to take advantage of the Pediatric exclusivity, the FDA must make a written request for a pediatric study to be performed, although the applicant may request for the FDA to make the request for a pediatric study. After the study is performed, the applicant may request Pediatric exclusivity. If granted, 180 days of patent term are added to the patent term listed in the Orange Book.</w:t>
      </w:r>
    </w:p>
    <w:p>
      <w:pPr>
        <w:spacing w:after="0" w:line="194" w:lineRule="exact"/>
        <w:rPr>
          <w:sz w:val="20"/>
          <w:szCs w:val="20"/>
          <w:color w:val="auto"/>
        </w:rPr>
      </w:pPr>
    </w:p>
    <w:p>
      <w:pPr>
        <w:ind w:right="220" w:firstLine="979"/>
        <w:spacing w:after="0" w:line="258" w:lineRule="auto"/>
        <w:rPr>
          <w:sz w:val="20"/>
          <w:szCs w:val="20"/>
          <w:color w:val="auto"/>
        </w:rPr>
      </w:pPr>
      <w:r>
        <w:rPr>
          <w:rFonts w:ascii="Times New Roman" w:cs="Times New Roman" w:eastAsia="Times New Roman" w:hAnsi="Times New Roman"/>
          <w:sz w:val="20"/>
          <w:szCs w:val="20"/>
          <w:color w:val="auto"/>
        </w:rPr>
        <w:t>With respect to other FDA exclusivity programs, in some cases the exclusivity programs will not apply to our product candidates due to our unique formulation or oral capsule technology, or it is unclear the extent to which they will apply, or they will not apply to most or all of the product candidates in our pipeline.</w:t>
      </w:r>
    </w:p>
    <w:p>
      <w:pPr>
        <w:spacing w:after="0" w:line="188" w:lineRule="exact"/>
        <w:rPr>
          <w:sz w:val="20"/>
          <w:szCs w:val="20"/>
          <w:color w:val="auto"/>
        </w:rPr>
      </w:pPr>
    </w:p>
    <w:p>
      <w:pPr>
        <w:ind w:right="300" w:firstLine="979"/>
        <w:spacing w:after="0" w:line="252" w:lineRule="auto"/>
        <w:rPr>
          <w:sz w:val="20"/>
          <w:szCs w:val="20"/>
          <w:color w:val="auto"/>
        </w:rPr>
      </w:pPr>
      <w:r>
        <w:rPr>
          <w:rFonts w:ascii="Times New Roman" w:cs="Times New Roman" w:eastAsia="Times New Roman" w:hAnsi="Times New Roman"/>
          <w:sz w:val="20"/>
          <w:szCs w:val="20"/>
          <w:color w:val="auto"/>
        </w:rPr>
        <w:t>For exclusivity programs that apply to our product candidates, we will consider pursuing such exclusivities at the appropriate time. However, we do not expect any of the exclusivities to provide us significant competitive advantage. Exclusivities granted to our competitors could block approval and/or commercialization of one or more of our product candidates, possibly for several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 and compliance requirements</w:t>
      </w:r>
    </w:p>
    <w:p>
      <w:pPr>
        <w:spacing w:after="0" w:line="240" w:lineRule="exact"/>
        <w:rPr>
          <w:sz w:val="20"/>
          <w:szCs w:val="20"/>
          <w:color w:val="auto"/>
        </w:rPr>
      </w:pPr>
    </w:p>
    <w:p>
      <w:pPr>
        <w:ind w:right="80" w:firstLine="979"/>
        <w:spacing w:after="0" w:line="249" w:lineRule="auto"/>
        <w:rPr>
          <w:sz w:val="20"/>
          <w:szCs w:val="20"/>
          <w:color w:val="auto"/>
        </w:rPr>
      </w:pPr>
      <w:r>
        <w:rPr>
          <w:rFonts w:ascii="Times New Roman" w:cs="Times New Roman" w:eastAsia="Times New Roman" w:hAnsi="Times New Roman"/>
          <w:sz w:val="20"/>
          <w:szCs w:val="20"/>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(“HIPAA”), and similar foreign, federal, and state fraud and abuse, transparency, and data privacy and security laws.</w:t>
      </w:r>
    </w:p>
    <w:p>
      <w:pPr>
        <w:spacing w:after="0" w:line="197"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and so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211"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w:t>
      </w:r>
    </w:p>
    <w:p>
      <w:pPr>
        <w:spacing w:after="0" w:line="200" w:lineRule="exact"/>
        <w:rPr>
          <w:sz w:val="20"/>
          <w:szCs w:val="20"/>
          <w:color w:val="auto"/>
        </w:rPr>
      </w:pPr>
    </w:p>
    <w:p>
      <w:pPr>
        <w:ind w:right="60" w:firstLine="979"/>
        <w:spacing w:after="0" w:line="246" w:lineRule="auto"/>
        <w:rPr>
          <w:sz w:val="20"/>
          <w:szCs w:val="20"/>
          <w:color w:val="auto"/>
        </w:rPr>
      </w:pPr>
      <w:r>
        <w:rPr>
          <w:rFonts w:ascii="Times New Roman" w:cs="Times New Roman" w:eastAsia="Times New Roman" w:hAnsi="Times New Roman"/>
          <w:sz w:val="20"/>
          <w:szCs w:val="20"/>
          <w:color w:val="auto"/>
        </w:rPr>
        <w:t>The U.S. federal Physician Payments Sunshine Act requires applicable manufacturers of prescription drugs, devices, biological products,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780"/>
          </w:cols>
          <w:pgMar w:left="720" w:top="930" w:right="740" w:bottom="0" w:gutter="0" w:footer="0" w:header="0"/>
          <w:type w:val="continuous"/>
        </w:sectPr>
      </w:pPr>
    </w:p>
    <w:bookmarkStart w:id="32" w:name="page33"/>
    <w:bookmarkEnd w:id="32"/>
    <w:p>
      <w:pPr>
        <w:ind w:right="40" w:firstLine="979"/>
        <w:spacing w:after="0" w:line="261" w:lineRule="auto"/>
        <w:rPr>
          <w:sz w:val="20"/>
          <w:szCs w:val="20"/>
          <w:color w:val="auto"/>
        </w:rPr>
      </w:pPr>
      <w:r>
        <w:rPr>
          <w:rFonts w:ascii="Times New Roman" w:cs="Times New Roman" w:eastAsia="Times New Roman" w:hAnsi="Times New Roman"/>
          <w:sz w:val="19"/>
          <w:szCs w:val="19"/>
          <w:color w:val="auto"/>
        </w:rPr>
        <w:t>HIPAA created additional federal criminal statutes that prohibit, among other things, executing a scheme to defraud any healthcare benefit program, including private third-party payors, and making false statements relating to healthcare matters. In addition, HIPAA, as amended the Health Information Technology for Economic and Clinical Health Act of 2009 (“HITECH”), and their implementing regulations, impose certain requirements on HIPAA covered entities, which include certain healthcare providers, healthcare clearinghouses, and health plans, and individuals and entities, known as business associates, and their covered subcontractors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87" w:lineRule="exact"/>
        <w:rPr>
          <w:sz w:val="20"/>
          <w:szCs w:val="20"/>
          <w:color w:val="auto"/>
        </w:rPr>
      </w:pPr>
    </w:p>
    <w:p>
      <w:pPr>
        <w:ind w:right="140" w:firstLine="979"/>
        <w:spacing w:after="0" w:line="305" w:lineRule="auto"/>
        <w:rPr>
          <w:sz w:val="20"/>
          <w:szCs w:val="20"/>
          <w:color w:val="auto"/>
        </w:rPr>
      </w:pPr>
      <w:r>
        <w:rPr>
          <w:rFonts w:ascii="Times New Roman" w:cs="Times New Roman" w:eastAsia="Times New Roman" w:hAnsi="Times New Roman"/>
          <w:sz w:val="19"/>
          <w:szCs w:val="19"/>
          <w:color w:val="auto"/>
        </w:rPr>
        <w:t>We are also subject to additional similar U.S. state and foreign law equivalents of each of the above federal laws, which, in some cases, differ from each other in significant ways, and may not have the same effect, complicating compliance efforts.</w:t>
      </w:r>
    </w:p>
    <w:p>
      <w:pPr>
        <w:spacing w:after="0" w:line="145" w:lineRule="exact"/>
        <w:rPr>
          <w:sz w:val="20"/>
          <w:szCs w:val="20"/>
          <w:color w:val="auto"/>
        </w:rPr>
      </w:pPr>
    </w:p>
    <w:p>
      <w:pPr>
        <w:ind w:right="80" w:firstLine="979"/>
        <w:spacing w:after="0" w:line="247" w:lineRule="auto"/>
        <w:rPr>
          <w:sz w:val="20"/>
          <w:szCs w:val="20"/>
          <w:color w:val="auto"/>
        </w:rPr>
      </w:pPr>
      <w:r>
        <w:rPr>
          <w:rFonts w:ascii="Times New Roman" w:cs="Times New Roman" w:eastAsia="Times New Roman" w:hAnsi="Times New Roman"/>
          <w:sz w:val="20"/>
          <w:szCs w:val="20"/>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 of non-compliance, disgorgement, imprisonment, contractual damages, reputational harm, diminished profits and market share, and the curtailment or restructuring of our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240" w:lineRule="exact"/>
        <w:rPr>
          <w:sz w:val="20"/>
          <w:szCs w:val="20"/>
          <w:color w:val="auto"/>
        </w:rPr>
      </w:pPr>
    </w:p>
    <w:p>
      <w:pPr>
        <w:ind w:right="40" w:firstLine="979"/>
        <w:spacing w:after="0" w:line="258" w:lineRule="auto"/>
        <w:rPr>
          <w:sz w:val="20"/>
          <w:szCs w:val="20"/>
          <w:color w:val="auto"/>
        </w:rPr>
      </w:pPr>
      <w:r>
        <w:rPr>
          <w:rFonts w:ascii="Times New Roman" w:cs="Times New Roman" w:eastAsia="Times New Roman" w:hAnsi="Times New Roman"/>
          <w:sz w:val="20"/>
          <w:szCs w:val="20"/>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w:t>
      </w:r>
    </w:p>
    <w:p>
      <w:pPr>
        <w:spacing w:after="0" w:line="188" w:lineRule="exact"/>
        <w:rPr>
          <w:sz w:val="20"/>
          <w:szCs w:val="20"/>
          <w:color w:val="auto"/>
        </w:rPr>
      </w:pPr>
    </w:p>
    <w:p>
      <w:pPr>
        <w:ind w:right="100" w:firstLine="979"/>
        <w:spacing w:after="0" w:line="243" w:lineRule="auto"/>
        <w:rPr>
          <w:sz w:val="20"/>
          <w:szCs w:val="20"/>
          <w:color w:val="auto"/>
        </w:rPr>
      </w:pPr>
      <w:r>
        <w:rPr>
          <w:rFonts w:ascii="Times New Roman" w:cs="Times New Roman" w:eastAsia="Times New Roman" w:hAnsi="Times New Roman"/>
          <w:sz w:val="20"/>
          <w:szCs w:val="20"/>
          <w:color w:val="auto"/>
        </w:rPr>
        <w:t>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 For example, the Patient Protection and Affordable Care Act, as amended by the Health Care and Education Reconciliation Act (collectively, the “ACA”), which was enacted in March 2010,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and annual fees based on pharmaceutical companies’ share of sales to federal health care programs. There have been executive, judicial and Congressional challenges to certain aspects of the ACA. For example, on June 17, 2021, the United States Supreme Court dismissed a challenge on procedural grounds that argued the ACA is unconstitutional in its entirety because the “individual mandate” was repealed by Congress.</w:t>
      </w:r>
    </w:p>
    <w:p>
      <w:pPr>
        <w:spacing w:after="0" w:line="208"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Moreover, prior to the U.S. Supreme Court ruling, on January 28, 2021, President Biden issued an executive order that initiated a special enrollment period coverage through the Affordable Care Act marketplace, and instructed certain governmental agencies to review and reconsider their existing policies and rules that limit access to healthcare.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w:t>
      </w:r>
    </w:p>
    <w:p>
      <w:pPr>
        <w:spacing w:after="0" w:line="202" w:lineRule="exact"/>
        <w:rPr>
          <w:sz w:val="20"/>
          <w:szCs w:val="20"/>
          <w:color w:val="auto"/>
        </w:rPr>
      </w:pPr>
    </w:p>
    <w:p>
      <w:pPr>
        <w:ind w:right="20" w:firstLine="979"/>
        <w:spacing w:after="0" w:line="257" w:lineRule="auto"/>
        <w:rPr>
          <w:sz w:val="20"/>
          <w:szCs w:val="20"/>
          <w:color w:val="auto"/>
        </w:rPr>
      </w:pPr>
      <w:r>
        <w:rPr>
          <w:rFonts w:ascii="Times New Roman" w:cs="Times New Roman" w:eastAsia="Times New Roman" w:hAnsi="Times New Roman"/>
          <w:sz w:val="19"/>
          <w:szCs w:val="19"/>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including the Infrastructure Investment and Jobs Act, will remain in effect through 2031 unless additional action is taken by Congress. Further, Congress is considering additional health reform measures.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single-</w:t>
      </w:r>
    </w:p>
    <w:p>
      <w:pPr>
        <w:sectPr>
          <w:pgSz w:w="12240" w:h="15840" w:orient="portrait"/>
          <w:cols w:equalWidth="0" w:num="1">
            <w:col w:w="10760"/>
          </w:cols>
          <w:pgMar w:left="720" w:top="930" w:right="76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760"/>
          </w:cols>
          <w:pgMar w:left="720" w:top="930" w:right="760" w:bottom="0" w:gutter="0" w:footer="0" w:header="0"/>
          <w:type w:val="continuous"/>
        </w:sectPr>
      </w:pPr>
    </w:p>
    <w:bookmarkStart w:id="33" w:name="page34"/>
    <w:bookmarkEnd w:id="33"/>
    <w:p>
      <w:pPr>
        <w:ind w:right="20"/>
        <w:spacing w:after="0" w:line="241" w:lineRule="auto"/>
        <w:rPr>
          <w:sz w:val="20"/>
          <w:szCs w:val="20"/>
          <w:color w:val="auto"/>
        </w:rPr>
      </w:pPr>
      <w:r>
        <w:rPr>
          <w:rFonts w:ascii="Times New Roman" w:cs="Times New Roman" w:eastAsia="Times New Roman" w:hAnsi="Times New Roman"/>
          <w:sz w:val="20"/>
          <w:szCs w:val="20"/>
          <w:color w:val="auto"/>
        </w:rPr>
        <w:t>source drugs and biologics covered under Medicare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 obligations</w:t>
      </w:r>
    </w:p>
    <w:p>
      <w:pPr>
        <w:spacing w:after="0" w:line="276" w:lineRule="exact"/>
        <w:rPr>
          <w:sz w:val="20"/>
          <w:szCs w:val="20"/>
          <w:color w:val="auto"/>
        </w:rPr>
      </w:pPr>
    </w:p>
    <w:p>
      <w:pPr>
        <w:ind w:right="20" w:firstLine="979"/>
        <w:spacing w:after="0" w:line="242" w:lineRule="auto"/>
        <w:rPr>
          <w:sz w:val="20"/>
          <w:szCs w:val="20"/>
          <w:color w:val="auto"/>
        </w:rPr>
      </w:pPr>
      <w:r>
        <w:rPr>
          <w:rFonts w:ascii="Times New Roman" w:cs="Times New Roman" w:eastAsia="Times New Roman" w:hAnsi="Times New Roman"/>
          <w:sz w:val="20"/>
          <w:szCs w:val="20"/>
          <w:color w:val="auto"/>
        </w:rPr>
        <w:t>In the ordinary course of our business, we may collect, receive, process, generate, use, transfer, disclose, make accessible, protect, secure, dispose of, transmit, share and store (“process”) proprietary, confidential and sensitive information, including personal data, intellectual property, trade secret, clinical trial data, and proprietary information owned or controlled by ourselves or third parties (collectively, sensitive data). Our data processing activities may subject us to numerous data privacy and security obligations, including federal, state, local, and foreign laws, regulations, guidance, industry standards, external and internal privacy and security policies, contractual requirements, and other obligations related to data privacy and security. Such obligations may include, without limitation, the Federal Trade Commission Act, the California Consumer Privacy Act of 2018, as amended by the California Privacy Rights Act of 2020 (collectively, “CCPA”), other U.S. state comprehensive privacy laws (such as Virginia, Colorado, Connecticut, and Utah), the European Union’s General Data Protection Regulation 2016/679 (“EU GDPR”) and the United Kingdom’s GDPR (“UK GDPR”). Obligations related to the processing of personal data worldwide is rapidly evolving. The number and scope of data privacy and security laws, regulations and other obligations is changing, subject to differing applications and interpretations, and may be inconsistent among jurisdictions, or in conflict with other data processing obligations. Efforts to ensure that our current and future business operations and arrangements, including our relationship with our CROs or other vendors who process data on our behalf, comply with applicable data privacy and security obligations involve substantial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80" w:lineRule="exact"/>
        <w:rPr>
          <w:sz w:val="20"/>
          <w:szCs w:val="20"/>
          <w:color w:val="auto"/>
        </w:rPr>
      </w:pPr>
    </w:p>
    <w:p>
      <w:pPr>
        <w:ind w:right="180" w:firstLine="979"/>
        <w:spacing w:after="0" w:line="252" w:lineRule="auto"/>
        <w:rPr>
          <w:sz w:val="20"/>
          <w:szCs w:val="20"/>
          <w:color w:val="auto"/>
        </w:rPr>
      </w:pPr>
      <w:r>
        <w:rPr>
          <w:rFonts w:ascii="Times New Roman" w:cs="Times New Roman" w:eastAsia="Times New Roman" w:hAnsi="Times New Roman"/>
          <w:sz w:val="20"/>
          <w:szCs w:val="20"/>
          <w:color w:val="auto"/>
        </w:rPr>
        <w:t>As of December 31, 2023, we had 140 full-time employees and no part-time employees. The majority of our employees are based at our facilities in San Jose and Milpitas, California, with a contingent of employees based outside of California. None of our employees are represented by a labor union or are a party to a collective bargaining agreement and we believe that we have good relations with our employees.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Organizational Transactions</w:t>
      </w:r>
    </w:p>
    <w:p>
      <w:pPr>
        <w:spacing w:after="0" w:line="280"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Rani Holdings was formed as a Delaware corporation in April 2021 for the purpose of facilitating an initial public offering (“IPO”) of its Class A common stock, to facilitate certain organizational transactions, and to operate the business of Rani LLC and its consolidated subsidiary at such time, RMS. In connection with the IPO, we established a holding company structure with Rani Holdings as a holding company and its principal asset is the Class A common units (“Class A Units”) of Rani LLC that it owns. As the sole managing member of Rani LLC, Rani Holdings operates and controls all of Rani LLC’s operations, and through Rani LLC, conducts all of Rani LLC’s business.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930" w:right="720" w:bottom="0" w:gutter="0" w:footer="0" w:header="0"/>
          <w:type w:val="continuous"/>
        </w:sectPr>
      </w:pPr>
    </w:p>
    <w:bookmarkStart w:id="34" w:name="page35"/>
    <w:bookmarkEnd w:id="34"/>
    <w:p>
      <w:pPr>
        <w:ind w:left="980"/>
        <w:spacing w:after="0"/>
        <w:rPr>
          <w:sz w:val="20"/>
          <w:szCs w:val="20"/>
          <w:color w:val="auto"/>
        </w:rPr>
      </w:pPr>
      <w:r>
        <w:rPr>
          <w:rFonts w:ascii="Times New Roman" w:cs="Times New Roman" w:eastAsia="Times New Roman" w:hAnsi="Times New Roman"/>
          <w:sz w:val="20"/>
          <w:szCs w:val="20"/>
          <w:color w:val="auto"/>
        </w:rPr>
        <w:t>In connection with the IPO, we were party to the following organizational transactions (the “Organizational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w:t>
      </w:r>
    </w:p>
    <w:p>
      <w:pPr>
        <w:spacing w:after="0" w:line="226" w:lineRule="exact"/>
        <w:rPr>
          <w:sz w:val="20"/>
          <w:szCs w:val="20"/>
          <w:color w:val="auto"/>
        </w:rPr>
      </w:pPr>
    </w:p>
    <w:p>
      <w:pPr>
        <w:ind w:left="980" w:right="300" w:hanging="491"/>
        <w:spacing w:after="0" w:line="258"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Amended and restated Rani LLC’s operating agreement (the “Rani LLC Agreement”) to appoint Rani Holdings as the sole managing member of Rani LLC and effectuated an exchange of all outstanding interests in Rani LLC into Class A Units and an equal number of voting noneconomic Class B units.</w:t>
      </w:r>
    </w:p>
    <w:p>
      <w:pPr>
        <w:spacing w:after="0" w:line="201" w:lineRule="exact"/>
        <w:rPr>
          <w:rFonts w:ascii="Arial" w:cs="Arial" w:eastAsia="Arial" w:hAnsi="Arial"/>
          <w:sz w:val="20"/>
          <w:szCs w:val="20"/>
          <w:color w:val="auto"/>
        </w:rPr>
      </w:pPr>
    </w:p>
    <w:p>
      <w:pPr>
        <w:ind w:left="980" w:right="60" w:hanging="491"/>
        <w:spacing w:after="0" w:line="252"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Amended and restated our certificate of incorporation to provide for the issuance of (i) Class A common stock, each share of which entitles its holders to one vote per share, (ii) Class B common stock, each share of which entitles its holders to ten votes per share on all matters presented to the Company's stockholders, (iii) Class C common stock, which has no voting rights, except as otherwise required by law and (iv) preferred stock.</w:t>
      </w:r>
    </w:p>
    <w:p>
      <w:pPr>
        <w:spacing w:after="0" w:line="207" w:lineRule="exact"/>
        <w:rPr>
          <w:rFonts w:ascii="Arial" w:cs="Arial" w:eastAsia="Arial" w:hAnsi="Arial"/>
          <w:sz w:val="20"/>
          <w:szCs w:val="20"/>
          <w:color w:val="auto"/>
        </w:rPr>
      </w:pPr>
    </w:p>
    <w:p>
      <w:pPr>
        <w:ind w:left="980" w:right="40" w:hanging="491"/>
        <w:spacing w:after="0" w:line="258"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Certain holders of Class A Units tendered their Class A Units for shares of our Class A common stock. Certain holders of Class A Units continued to hold such Class A Units (“Continuing LLC Owners”) and received shares of our Class B common stock.</w:t>
      </w:r>
    </w:p>
    <w:p>
      <w:pPr>
        <w:spacing w:after="0" w:line="201" w:lineRule="exact"/>
        <w:rPr>
          <w:rFonts w:ascii="Arial" w:cs="Arial" w:eastAsia="Arial" w:hAnsi="Arial"/>
          <w:sz w:val="20"/>
          <w:szCs w:val="20"/>
          <w:color w:val="auto"/>
        </w:rPr>
      </w:pPr>
    </w:p>
    <w:p>
      <w:pPr>
        <w:ind w:left="980" w:hanging="491"/>
        <w:spacing w:after="0" w:line="24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Continuing LLC Owners are entitled to exchange, subject to the terms of the Rani LLC Agreement, the Class A Units they hold in Rani LLC, together with the shares they hold of our Class B common stock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canceled on a one-for-one basis if we, at the election of the Continuing LLC Owners, redeem or exchange such Paired Interest pursuant to the terms of the Rani LLC Agreement.</w:t>
      </w:r>
    </w:p>
    <w:p>
      <w:pPr>
        <w:spacing w:after="0" w:line="213" w:lineRule="exact"/>
        <w:rPr>
          <w:rFonts w:ascii="Arial" w:cs="Arial" w:eastAsia="Arial" w:hAnsi="Arial"/>
          <w:sz w:val="20"/>
          <w:szCs w:val="20"/>
          <w:color w:val="auto"/>
        </w:rPr>
      </w:pPr>
    </w:p>
    <w:p>
      <w:pPr>
        <w:ind w:left="980" w:right="160" w:hanging="491"/>
        <w:spacing w:after="0" w:line="27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Entered into a registration rights agreement and tax receivable agreement (“Tax Receivable Agreement” or “TRA”) with certain of the Continuing LLC Owners.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4" w:lineRule="exact"/>
        <w:rPr>
          <w:sz w:val="20"/>
          <w:szCs w:val="20"/>
          <w:color w:val="auto"/>
        </w:rPr>
      </w:pPr>
    </w:p>
    <w:p>
      <w:pPr>
        <w:ind w:right="160" w:firstLine="979"/>
        <w:spacing w:after="0" w:line="258" w:lineRule="auto"/>
        <w:rPr>
          <w:sz w:val="20"/>
          <w:szCs w:val="20"/>
          <w:color w:val="auto"/>
        </w:rPr>
      </w:pPr>
      <w:r>
        <w:rPr>
          <w:rFonts w:ascii="Times New Roman" w:cs="Times New Roman" w:eastAsia="Times New Roman" w:hAnsi="Times New Roman"/>
          <w:sz w:val="20"/>
          <w:szCs w:val="20"/>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88" w:lineRule="exact"/>
        <w:rPr>
          <w:sz w:val="20"/>
          <w:szCs w:val="20"/>
          <w:color w:val="auto"/>
        </w:rPr>
      </w:pPr>
    </w:p>
    <w:p>
      <w:pPr>
        <w:ind w:right="20" w:firstLine="979"/>
        <w:spacing w:after="0" w:line="270" w:lineRule="auto"/>
        <w:rPr>
          <w:sz w:val="20"/>
          <w:szCs w:val="20"/>
          <w:color w:val="auto"/>
        </w:rPr>
      </w:pPr>
      <w:r>
        <w:rPr>
          <w:rFonts w:ascii="Times New Roman" w:cs="Times New Roman" w:eastAsia="Times New Roman" w:hAnsi="Times New Roman"/>
          <w:sz w:val="19"/>
          <w:szCs w:val="19"/>
          <w:color w:val="auto"/>
        </w:rPr>
        <w:t>Copies of our Annual Reports on Form 10-K, Quarterly Reports on Form 10-Q, Current Reports on Form 8-K, Proxy Statements, and all amendments to these reports, filed with or furnished to the Securities and Exchange Commission (“SEC”) pursuant to Section 13(a) or 15(d) of the Securities Exchange Act of 1934 as amended may be obtained from the SEC’s on-line database, which is located at www.sec.gov. Our common stock is traded on the Nasdaq Stock Market (“Nasdaq”) under the symbol “RANI.”</w:t>
      </w:r>
    </w:p>
    <w:p>
      <w:pPr>
        <w:spacing w:after="0" w:line="177" w:lineRule="exact"/>
        <w:rPr>
          <w:sz w:val="20"/>
          <w:szCs w:val="20"/>
          <w:color w:val="auto"/>
        </w:rPr>
      </w:pPr>
    </w:p>
    <w:p>
      <w:pPr>
        <w:ind w:right="180" w:firstLine="979"/>
        <w:spacing w:after="0" w:line="252"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930" w:right="72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1" w:lineRule="exact"/>
        <w:rPr>
          <w:sz w:val="20"/>
          <w:szCs w:val="20"/>
          <w:color w:val="auto"/>
        </w:rPr>
      </w:pPr>
    </w:p>
    <w:p>
      <w:pPr>
        <w:ind w:right="120" w:firstLine="979"/>
        <w:spacing w:after="0"/>
        <w:rPr>
          <w:sz w:val="20"/>
          <w:szCs w:val="20"/>
          <w:color w:val="auto"/>
        </w:rPr>
      </w:pPr>
      <w:r>
        <w:rPr>
          <w:rFonts w:ascii="Times New Roman" w:cs="Times New Roman" w:eastAsia="Times New Roman" w:hAnsi="Times New Roman"/>
          <w:sz w:val="20"/>
          <w:szCs w:val="20"/>
          <w:i w:val="1"/>
          <w:iCs w:val="1"/>
          <w:color w:val="auto"/>
        </w:rPr>
        <w:t>Investing in our Class A common stock involves a high degree of risk. You should carefully consider the risks described below, including our consolidated financial statements and related notes, as well as the other information in this report, and in our other public filings,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You should consider all of the risk factors described when evaluating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Operating History, Financial Position and Capital Requirements</w:t>
      </w:r>
    </w:p>
    <w:p>
      <w:pPr>
        <w:spacing w:after="0" w:line="239"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commercialization efforts or other operations.</w:t>
      </w:r>
    </w:p>
    <w:p>
      <w:pPr>
        <w:spacing w:after="0" w:line="188" w:lineRule="exact"/>
        <w:rPr>
          <w:sz w:val="20"/>
          <w:szCs w:val="20"/>
          <w:color w:val="auto"/>
        </w:rPr>
      </w:pPr>
    </w:p>
    <w:p>
      <w:pPr>
        <w:ind w:right="40" w:firstLine="979"/>
        <w:spacing w:after="0" w:line="241" w:lineRule="auto"/>
        <w:rPr>
          <w:sz w:val="20"/>
          <w:szCs w:val="20"/>
          <w:color w:val="auto"/>
        </w:rPr>
      </w:pPr>
      <w:r>
        <w:rPr>
          <w:rFonts w:ascii="Times New Roman" w:cs="Times New Roman" w:eastAsia="Times New Roman" w:hAnsi="Times New Roman"/>
          <w:sz w:val="20"/>
          <w:szCs w:val="20"/>
          <w:color w:val="auto"/>
        </w:rPr>
        <w:t>Our operations have consumed substantial amounts of cash since our inception. We are in early clinical development with certain product candidates and have conducted or are in preclinical development with other product candidates. We intend to advance our product candidates into initial and later stages of clinical development, which requires significant capital. In addition, we are developing the RaniPill HC.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200" w:lineRule="exact"/>
        <w:rPr>
          <w:sz w:val="20"/>
          <w:szCs w:val="20"/>
          <w:color w:val="auto"/>
        </w:rPr>
      </w:pPr>
    </w:p>
    <w:p>
      <w:pPr>
        <w:ind w:firstLine="979"/>
        <w:spacing w:after="0" w:line="239" w:lineRule="auto"/>
        <w:rPr>
          <w:sz w:val="20"/>
          <w:szCs w:val="20"/>
          <w:color w:val="auto"/>
        </w:rPr>
      </w:pPr>
      <w:r>
        <w:rPr>
          <w:rFonts w:ascii="Times New Roman" w:cs="Times New Roman" w:eastAsia="Times New Roman" w:hAnsi="Times New Roman"/>
          <w:sz w:val="20"/>
          <w:szCs w:val="20"/>
          <w:color w:val="auto"/>
        </w:rPr>
        <w:t>As of December 31, 2023, our cash, cash equivalents and marketable securities totaled $48.5 million. 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206" w:lineRule="exact"/>
        <w:rPr>
          <w:sz w:val="20"/>
          <w:szCs w:val="20"/>
          <w:color w:val="auto"/>
        </w:rPr>
      </w:pPr>
    </w:p>
    <w:p>
      <w:pPr>
        <w:ind w:right="100" w:firstLine="979"/>
        <w:spacing w:after="0" w:line="253" w:lineRule="auto"/>
        <w:rPr>
          <w:sz w:val="20"/>
          <w:szCs w:val="20"/>
          <w:color w:val="auto"/>
        </w:rPr>
      </w:pPr>
      <w:r>
        <w:rPr>
          <w:rFonts w:ascii="Times New Roman" w:cs="Times New Roman" w:eastAsia="Times New Roman" w:hAnsi="Times New Roman"/>
          <w:sz w:val="20"/>
          <w:szCs w:val="20"/>
          <w:color w:val="auto"/>
        </w:rPr>
        <w:t>If we are unable to continue as a going concern, we may have to cease operations and liquidate our assets. We may receive less than the value at which those assets are carried on our audited financial statements, and investors may lose all or a part of their investment.</w:t>
      </w:r>
    </w:p>
    <w:p>
      <w:pPr>
        <w:spacing w:after="0" w:line="188" w:lineRule="exact"/>
        <w:rPr>
          <w:sz w:val="20"/>
          <w:szCs w:val="20"/>
          <w:color w:val="auto"/>
        </w:rPr>
      </w:pPr>
    </w:p>
    <w:p>
      <w:pPr>
        <w:ind w:firstLine="979"/>
        <w:spacing w:after="0" w:line="241" w:lineRule="auto"/>
        <w:rPr>
          <w:sz w:val="20"/>
          <w:szCs w:val="20"/>
          <w:color w:val="auto"/>
        </w:rPr>
      </w:pPr>
      <w:r>
        <w:rPr>
          <w:rFonts w:ascii="Times New Roman" w:cs="Times New Roman" w:eastAsia="Times New Roman" w:hAnsi="Times New Roman"/>
          <w:sz w:val="20"/>
          <w:szCs w:val="20"/>
          <w:color w:val="auto"/>
        </w:rPr>
        <w:t>We may not be able to obtain additional funding on acceptable terms, or at all. As a result of geopolitical events, including the conflicts in Ukraine and Gaza, inflation, rising interest rates and other conditions, the global credit and financial markets have experienced volatility and disruptions. In addition, the report from our independent registered public accounting firm issued in connection with this Annual Report on Form 10-K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200" w:lineRule="exact"/>
        <w:rPr>
          <w:sz w:val="20"/>
          <w:szCs w:val="20"/>
          <w:color w:val="auto"/>
        </w:rPr>
      </w:pPr>
    </w:p>
    <w:p>
      <w:pPr>
        <w:ind w:right="660" w:firstLine="979"/>
        <w:spacing w:after="0" w:line="272" w:lineRule="auto"/>
        <w:rPr>
          <w:sz w:val="20"/>
          <w:szCs w:val="20"/>
          <w:color w:val="auto"/>
        </w:rPr>
      </w:pPr>
      <w:r>
        <w:rPr>
          <w:rFonts w:ascii="Times New Roman" w:cs="Times New Roman" w:eastAsia="Times New Roman" w:hAnsi="Times New Roman"/>
          <w:sz w:val="20"/>
          <w:szCs w:val="20"/>
          <w:color w:val="auto"/>
        </w:rPr>
        <w:t>If we are unable to obtain funding on a timely basis, or to generate sufficient revenues, if at all, from collaboration arrangements, we may be required to:</w:t>
      </w:r>
    </w:p>
    <w:p>
      <w:pPr>
        <w:spacing w:after="0" w:line="183" w:lineRule="exact"/>
        <w:rPr>
          <w:sz w:val="20"/>
          <w:szCs w:val="20"/>
          <w:color w:val="auto"/>
        </w:rPr>
      </w:pPr>
    </w:p>
    <w:p>
      <w:pPr>
        <w:ind w:left="980" w:right="80" w:hanging="491"/>
        <w:spacing w:after="0" w:line="253"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significantly curtail, delay or discontinue one or more of our research or development programs, the development of our oral delivery technology, including the RaniPill HC, the commercialization of any product candidates or cease operations altogether;</w:t>
      </w:r>
    </w:p>
    <w:p>
      <w:pPr>
        <w:spacing w:after="0" w:line="201" w:lineRule="exact"/>
        <w:rPr>
          <w:rFonts w:ascii="Arial" w:cs="Arial" w:eastAsia="Arial" w:hAnsi="Arial"/>
          <w:sz w:val="20"/>
          <w:szCs w:val="20"/>
          <w:color w:val="auto"/>
        </w:rPr>
      </w:pPr>
    </w:p>
    <w:p>
      <w:pPr>
        <w:ind w:left="980" w:right="260" w:hanging="491"/>
        <w:spacing w:after="0" w:line="271"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seek collaborators for one or more of our product candidates at an earlier stage than otherwise would be desirable or on terms that are less favorable than might otherwise be available;</w:t>
      </w:r>
    </w:p>
    <w:p>
      <w:pPr>
        <w:spacing w:after="0" w:line="184" w:lineRule="exact"/>
        <w:rPr>
          <w:rFonts w:ascii="Arial" w:cs="Arial" w:eastAsia="Arial" w:hAnsi="Arial"/>
          <w:sz w:val="20"/>
          <w:szCs w:val="20"/>
          <w:color w:val="auto"/>
        </w:rPr>
      </w:pPr>
    </w:p>
    <w:p>
      <w:pPr>
        <w:ind w:left="980" w:right="160" w:hanging="491"/>
        <w:spacing w:after="0" w:line="271"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relinquish or license on unfavorable terms our rights to technologies or product candidates that we otherwise would seek to develop or commercialize ourselves; or</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forego expansion of our operations or refrain from pursuing business opportunities.</w:t>
      </w:r>
    </w:p>
    <w:p>
      <w:pPr>
        <w:sectPr>
          <w:pgSz w:w="12240" w:h="15840" w:orient="portrait"/>
          <w:cols w:equalWidth="0" w:num="1">
            <w:col w:w="10780"/>
          </w:cols>
          <w:pgMar w:left="720" w:top="922" w:right="74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780"/>
          </w:cols>
          <w:pgMar w:left="720" w:top="922" w:right="740" w:bottom="0" w:gutter="0" w:footer="0" w:header="0"/>
          <w:type w:val="continuous"/>
        </w:sectPr>
      </w:pPr>
    </w:p>
    <w:bookmarkStart w:id="36" w:name="page37"/>
    <w:bookmarkEnd w:id="36"/>
    <w:p>
      <w:pPr>
        <w:ind w:firstLine="979"/>
        <w:spacing w:after="0" w:line="258" w:lineRule="auto"/>
        <w:rPr>
          <w:sz w:val="20"/>
          <w:szCs w:val="20"/>
          <w:color w:val="auto"/>
        </w:rPr>
      </w:pPr>
      <w:r>
        <w:rPr>
          <w:rFonts w:ascii="Times New Roman" w:cs="Times New Roman" w:eastAsia="Times New Roman" w:hAnsi="Times New Roman"/>
          <w:sz w:val="20"/>
          <w:szCs w:val="20"/>
          <w:color w:val="auto"/>
        </w:rPr>
        <w:t>For example, in November 2023, we underwent a reduction in our workforce and paused or discontinued certain programs to reduce our expenses and focus our financial resources on key priorities. As a result of any of the foregoing types of actions, our business, financial condition and results of operations could be materially affected.</w:t>
      </w:r>
    </w:p>
    <w:p>
      <w:pPr>
        <w:spacing w:after="0" w:line="188" w:lineRule="exact"/>
        <w:rPr>
          <w:sz w:val="20"/>
          <w:szCs w:val="20"/>
          <w:color w:val="auto"/>
        </w:rPr>
      </w:pPr>
    </w:p>
    <w:p>
      <w:pPr>
        <w:jc w:val="both"/>
        <w:ind w:right="60" w:firstLine="979"/>
        <w:spacing w:after="0" w:line="258" w:lineRule="auto"/>
        <w:rPr>
          <w:sz w:val="20"/>
          <w:szCs w:val="20"/>
          <w:color w:val="auto"/>
        </w:rPr>
      </w:pPr>
      <w:r>
        <w:rPr>
          <w:rFonts w:ascii="Times New Roman" w:cs="Times New Roman" w:eastAsia="Times New Roman" w:hAnsi="Times New Roman"/>
          <w:sz w:val="20"/>
          <w:szCs w:val="20"/>
          <w:color w:val="auto"/>
        </w:rPr>
        <w:t>Our efforts to raise additional funding may divert our management from their day-to-day activities, which may adversely affect our ability to develop the RaniPill platform, including the RaniPill HC, to progress development of our product candidates or to automate our manufacturing processes.</w:t>
      </w:r>
    </w:p>
    <w:p>
      <w:pPr>
        <w:spacing w:after="0" w:line="188"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Moreover, the terms of any financing may adversely affect the holdings or the rights of our stockholders and the issuance of additional securities, whether equity or debt, by us, or the possibility of such issuance, may cause the market price of our Class A common stock to decline. The sale of additional equity or convertible securities would dilute all of our stockholders. The incurrence of indebtedness would result in increased fixed payment obligations and we may be required to agree to certain restrictive covenants and other operating restrictions that could adversely impact our ability to conduct our business. The Lender already has a security interest in substantially all of our assets, including our intellectual property, which may prevent or limit our ability to incur additional indebtedness.</w:t>
      </w:r>
    </w:p>
    <w:p>
      <w:pPr>
        <w:spacing w:after="0" w:line="200" w:lineRule="exact"/>
        <w:rPr>
          <w:sz w:val="20"/>
          <w:szCs w:val="20"/>
          <w:color w:val="auto"/>
        </w:rPr>
      </w:pPr>
    </w:p>
    <w:p>
      <w:pPr>
        <w:ind w:right="340" w:firstLine="979"/>
        <w:spacing w:after="0" w:line="277" w:lineRule="auto"/>
        <w:rPr>
          <w:sz w:val="20"/>
          <w:szCs w:val="20"/>
          <w:color w:val="auto"/>
        </w:rPr>
      </w:pPr>
      <w:r>
        <w:rPr>
          <w:rFonts w:ascii="Times New Roman" w:cs="Times New Roman" w:eastAsia="Times New Roman" w:hAnsi="Times New Roman"/>
          <w:sz w:val="20"/>
          <w:szCs w:val="20"/>
          <w:color w:val="auto"/>
        </w:rPr>
        <w:t>Our funding requirements and the timing of our need for additional capital are subject to change based on a number of factors, including:</w:t>
      </w:r>
    </w:p>
    <w:p>
      <w:pPr>
        <w:spacing w:after="0" w:line="183" w:lineRule="exact"/>
        <w:rPr>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progress, costs, trial design, results and timing of our preclinical studies and clinical trials;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progress, costs, and results of our research pipeline;</w:t>
      </w:r>
    </w:p>
    <w:p>
      <w:pPr>
        <w:spacing w:after="0" w:line="253"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progress and costs of development of the RaniPill HC device and other improvements or advancements to our delivery technologies;</w:t>
      </w:r>
    </w:p>
    <w:p>
      <w:pPr>
        <w:spacing w:after="0" w:line="184" w:lineRule="exact"/>
        <w:rPr>
          <w:rFonts w:ascii="Arial" w:cs="Arial" w:eastAsia="Arial" w:hAnsi="Arial"/>
          <w:sz w:val="20"/>
          <w:szCs w:val="20"/>
          <w:color w:val="auto"/>
        </w:rPr>
      </w:pPr>
    </w:p>
    <w:p>
      <w:pPr>
        <w:jc w:val="both"/>
        <w:ind w:left="980" w:right="180" w:hanging="491"/>
        <w:spacing w:after="0" w:line="258"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spacing w:after="0" w:line="201"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 costs, and timing of seeking and obtaining FDA, and any other regulatory approvals;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characteristics of product candidates that we pursue;</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manufacture sufficient quantities of the RaniPill capsule;</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need to expand our research and development activities;</w:t>
      </w:r>
    </w:p>
    <w:p>
      <w:pPr>
        <w:spacing w:after="0" w:line="253" w:lineRule="exact"/>
        <w:rPr>
          <w:rFonts w:ascii="Arial" w:cs="Arial" w:eastAsia="Arial" w:hAnsi="Arial"/>
          <w:sz w:val="20"/>
          <w:szCs w:val="20"/>
          <w:color w:val="auto"/>
        </w:rPr>
      </w:pPr>
    </w:p>
    <w:p>
      <w:pPr>
        <w:ind w:left="980" w:right="100" w:hanging="491"/>
        <w:spacing w:after="0" w:line="276"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manufacturing, and obtaining drug supply for, our product candidates, including for clinical and commercial supplies;</w:t>
      </w:r>
    </w:p>
    <w:p>
      <w:pPr>
        <w:spacing w:after="0" w:line="184" w:lineRule="exact"/>
        <w:rPr>
          <w:rFonts w:ascii="Arial" w:cs="Arial" w:eastAsia="Arial" w:hAnsi="Arial"/>
          <w:sz w:val="20"/>
          <w:szCs w:val="20"/>
          <w:color w:val="auto"/>
        </w:rPr>
      </w:pPr>
    </w:p>
    <w:p>
      <w:pPr>
        <w:ind w:left="980" w:right="40" w:hanging="491"/>
        <w:spacing w:after="0" w:line="276"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securing and establishing commercial infrastructure, including establishing sales, marketing, and distribution capabilities;</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acquiring, licensing, or investing in businesses, product candidates, and technologies;</w:t>
      </w:r>
    </w:p>
    <w:p>
      <w:pPr>
        <w:spacing w:after="0" w:line="253" w:lineRule="exact"/>
        <w:rPr>
          <w:rFonts w:ascii="Arial" w:cs="Arial" w:eastAsia="Arial" w:hAnsi="Arial"/>
          <w:sz w:val="20"/>
          <w:szCs w:val="20"/>
          <w:color w:val="auto"/>
        </w:rPr>
      </w:pPr>
    </w:p>
    <w:p>
      <w:pPr>
        <w:jc w:val="both"/>
        <w:ind w:left="980" w:right="420" w:hanging="491"/>
        <w:spacing w:after="0" w:line="258"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01"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need and ability to retain key management and hire scientific, technical, business, and engineering personnel;</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competing drugs and product candidates and other market developments;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receipt, and amount of sales from our potential products, if approved;</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strategic collaborations;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780"/>
          </w:cols>
          <w:pgMar w:left="720" w:top="930" w:right="740" w:bottom="0" w:gutter="0" w:footer="0" w:header="0"/>
          <w:type w:val="continuous"/>
        </w:sectPr>
      </w:pPr>
    </w:p>
    <w:bookmarkStart w:id="37" w:name="page38"/>
    <w:bookmarkEnd w:id="37"/>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need to implement additional internal systems and infrastructure, including financial and reporting systems;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security breaches, data losses or other disruptions affecting our information systems;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realize savings from any restructuring plans and cost-containment measures we propose to implement;</w:t>
      </w:r>
    </w:p>
    <w:p>
      <w:pPr>
        <w:spacing w:after="0" w:line="253"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economic and other terms, timing of and success of any collaboration, licensing, or other arrangements which we may enter in the future; and</w:t>
      </w:r>
    </w:p>
    <w:p>
      <w:pPr>
        <w:spacing w:after="0" w:line="184" w:lineRule="exact"/>
        <w:rPr>
          <w:rFonts w:ascii="Arial" w:cs="Arial" w:eastAsia="Arial" w:hAnsi="Arial"/>
          <w:sz w:val="20"/>
          <w:szCs w:val="20"/>
          <w:color w:val="auto"/>
        </w:rPr>
      </w:pPr>
    </w:p>
    <w:p>
      <w:pPr>
        <w:ind w:left="980" w:right="440" w:hanging="491"/>
        <w:spacing w:after="0" w:line="276"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effects of disruptions to and volatility in the credit and financial markets in the United States and worldwide from geopolitical conflicts or other such disruptions.</w:t>
      </w:r>
    </w:p>
    <w:p>
      <w:pPr>
        <w:spacing w:after="0" w:line="170" w:lineRule="exact"/>
        <w:rPr>
          <w:sz w:val="20"/>
          <w:szCs w:val="20"/>
          <w:color w:val="auto"/>
        </w:rPr>
      </w:pPr>
    </w:p>
    <w:p>
      <w:pPr>
        <w:ind w:right="60" w:firstLine="979"/>
        <w:spacing w:after="0" w:line="277" w:lineRule="auto"/>
        <w:rPr>
          <w:sz w:val="20"/>
          <w:szCs w:val="20"/>
          <w:color w:val="auto"/>
        </w:rPr>
      </w:pPr>
      <w:r>
        <w:rPr>
          <w:rFonts w:ascii="Times New Roman" w:cs="Times New Roman" w:eastAsia="Times New Roman" w:hAnsi="Times New Roman"/>
          <w:sz w:val="20"/>
          <w:szCs w:val="20"/>
          <w:color w:val="auto"/>
        </w:rPr>
        <w:t>We may seek additional capital due to favorable market conditions or strategic considerations, even if we believe we have sufficient funds for our current or future operating plans.</w:t>
      </w:r>
    </w:p>
    <w:p>
      <w:pPr>
        <w:spacing w:after="0" w:line="169"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188" w:lineRule="exact"/>
        <w:rPr>
          <w:sz w:val="20"/>
          <w:szCs w:val="20"/>
          <w:color w:val="auto"/>
        </w:rPr>
      </w:pPr>
    </w:p>
    <w:p>
      <w:pPr>
        <w:ind w:right="120" w:firstLine="979"/>
        <w:spacing w:after="0" w:line="244" w:lineRule="auto"/>
        <w:rPr>
          <w:sz w:val="20"/>
          <w:szCs w:val="20"/>
          <w:color w:val="auto"/>
        </w:rPr>
      </w:pPr>
      <w:r>
        <w:rPr>
          <w:rFonts w:ascii="Times New Roman" w:cs="Times New Roman" w:eastAsia="Times New Roman" w:hAnsi="Times New Roman"/>
          <w:sz w:val="20"/>
          <w:szCs w:val="20"/>
          <w:color w:val="auto"/>
        </w:rPr>
        <w:t>Biologics delivery is a highly speculative undertaking and involves a substantial degree of risk. We are an early clinical stage biopharmaceutical company with a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We are in early clinical development with a limited number of product candidates, and are in preclinical development with other product candidates.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oral therapeutic products.</w:t>
      </w:r>
    </w:p>
    <w:p>
      <w:pPr>
        <w:spacing w:after="0" w:line="206"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We have incurred significant operating losses since our formation. Our net loss for the year ended December 31, 2023 was approximately $67.9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spacing w:after="0" w:line="206"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We do not anticipate generating revenue from sales of products for the foreseeable future, if ever, and our product candidates are in preclinical and early-stage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200" w:lineRule="exact"/>
        <w:rPr>
          <w:sz w:val="20"/>
          <w:szCs w:val="20"/>
          <w:color w:val="auto"/>
        </w:rPr>
      </w:pPr>
    </w:p>
    <w:p>
      <w:pPr>
        <w:jc w:val="both"/>
        <w:ind w:right="120" w:firstLine="979"/>
        <w:spacing w:after="0" w:line="258" w:lineRule="auto"/>
        <w:rPr>
          <w:sz w:val="20"/>
          <w:szCs w:val="20"/>
          <w:color w:val="auto"/>
        </w:rPr>
      </w:pPr>
      <w:r>
        <w:rPr>
          <w:rFonts w:ascii="Times New Roman" w:cs="Times New Roman" w:eastAsia="Times New Roman" w:hAnsi="Times New Roman"/>
          <w:sz w:val="20"/>
          <w:szCs w:val="20"/>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ectPr>
          <w:pgSz w:w="12240" w:h="15840" w:orient="portrait"/>
          <w:cols w:equalWidth="0" w:num="1">
            <w:col w:w="10800"/>
          </w:cols>
          <w:pgMar w:left="720" w:top="94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944" w:right="720" w:bottom="0" w:gutter="0" w:footer="0" w:header="0"/>
          <w:type w:val="continuous"/>
        </w:sectPr>
      </w:pPr>
    </w:p>
    <w:bookmarkStart w:id="38" w:name="page39"/>
    <w:bookmarkEnd w:id="38"/>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69"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are in early clinical development with a limited number of product candidates, and are in preclinical development with other product candidates.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202" w:lineRule="exact"/>
        <w:rPr>
          <w:sz w:val="20"/>
          <w:szCs w:val="20"/>
          <w:color w:val="auto"/>
        </w:rPr>
      </w:pPr>
    </w:p>
    <w:p>
      <w:pPr>
        <w:ind w:right="420" w:firstLine="979"/>
        <w:spacing w:after="0" w:line="277" w:lineRule="auto"/>
        <w:rPr>
          <w:sz w:val="20"/>
          <w:szCs w:val="20"/>
          <w:color w:val="auto"/>
        </w:rPr>
      </w:pPr>
      <w:r>
        <w:rPr>
          <w:rFonts w:ascii="Times New Roman" w:cs="Times New Roman" w:eastAsia="Times New Roman" w:hAnsi="Times New Roman"/>
          <w:sz w:val="20"/>
          <w:szCs w:val="20"/>
          <w:color w:val="auto"/>
        </w:rPr>
        <w:t>We expect that our financial condition and operating results will fluctuate significantly from period to period due to a variety of factors, many of which are beyond our control, including, but not limited to:</w:t>
      </w:r>
    </w:p>
    <w:p>
      <w:pPr>
        <w:spacing w:after="0" w:line="183" w:lineRule="exact"/>
        <w:rPr>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outcomes from the continued development of our product candidates;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occurrence of adverse events or serious adverse events in preclinical studies or clinical trials of our product candidates;</w:t>
      </w:r>
    </w:p>
    <w:p>
      <w:pPr>
        <w:spacing w:after="0" w:line="253"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side effects of our product candidates, whether caused by the biologic formulation or the RaniPill capsule, that could delay or prevent approval or cause an approved product to be taken off the market;</w:t>
      </w:r>
    </w:p>
    <w:p>
      <w:pPr>
        <w:spacing w:after="0" w:line="184" w:lineRule="exact"/>
        <w:rPr>
          <w:rFonts w:ascii="Arial" w:cs="Arial" w:eastAsia="Arial" w:hAnsi="Arial"/>
          <w:sz w:val="20"/>
          <w:szCs w:val="20"/>
          <w:color w:val="auto"/>
        </w:rPr>
      </w:pPr>
    </w:p>
    <w:p>
      <w:pPr>
        <w:ind w:left="980" w:right="4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as well as the timeliness of obtaining, additional funding to develop, and potentially manufacture and commercialize our product candidates and develop the RaniPill HC;</w:t>
      </w:r>
    </w:p>
    <w:p>
      <w:pPr>
        <w:spacing w:after="0" w:line="184" w:lineRule="exact"/>
        <w:rPr>
          <w:rFonts w:ascii="Arial" w:cs="Arial" w:eastAsia="Arial" w:hAnsi="Arial"/>
          <w:sz w:val="20"/>
          <w:szCs w:val="20"/>
          <w:color w:val="auto"/>
        </w:rPr>
      </w:pPr>
    </w:p>
    <w:p>
      <w:pPr>
        <w:ind w:left="980" w:right="24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manufacture our product candidates to our specifications and in a timely manner to support our preclinical studies and clinical trials, and, if approved, commercialization;</w:t>
      </w:r>
    </w:p>
    <w:p>
      <w:pPr>
        <w:spacing w:after="0" w:line="184" w:lineRule="exact"/>
        <w:rPr>
          <w:rFonts w:ascii="Arial" w:cs="Arial" w:eastAsia="Arial" w:hAnsi="Arial"/>
          <w:sz w:val="20"/>
          <w:szCs w:val="20"/>
          <w:color w:val="auto"/>
        </w:rPr>
      </w:pPr>
    </w:p>
    <w:p>
      <w:pPr>
        <w:ind w:left="980" w:right="32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84" w:lineRule="exact"/>
        <w:rPr>
          <w:rFonts w:ascii="Arial" w:cs="Arial" w:eastAsia="Arial" w:hAnsi="Arial"/>
          <w:sz w:val="20"/>
          <w:szCs w:val="20"/>
          <w:color w:val="auto"/>
        </w:rPr>
      </w:pPr>
    </w:p>
    <w:p>
      <w:pPr>
        <w:ind w:left="980" w:right="44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existing products directed against the same biologic target or therapeutic indications of our product candidates as well as new products that may receive marketing approval;</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regulatory review and approval of our product candidates;</w:t>
      </w:r>
    </w:p>
    <w:p>
      <w:pPr>
        <w:spacing w:after="0" w:line="253" w:lineRule="exact"/>
        <w:rPr>
          <w:rFonts w:ascii="Arial" w:cs="Arial" w:eastAsia="Arial" w:hAnsi="Arial"/>
          <w:sz w:val="20"/>
          <w:szCs w:val="20"/>
          <w:color w:val="auto"/>
        </w:rPr>
      </w:pPr>
    </w:p>
    <w:p>
      <w:pPr>
        <w:ind w:left="980" w:right="30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acceptance of our product candidates that receive regulatory approval, if any, including perception of the safety and efficacy of the oral delivery of biologics;</w:t>
      </w:r>
    </w:p>
    <w:p>
      <w:pPr>
        <w:spacing w:after="0" w:line="184" w:lineRule="exact"/>
        <w:rPr>
          <w:rFonts w:ascii="Arial" w:cs="Arial" w:eastAsia="Arial" w:hAnsi="Arial"/>
          <w:sz w:val="20"/>
          <w:szCs w:val="20"/>
          <w:color w:val="auto"/>
        </w:rPr>
      </w:pPr>
    </w:p>
    <w:p>
      <w:pPr>
        <w:ind w:left="980" w:right="4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enter into collaboration agreements with third parties who may desire to license our oral delivery technology for use with their own product candidates;</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expand our commercial reach by selectively entering into strategic partnerships on favorable terms or at all;</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 effective sales and marketing infrastructure directly or through collaborations with third parties;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patients or healthcare providers to obtain coverage or sufficient reimbursement for our products;</w:t>
      </w:r>
    </w:p>
    <w:p>
      <w:pPr>
        <w:spacing w:after="0" w:line="253" w:lineRule="exact"/>
        <w:rPr>
          <w:rFonts w:ascii="Arial" w:cs="Arial" w:eastAsia="Arial" w:hAnsi="Arial"/>
          <w:sz w:val="20"/>
          <w:szCs w:val="20"/>
          <w:color w:val="auto"/>
        </w:rPr>
      </w:pPr>
    </w:p>
    <w:p>
      <w:pPr>
        <w:ind w:left="980" w:right="56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manufacture our product candidates in accordance with current Good Manufacturing Practices, for the conduct of preclinical studies and clinical trials and, if approved, for successful commercialization;</w:t>
      </w:r>
    </w:p>
    <w:p>
      <w:pPr>
        <w:spacing w:after="0" w:line="184" w:lineRule="exact"/>
        <w:rPr>
          <w:rFonts w:ascii="Arial" w:cs="Arial" w:eastAsia="Arial" w:hAnsi="Arial"/>
          <w:sz w:val="20"/>
          <w:szCs w:val="20"/>
          <w:color w:val="auto"/>
        </w:rPr>
      </w:pPr>
    </w:p>
    <w:p>
      <w:pPr>
        <w:jc w:val="both"/>
        <w:ind w:left="980" w:right="40" w:hanging="491"/>
        <w:spacing w:after="0" w:line="258"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930" w:right="720" w:bottom="0" w:gutter="0" w:footer="0" w:header="0"/>
          <w:type w:val="continuous"/>
        </w:sectPr>
      </w:pPr>
    </w:p>
    <w:bookmarkStart w:id="39" w:name="page40"/>
    <w:bookmarkEnd w:id="39"/>
    <w:p>
      <w:pPr>
        <w:ind w:left="980" w:hanging="491"/>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add infrastructure and adequately manage our future growth; and</w:t>
      </w:r>
    </w:p>
    <w:p>
      <w:pPr>
        <w:spacing w:after="0" w:line="253" w:lineRule="exact"/>
        <w:rPr>
          <w:rFonts w:ascii="Arial" w:cs="Arial" w:eastAsia="Arial" w:hAnsi="Arial"/>
          <w:sz w:val="20"/>
          <w:szCs w:val="20"/>
          <w:color w:val="auto"/>
        </w:rPr>
      </w:pPr>
    </w:p>
    <w:p>
      <w:pPr>
        <w:ind w:left="980" w:right="900" w:hanging="491"/>
        <w:spacing w:after="0" w:line="276"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and retain key personnel with appropriate expertise and experience to manage our business effectively.</w:t>
      </w:r>
    </w:p>
    <w:p>
      <w:pPr>
        <w:spacing w:after="0" w:line="170" w:lineRule="exact"/>
        <w:rPr>
          <w:sz w:val="20"/>
          <w:szCs w:val="20"/>
          <w:color w:val="auto"/>
        </w:rPr>
      </w:pPr>
    </w:p>
    <w:p>
      <w:pPr>
        <w:ind w:right="440" w:firstLine="979"/>
        <w:spacing w:after="0" w:line="258" w:lineRule="auto"/>
        <w:rPr>
          <w:sz w:val="20"/>
          <w:szCs w:val="20"/>
          <w:color w:val="auto"/>
        </w:rPr>
      </w:pPr>
      <w:r>
        <w:rPr>
          <w:rFonts w:ascii="Times New Roman" w:cs="Times New Roman" w:eastAsia="Times New Roman" w:hAnsi="Times New Roman"/>
          <w:sz w:val="20"/>
          <w:szCs w:val="20"/>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8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 to our product candidates or technologies.</w:t>
      </w:r>
    </w:p>
    <w:p>
      <w:pPr>
        <w:spacing w:after="0" w:line="169" w:lineRule="exact"/>
        <w:rPr>
          <w:sz w:val="20"/>
          <w:szCs w:val="20"/>
          <w:color w:val="auto"/>
        </w:rPr>
      </w:pPr>
    </w:p>
    <w:p>
      <w:pPr>
        <w:ind w:right="20" w:firstLine="979"/>
        <w:spacing w:after="0" w:line="243" w:lineRule="auto"/>
        <w:rPr>
          <w:sz w:val="20"/>
          <w:szCs w:val="20"/>
          <w:color w:val="auto"/>
        </w:rPr>
      </w:pPr>
      <w:r>
        <w:rPr>
          <w:rFonts w:ascii="Times New Roman" w:cs="Times New Roman" w:eastAsia="Times New Roman" w:hAnsi="Times New Roman"/>
          <w:sz w:val="20"/>
          <w:szCs w:val="20"/>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current stockholders’ interest will be diluted, and the terms may include liquidation or other preferences that adversely affect the rights of existing stockholders.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the RaniPill HC or our product candidates that we otherwise would seek to develop or commercialize ourselves or potentially reserve for future potential arrangements when we might be able to achieve more favorable terms.</w:t>
      </w:r>
    </w:p>
    <w:p>
      <w:pPr>
        <w:spacing w:after="0" w:line="20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existing indebtedness contains restrictions that limit our flexibility in operating our business. In addition, we may be required to make a prepayment or repay our outstanding indebtedness earlier than we expect.</w:t>
      </w:r>
    </w:p>
    <w:p>
      <w:pPr>
        <w:spacing w:after="0" w:line="169" w:lineRule="exact"/>
        <w:rPr>
          <w:sz w:val="20"/>
          <w:szCs w:val="20"/>
          <w:color w:val="auto"/>
        </w:rPr>
      </w:pPr>
    </w:p>
    <w:p>
      <w:pPr>
        <w:ind w:right="120" w:firstLine="979"/>
        <w:spacing w:after="0" w:line="247" w:lineRule="auto"/>
        <w:rPr>
          <w:sz w:val="20"/>
          <w:szCs w:val="20"/>
          <w:color w:val="auto"/>
        </w:rPr>
      </w:pPr>
      <w:r>
        <w:rPr>
          <w:rFonts w:ascii="Times New Roman" w:cs="Times New Roman" w:eastAsia="Times New Roman" w:hAnsi="Times New Roman"/>
          <w:sz w:val="20"/>
          <w:szCs w:val="20"/>
          <w:color w:val="auto"/>
        </w:rPr>
        <w:t>In August 2022, we entered into the Loan Agreement with the Lender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Loan Agreement contains various covenants that limit our ability to engage in specified types of transactions. These covenants limit our ability to, among other things:</w:t>
      </w:r>
    </w:p>
    <w:p>
      <w:pPr>
        <w:spacing w:after="0" w:line="214" w:lineRule="exact"/>
        <w:rPr>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incur or assume certain debt;</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merge or consolidate or acquire all or substantially all of the capital stock or property of another entity;</w:t>
      </w:r>
    </w:p>
    <w:p>
      <w:pPr>
        <w:spacing w:after="0" w:line="253"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any transaction or series of related transactions that would be deemed to result in a change in control of us under the terms of the agreement;</w:t>
      </w:r>
    </w:p>
    <w:p>
      <w:pPr>
        <w:spacing w:after="0" w:line="184"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 the nature of our business;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 our organizational structure or type;</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license, transfer, or dispose of certain assets;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grant certain types of liens on our assets;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make certain investments;</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pay cash dividends; and</w:t>
      </w:r>
    </w:p>
    <w:p>
      <w:pPr>
        <w:spacing w:after="0" w:line="253" w:lineRule="exact"/>
        <w:rPr>
          <w:rFonts w:ascii="Arial" w:cs="Arial" w:eastAsia="Arial" w:hAnsi="Arial"/>
          <w:sz w:val="20"/>
          <w:szCs w:val="20"/>
          <w:color w:val="auto"/>
        </w:rPr>
      </w:pPr>
    </w:p>
    <w:p>
      <w:pPr>
        <w:ind w:left="980" w:hanging="491"/>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material transactions with affiliates.</w:t>
      </w:r>
    </w:p>
    <w:p>
      <w:pPr>
        <w:spacing w:after="0" w:line="239" w:lineRule="exact"/>
        <w:rPr>
          <w:sz w:val="20"/>
          <w:szCs w:val="20"/>
          <w:color w:val="auto"/>
        </w:rPr>
      </w:pPr>
    </w:p>
    <w:p>
      <w:pPr>
        <w:ind w:right="340" w:firstLine="979"/>
        <w:spacing w:after="0" w:line="277" w:lineRule="auto"/>
        <w:rPr>
          <w:sz w:val="20"/>
          <w:szCs w:val="20"/>
          <w:color w:val="auto"/>
        </w:rPr>
      </w:pPr>
      <w:r>
        <w:rPr>
          <w:rFonts w:ascii="Times New Roman" w:cs="Times New Roman" w:eastAsia="Times New Roman" w:hAnsi="Times New Roman"/>
          <w:sz w:val="20"/>
          <w:szCs w:val="20"/>
          <w:color w:val="auto"/>
        </w:rPr>
        <w:t>The restrictive covenants in the Loan Agreement could prevent us from pursuing business opportunities that we or our stockholders may consider beneficial.</w:t>
      </w:r>
    </w:p>
    <w:p>
      <w:pPr>
        <w:sectPr>
          <w:pgSz w:w="12240" w:h="15840" w:orient="portrait"/>
          <w:cols w:equalWidth="0" w:num="1">
            <w:col w:w="10780"/>
          </w:cols>
          <w:pgMar w:left="720" w:top="944" w:right="74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780"/>
          </w:cols>
          <w:pgMar w:left="720" w:top="944" w:right="740" w:bottom="0" w:gutter="0" w:footer="0" w:header="0"/>
          <w:type w:val="continuous"/>
        </w:sectPr>
      </w:pPr>
    </w:p>
    <w:bookmarkStart w:id="40" w:name="page41"/>
    <w:bookmarkEnd w:id="40"/>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A breach of any of these covenants could result in an event of default under the Loan Agreement. An event of default will also occur if, among other things, a material adverse effect in our business, operations, or condition occurs, which could potentially include a material impairment of the prospect of our repayment of any portion of the amounts we owe under the Loan Agreement. In the case of a continuing event of default under the Loan Agreement, the Lender could elect to declare all amounts outstanding to be immediately due and payable, proceed against the collateral in which we granted the Lender a security interest under the Loan Agreement, or otherwise exercise the rights of a secured creditor. Amounts outstanding under the Loan Agreement are secured by substantially all of our existing and future assets, including intellectual property.</w:t>
      </w:r>
    </w:p>
    <w:p>
      <w:pPr>
        <w:spacing w:after="0" w:line="200" w:lineRule="exact"/>
        <w:rPr>
          <w:sz w:val="20"/>
          <w:szCs w:val="20"/>
          <w:color w:val="auto"/>
        </w:rPr>
      </w:pPr>
    </w:p>
    <w:p>
      <w:pPr>
        <w:ind w:right="100" w:firstLine="979"/>
        <w:spacing w:after="0" w:line="249" w:lineRule="auto"/>
        <w:rPr>
          <w:sz w:val="20"/>
          <w:szCs w:val="20"/>
          <w:color w:val="auto"/>
        </w:rPr>
      </w:pPr>
      <w:r>
        <w:rPr>
          <w:rFonts w:ascii="Times New Roman" w:cs="Times New Roman" w:eastAsia="Times New Roman" w:hAnsi="Times New Roman"/>
          <w:sz w:val="20"/>
          <w:szCs w:val="20"/>
          <w:color w:val="auto"/>
        </w:rPr>
        <w:t>The Loan Agreement also gives us the ability to access an additional $15.0 million, which may be drawn in an additional tranche with the approval of the Lender and subject to the other terms and conditions set forth in the Loan Agreement. If we are unable to satisfy these or other required conditions, or if the Lender does not consent, as applicable, we would not be able to draw down the remaining tranche of financing and may not be able to obtain alternative financing on commercially reasonable terms or at all, which could adversely impact our business.</w:t>
      </w:r>
    </w:p>
    <w:p>
      <w:pPr>
        <w:spacing w:after="0" w:line="197" w:lineRule="exact"/>
        <w:rPr>
          <w:sz w:val="20"/>
          <w:szCs w:val="20"/>
          <w:color w:val="auto"/>
        </w:rPr>
      </w:pPr>
    </w:p>
    <w:p>
      <w:pPr>
        <w:ind w:right="40" w:firstLine="979"/>
        <w:spacing w:after="0" w:line="252" w:lineRule="auto"/>
        <w:rPr>
          <w:sz w:val="20"/>
          <w:szCs w:val="20"/>
          <w:color w:val="auto"/>
        </w:rPr>
      </w:pPr>
      <w:r>
        <w:rPr>
          <w:rFonts w:ascii="Times New Roman" w:cs="Times New Roman" w:eastAsia="Times New Roman" w:hAnsi="Times New Roman"/>
          <w:sz w:val="20"/>
          <w:szCs w:val="20"/>
          <w:color w:val="auto"/>
        </w:rPr>
        <w:t>We may not have enough available cash or be able to raise additional funds on satisfactory terms, if at all, through equity or debt financings to repay or refinance our indebtedness at the time any such repayment is required. In such an event, we may be required to delay, limit, reduce, or terminate our product development or commercialization efforts. Our business, financial condition, and results of operations could be materially adversely affected as a result.</w:t>
      </w:r>
    </w:p>
    <w:p>
      <w:pPr>
        <w:spacing w:after="0" w:line="194"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Any restructuring actions that we undertake may not deliver the expected results and these actions may adversely affect our business operations.</w:t>
      </w:r>
    </w:p>
    <w:p>
      <w:pPr>
        <w:spacing w:after="0" w:line="169"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We may undertake various restructuring activities in an effort to better align our resources, organizational structure and costs with our strategic priorities, including streamlining of business operations and development program priorities and reduction in force. For example, in November 2023, we committed to a restructuring plan involving the reduction of our workforce by approximately 25%. As a result of the restructuring activities, we estimate we will incur approximately $0.3 million in costs of which nearly all are cash expenditures related to severance and half of which was incurred in the fourth quarter of 2023. The restructuring is expected to be substantially completed by the end of the second quarter of 2024. The estimates of costs that we expect to incur in connection with the restructuring and the timing thereof are subject to a number of assumptions and actual results may differ materially from estimates. We may also incur other charges or cash expenditures not currently contemplated in connection with the restructuring due to unanticipated events that may occur, including in connection with the implementation of the restructuring. In connection with such activities, and any other future restructuring activities, we may experience a disruption in our ability to perform functions critical to our strategy or business objectives. While we strive to reduce the negative impact of such restructuring actions, such actions could result in significant disruptions to our operations, including adversely affecting our clinical program development, technology platform development, the successful implementation and completion of our strategic objectives and the results of our operations. We expect to continue to actively manage our costs. However, if we do not fully realize or maintain the anticipated benefits of our restructuring plans and cost reduction initiatives, our business could be adversely affected. Restructuring activities may also yield unintended consequences and costs, such as the loss of institutional knowledge and expertise, attrition beyond our intended reduction-in-force, a reduction in morale among our remaining employees, and the risk that we may not achieve the anticipated benefits, all of which may have an adverse effect on our results of operations or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and Regulatory Approval of Our Product Candidates</w:t>
      </w:r>
    </w:p>
    <w:p>
      <w:pPr>
        <w:spacing w:after="0" w:line="24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94"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We are in the early stages of our development efforts and have only a limited number of product candidates in early clinical development. Other product candidates are still in the formulation and preclinical stages. We will need to progress our product candidates through Investigational New Drug (IND)-enabling studies and submit INDs to the FDA or equivalent regulatory filings to foreign regulatory authorities prior to initiating their clinical development. None of our product candidates have advanced into a pivotal study.</w:t>
      </w:r>
    </w:p>
    <w:p>
      <w:pPr>
        <w:spacing w:after="0" w:line="197" w:lineRule="exact"/>
        <w:rPr>
          <w:sz w:val="20"/>
          <w:szCs w:val="20"/>
          <w:color w:val="auto"/>
        </w:rPr>
      </w:pPr>
    </w:p>
    <w:p>
      <w:pPr>
        <w:jc w:val="both"/>
        <w:ind w:right="100" w:firstLine="979"/>
        <w:spacing w:after="0" w:line="258" w:lineRule="auto"/>
        <w:rPr>
          <w:sz w:val="20"/>
          <w:szCs w:val="20"/>
          <w:color w:val="auto"/>
        </w:rPr>
      </w:pPr>
      <w:r>
        <w:rPr>
          <w:rFonts w:ascii="Times New Roman" w:cs="Times New Roman" w:eastAsia="Times New Roman" w:hAnsi="Times New Roman"/>
          <w:sz w:val="20"/>
          <w:szCs w:val="20"/>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203" w:lineRule="exact"/>
        <w:rPr>
          <w:sz w:val="20"/>
          <w:szCs w:val="20"/>
          <w:color w:val="auto"/>
        </w:rPr>
      </w:pPr>
    </w:p>
    <w:p>
      <w:pPr>
        <w:ind w:left="1340" w:hanging="361"/>
        <w:spacing w:after="0"/>
        <w:tabs>
          <w:tab w:leader="none" w:pos="134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enrollment in clinical trials and completion of preclinical studies and clinical trials with favorable results;</w:t>
      </w:r>
    </w:p>
    <w:p>
      <w:pPr>
        <w:sectPr>
          <w:pgSz w:w="12240" w:h="15840" w:orient="portrait"/>
          <w:cols w:equalWidth="0" w:num="1">
            <w:col w:w="10760"/>
          </w:cols>
          <w:pgMar w:left="720" w:top="930" w:right="76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760"/>
          </w:cols>
          <w:pgMar w:left="720" w:top="930" w:right="760" w:bottom="0" w:gutter="0" w:footer="0" w:header="0"/>
          <w:type w:val="continuous"/>
        </w:sectPr>
      </w:pPr>
    </w:p>
    <w:bookmarkStart w:id="41" w:name="page42"/>
    <w:bookmarkEnd w:id="41"/>
    <w:p>
      <w:pPr>
        <w:ind w:left="1340" w:right="400" w:hanging="361"/>
        <w:spacing w:after="0" w:line="276" w:lineRule="auto"/>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INDs by the FDA or similar regulatory filings by comparable foreign regulatory authorities for the conduct of clinical trials of our product candidates and our proposed design of future clinical trials;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demonstrating safety and efficacy to the satisfaction of applicable regulatory authorities;</w:t>
      </w:r>
    </w:p>
    <w:p>
      <w:pPr>
        <w:spacing w:after="0" w:line="253" w:lineRule="exact"/>
        <w:rPr>
          <w:rFonts w:ascii="Arial" w:cs="Arial" w:eastAsia="Arial" w:hAnsi="Arial"/>
          <w:sz w:val="20"/>
          <w:szCs w:val="20"/>
          <w:color w:val="auto"/>
        </w:rPr>
      </w:pPr>
    </w:p>
    <w:p>
      <w:pPr>
        <w:ind w:left="1340" w:right="140" w:hanging="361"/>
        <w:spacing w:after="0" w:line="276" w:lineRule="auto"/>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marketing approvals from applicable regulatory authorities, including BLAs or NDAs, from the FDA, and maintaining such approvals;</w:t>
      </w:r>
    </w:p>
    <w:p>
      <w:pPr>
        <w:spacing w:after="0" w:line="184" w:lineRule="exact"/>
        <w:rPr>
          <w:rFonts w:ascii="Arial" w:cs="Arial" w:eastAsia="Arial" w:hAnsi="Arial"/>
          <w:sz w:val="20"/>
          <w:szCs w:val="20"/>
          <w:color w:val="auto"/>
        </w:rPr>
      </w:pPr>
    </w:p>
    <w:p>
      <w:pPr>
        <w:ind w:left="1340" w:right="560" w:hanging="361"/>
        <w:spacing w:after="0" w:line="276" w:lineRule="auto"/>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clinical and commercial manufacturing capabilities, and securing adequate supply of drugs for our product candidates;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automation of our manufacturing machinery and procedures;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multiple suppliers for our critical manufacturing materials;</w:t>
      </w:r>
    </w:p>
    <w:p>
      <w:pPr>
        <w:spacing w:after="0" w:line="253" w:lineRule="exact"/>
        <w:rPr>
          <w:rFonts w:ascii="Arial" w:cs="Arial" w:eastAsia="Arial" w:hAnsi="Arial"/>
          <w:sz w:val="20"/>
          <w:szCs w:val="20"/>
          <w:color w:val="auto"/>
        </w:rPr>
      </w:pPr>
    </w:p>
    <w:p>
      <w:pPr>
        <w:ind w:left="1340" w:right="420" w:hanging="361"/>
        <w:spacing w:after="0" w:line="276" w:lineRule="auto"/>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sales, marketing and distribution capabilities and launching commercial sales of our products, if and when approved, whether alone or in collaboration with others;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patent and trade secret protection or regulatory exclusivity for our product candidates;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 acceptable safety profile and shelf life of our products following approval;</w:t>
      </w:r>
    </w:p>
    <w:p>
      <w:pPr>
        <w:spacing w:after="0" w:line="253" w:lineRule="exact"/>
        <w:rPr>
          <w:rFonts w:ascii="Arial" w:cs="Arial" w:eastAsia="Arial" w:hAnsi="Arial"/>
          <w:sz w:val="20"/>
          <w:szCs w:val="20"/>
          <w:color w:val="auto"/>
        </w:rPr>
      </w:pPr>
    </w:p>
    <w:p>
      <w:pPr>
        <w:ind w:left="1340" w:right="460" w:hanging="361"/>
        <w:spacing w:after="0" w:line="276" w:lineRule="auto"/>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class of drugs that are included in our product candidates continuing to represent the standard-of-care for the respective disease target and continuing to have a long-term favorable safety profile; and</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and growing an organization of people who can develop our products and technology.</w:t>
      </w:r>
    </w:p>
    <w:p>
      <w:pPr>
        <w:spacing w:after="0" w:line="239"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The success of our business, including our ability to finance our company and generate any revenue in the future, will depend on the successful development, regulatory approval and commercialization of our product candidates, which may never occur. We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 bodies or potential collaborators.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20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88" w:lineRule="exact"/>
        <w:rPr>
          <w:sz w:val="20"/>
          <w:szCs w:val="20"/>
          <w:color w:val="auto"/>
        </w:rPr>
      </w:pPr>
    </w:p>
    <w:p>
      <w:pPr>
        <w:ind w:right="200" w:firstLine="979"/>
        <w:spacing w:after="0" w:line="243" w:lineRule="auto"/>
        <w:rPr>
          <w:sz w:val="20"/>
          <w:szCs w:val="20"/>
          <w:color w:val="auto"/>
        </w:rPr>
      </w:pPr>
      <w:r>
        <w:rPr>
          <w:rFonts w:ascii="Times New Roman" w:cs="Times New Roman" w:eastAsia="Times New Roman" w:hAnsi="Times New Roman"/>
          <w:sz w:val="20"/>
          <w:szCs w:val="20"/>
          <w:color w:val="auto"/>
        </w:rPr>
        <w:t>Our business and future profitability is substantially dependent on our ability to successfully develop, obtain regulatory approval for and then successfully commercialize our product candidates.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Our product candidates could fail to receive regulatory approval for many reasons, including the following:</w:t>
      </w:r>
    </w:p>
    <w:p>
      <w:pPr>
        <w:spacing w:after="0" w:line="254" w:lineRule="exact"/>
        <w:rPr>
          <w:sz w:val="20"/>
          <w:szCs w:val="20"/>
          <w:color w:val="auto"/>
        </w:rPr>
      </w:pPr>
    </w:p>
    <w:p>
      <w:pPr>
        <w:ind w:left="1340" w:right="80" w:hanging="361"/>
        <w:spacing w:after="0" w:line="276" w:lineRule="auto"/>
        <w:tabs>
          <w:tab w:leader="none" w:pos="134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ectPr>
          <w:pgSz w:w="12240" w:h="15840" w:orient="portrait"/>
          <w:cols w:equalWidth="0" w:num="1">
            <w:col w:w="10780"/>
          </w:cols>
          <w:pgMar w:left="720" w:top="94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780"/>
          </w:cols>
          <w:pgMar w:left="720" w:top="944" w:right="740" w:bottom="0" w:gutter="0" w:footer="0" w:header="0"/>
          <w:type w:val="continuous"/>
        </w:sectPr>
      </w:pPr>
    </w:p>
    <w:bookmarkStart w:id="42" w:name="page43"/>
    <w:bookmarkEnd w:id="42"/>
    <w:p>
      <w:pPr>
        <w:ind w:left="1340" w:right="280" w:hanging="361"/>
        <w:spacing w:after="0" w:line="276" w:lineRule="auto"/>
        <w:tabs>
          <w:tab w:leader="none" w:pos="13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product candidate is safe and effective for its proposed indication;</w:t>
      </w:r>
    </w:p>
    <w:p>
      <w:pPr>
        <w:spacing w:after="0" w:line="184" w:lineRule="exact"/>
        <w:rPr>
          <w:rFonts w:ascii="Arial" w:cs="Arial" w:eastAsia="Arial" w:hAnsi="Arial"/>
          <w:sz w:val="20"/>
          <w:szCs w:val="20"/>
          <w:color w:val="auto"/>
        </w:rPr>
      </w:pPr>
    </w:p>
    <w:p>
      <w:pPr>
        <w:ind w:left="1340" w:right="80" w:hanging="361"/>
        <w:spacing w:after="0" w:line="276" w:lineRule="auto"/>
        <w:tabs>
          <w:tab w:leader="none" w:pos="13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fail to achieve the level of statistical significance required by the FDA or comparable foreign regulatory authorities for approval;</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253" w:lineRule="exact"/>
        <w:rPr>
          <w:rFonts w:ascii="Arial" w:cs="Arial" w:eastAsia="Arial" w:hAnsi="Arial"/>
          <w:sz w:val="20"/>
          <w:szCs w:val="20"/>
          <w:color w:val="auto"/>
        </w:rPr>
      </w:pPr>
    </w:p>
    <w:p>
      <w:pPr>
        <w:ind w:left="1340" w:right="560" w:hanging="361"/>
        <w:spacing w:after="0" w:line="276" w:lineRule="auto"/>
        <w:tabs>
          <w:tab w:leader="none" w:pos="13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submitted in support of regulatory approval;</w:t>
      </w:r>
    </w:p>
    <w:p>
      <w:pPr>
        <w:spacing w:after="0" w:line="184" w:lineRule="exact"/>
        <w:rPr>
          <w:rFonts w:ascii="Arial" w:cs="Arial" w:eastAsia="Arial" w:hAnsi="Arial"/>
          <w:sz w:val="20"/>
          <w:szCs w:val="20"/>
          <w:color w:val="auto"/>
        </w:rPr>
      </w:pPr>
    </w:p>
    <w:p>
      <w:pPr>
        <w:jc w:val="both"/>
        <w:ind w:left="1340" w:hanging="361"/>
        <w:spacing w:after="0" w:line="258" w:lineRule="auto"/>
        <w:tabs>
          <w:tab w:leader="none" w:pos="13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201" w:lineRule="exact"/>
        <w:rPr>
          <w:rFonts w:ascii="Arial" w:cs="Arial" w:eastAsia="Arial" w:hAnsi="Arial"/>
          <w:sz w:val="20"/>
          <w:szCs w:val="20"/>
          <w:color w:val="auto"/>
        </w:rPr>
      </w:pPr>
    </w:p>
    <w:p>
      <w:pPr>
        <w:ind w:left="1340" w:right="360" w:hanging="361"/>
        <w:spacing w:after="0" w:line="304" w:lineRule="auto"/>
        <w:tabs>
          <w:tab w:leader="none" w:pos="134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meet the cGMP and other applicable requirements for manufacturing processes, procedures, documentation and facilities necessary for approval by the FDA or comparable foreign regulatory authorities; and</w:t>
      </w:r>
    </w:p>
    <w:p>
      <w:pPr>
        <w:spacing w:after="0" w:line="159" w:lineRule="exact"/>
        <w:rPr>
          <w:rFonts w:ascii="Arial" w:cs="Arial" w:eastAsia="Arial" w:hAnsi="Arial"/>
          <w:sz w:val="19"/>
          <w:szCs w:val="19"/>
          <w:color w:val="auto"/>
        </w:rPr>
      </w:pPr>
    </w:p>
    <w:p>
      <w:pPr>
        <w:ind w:left="1340" w:right="160" w:hanging="361"/>
        <w:spacing w:after="0" w:line="276" w:lineRule="auto"/>
        <w:tabs>
          <w:tab w:leader="none" w:pos="134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the approval policies or regulations of the FDA or comparable foreign regulatory authorities with respect to our product candidates may result in our clinical data becoming insufficient for approval.</w:t>
      </w:r>
    </w:p>
    <w:p>
      <w:pPr>
        <w:spacing w:after="0" w:line="170" w:lineRule="exact"/>
        <w:rPr>
          <w:sz w:val="20"/>
          <w:szCs w:val="20"/>
          <w:color w:val="auto"/>
        </w:rPr>
      </w:pPr>
    </w:p>
    <w:p>
      <w:pPr>
        <w:jc w:val="both"/>
        <w:ind w:right="420" w:firstLine="979"/>
        <w:spacing w:after="0" w:line="258" w:lineRule="auto"/>
        <w:rPr>
          <w:sz w:val="20"/>
          <w:szCs w:val="20"/>
          <w:color w:val="auto"/>
        </w:rPr>
      </w:pPr>
      <w:r>
        <w:rPr>
          <w:rFonts w:ascii="Times New Roman" w:cs="Times New Roman" w:eastAsia="Times New Roman" w:hAnsi="Times New Roman"/>
          <w:sz w:val="20"/>
          <w:szCs w:val="20"/>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8"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200" w:lineRule="exact"/>
        <w:rPr>
          <w:sz w:val="20"/>
          <w:szCs w:val="20"/>
          <w:color w:val="auto"/>
        </w:rPr>
      </w:pPr>
    </w:p>
    <w:p>
      <w:pPr>
        <w:ind w:right="20" w:firstLine="979"/>
        <w:spacing w:after="0" w:line="252" w:lineRule="auto"/>
        <w:rPr>
          <w:sz w:val="20"/>
          <w:szCs w:val="20"/>
          <w:color w:val="auto"/>
        </w:rPr>
      </w:pPr>
      <w:r>
        <w:rPr>
          <w:rFonts w:ascii="Times New Roman" w:cs="Times New Roman" w:eastAsia="Times New Roman" w:hAnsi="Times New Roman"/>
          <w:sz w:val="20"/>
          <w:szCs w:val="20"/>
          <w:color w:val="auto"/>
        </w:rPr>
        <w:t>We have not previously submitted a BLA, or a marketing authorization application,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9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69" w:lineRule="exact"/>
        <w:rPr>
          <w:sz w:val="20"/>
          <w:szCs w:val="20"/>
          <w:color w:val="auto"/>
        </w:rPr>
      </w:pPr>
    </w:p>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trials ofRT-102 and RT-111 do not ensure that future Phase 2 or later clinical trials of these product candidates will have similar results or be successful. In the Phase 1 clinical trials of RT-102 and RT-111, we tested the RaniPill capsule in a limited number of healthy volunteers. While we have not observed any serious adverse events as a result of these clinical trials, we have not widely tested the RaniPill capsule in humans and cannot be certain how the RaniPill capsule will perform when more widely tested in humans in any additional or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w:t>
      </w:r>
    </w:p>
    <w:p>
      <w:pPr>
        <w:sectPr>
          <w:pgSz w:w="12240" w:h="15840" w:orient="portrait"/>
          <w:cols w:equalWidth="0" w:num="1">
            <w:col w:w="10800"/>
          </w:cols>
          <w:pgMar w:left="720" w:top="94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944" w:right="720" w:bottom="0" w:gutter="0" w:footer="0" w:header="0"/>
          <w:type w:val="continuous"/>
        </w:sectPr>
      </w:pPr>
    </w:p>
    <w:bookmarkStart w:id="43" w:name="page44"/>
    <w:bookmarkEnd w:id="43"/>
    <w:p>
      <w:pPr>
        <w:ind w:right="40" w:firstLine="979"/>
        <w:spacing w:after="0" w:line="265" w:lineRule="auto"/>
        <w:rPr>
          <w:sz w:val="20"/>
          <w:szCs w:val="20"/>
          <w:color w:val="auto"/>
        </w:rPr>
      </w:pPr>
      <w:r>
        <w:rPr>
          <w:rFonts w:ascii="Times New Roman" w:cs="Times New Roman" w:eastAsia="Times New Roman" w:hAnsi="Times New Roman"/>
          <w:sz w:val="19"/>
          <w:szCs w:val="19"/>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84" w:lineRule="exact"/>
        <w:rPr>
          <w:sz w:val="20"/>
          <w:szCs w:val="20"/>
          <w:color w:val="auto"/>
        </w:rPr>
      </w:pPr>
    </w:p>
    <w:p>
      <w:pPr>
        <w:ind w:right="20" w:firstLine="979"/>
        <w:spacing w:after="0" w:line="258" w:lineRule="auto"/>
        <w:rPr>
          <w:sz w:val="20"/>
          <w:szCs w:val="20"/>
          <w:color w:val="auto"/>
        </w:rPr>
      </w:pPr>
      <w:r>
        <w:rPr>
          <w:rFonts w:ascii="Times New Roman" w:cs="Times New Roman" w:eastAsia="Times New Roman" w:hAnsi="Times New Roman"/>
          <w:sz w:val="20"/>
          <w:szCs w:val="20"/>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203" w:lineRule="exact"/>
        <w:rPr>
          <w:sz w:val="20"/>
          <w:szCs w:val="20"/>
          <w:color w:val="auto"/>
        </w:rPr>
      </w:pPr>
    </w:p>
    <w:p>
      <w:pPr>
        <w:ind w:left="1340" w:hanging="361"/>
        <w:spacing w:after="0"/>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regulatory approvals to commence a clinical trial;</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fraud or negligence on the part of consultants or contractors;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institutional review board or ethics committee approval at each site;</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recruiting suitable patients to participate in a clinical trial;</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having patients complete a clinical trial or return for post-treatment follow-up;</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sites deviating from the clinical trial’s protocol or dropping out of a clinical trial;</w:t>
      </w:r>
    </w:p>
    <w:p>
      <w:pPr>
        <w:spacing w:after="0" w:line="253" w:lineRule="exact"/>
        <w:rPr>
          <w:rFonts w:ascii="Arial" w:cs="Arial" w:eastAsia="Arial" w:hAnsi="Arial"/>
          <w:sz w:val="20"/>
          <w:szCs w:val="20"/>
          <w:color w:val="auto"/>
        </w:rPr>
      </w:pPr>
    </w:p>
    <w:p>
      <w:pPr>
        <w:ind w:left="1340" w:right="240" w:hanging="361"/>
        <w:spacing w:after="0" w:line="276" w:lineRule="auto"/>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impacts of the conflict between Russia and Ukraine on our ongoing and planned preclinical studies and clinical trials;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adding new clinical trial sites; or</w:t>
      </w:r>
    </w:p>
    <w:p>
      <w:pPr>
        <w:spacing w:after="0" w:line="253" w:lineRule="exact"/>
        <w:rPr>
          <w:rFonts w:ascii="Arial" w:cs="Arial" w:eastAsia="Arial" w:hAnsi="Arial"/>
          <w:sz w:val="20"/>
          <w:szCs w:val="20"/>
          <w:color w:val="auto"/>
        </w:rPr>
      </w:pPr>
    </w:p>
    <w:p>
      <w:pPr>
        <w:ind w:left="1340" w:right="40" w:hanging="361"/>
        <w:spacing w:after="0" w:line="276" w:lineRule="auto"/>
        <w:tabs>
          <w:tab w:leader="none" w:pos="134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firstLine="979"/>
        <w:spacing w:after="0" w:line="243" w:lineRule="auto"/>
        <w:rPr>
          <w:sz w:val="20"/>
          <w:szCs w:val="20"/>
          <w:color w:val="auto"/>
        </w:rPr>
      </w:pPr>
      <w:r>
        <w:rPr>
          <w:rFonts w:ascii="Times New Roman" w:cs="Times New Roman" w:eastAsia="Times New Roman" w:hAnsi="Times New Roman"/>
          <w:sz w:val="20"/>
          <w:szCs w:val="20"/>
          <w:color w:val="auto"/>
        </w:rPr>
        <w:t>In addition, we could encounter delays if a clinical trial is modified, suspended or terminated by us, by the IRBs or ethics committees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3"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Moreover,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the integrity of data from our clinical trials may be compromised or not accepted by the FDA or comparable foreign regulatory authorities, which would represent a significant setback for the applicable program.</w:t>
      </w:r>
    </w:p>
    <w:p>
      <w:pPr>
        <w:spacing w:after="0" w:line="197" w:lineRule="exact"/>
        <w:rPr>
          <w:sz w:val="20"/>
          <w:szCs w:val="20"/>
          <w:color w:val="auto"/>
        </w:rPr>
      </w:pPr>
    </w:p>
    <w:p>
      <w:pPr>
        <w:jc w:val="both"/>
        <w:ind w:right="460" w:firstLine="979"/>
        <w:spacing w:after="0" w:line="252" w:lineRule="auto"/>
        <w:rPr>
          <w:sz w:val="20"/>
          <w:szCs w:val="20"/>
          <w:color w:val="auto"/>
        </w:rPr>
      </w:pPr>
      <w:r>
        <w:rPr>
          <w:rFonts w:ascii="Times New Roman" w:cs="Times New Roman" w:eastAsia="Times New Roman" w:hAnsi="Times New Roman"/>
          <w:sz w:val="20"/>
          <w:szCs w:val="20"/>
          <w:color w:val="auto"/>
        </w:rPr>
        <w:t>For the foregoing reasons, our ongoing and planned preclinical studies and clinical trials may not be successful. Any safety concerns observed in any one of our clinical trials in our targeted or contemplated indications could limit the prospects for regulatory approval of our product candidates in those and other indications, which could have an adverse effect on our business, financial condition and results of operations.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780"/>
          </w:cols>
          <w:pgMar w:left="720" w:top="930" w:right="740" w:bottom="0" w:gutter="0" w:footer="0" w:header="0"/>
          <w:type w:val="continuous"/>
        </w:sectPr>
      </w:pPr>
    </w:p>
    <w:bookmarkStart w:id="44" w:name="page45"/>
    <w:bookmarkEnd w:id="44"/>
    <w:p>
      <w:pPr>
        <w:jc w:val="both"/>
        <w:ind w:right="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Any inability to develop, or difficulties or delays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spacing w:after="0" w:line="188" w:lineRule="exact"/>
        <w:rPr>
          <w:sz w:val="20"/>
          <w:szCs w:val="20"/>
          <w:color w:val="auto"/>
        </w:rPr>
      </w:pPr>
    </w:p>
    <w:p>
      <w:pPr>
        <w:ind w:firstLine="979"/>
        <w:spacing w:after="0" w:line="239" w:lineRule="auto"/>
        <w:rPr>
          <w:sz w:val="20"/>
          <w:szCs w:val="20"/>
          <w:color w:val="auto"/>
        </w:rPr>
      </w:pPr>
      <w:r>
        <w:rPr>
          <w:rFonts w:ascii="Times New Roman" w:cs="Times New Roman" w:eastAsia="Times New Roman" w:hAnsi="Times New Roman"/>
          <w:sz w:val="20"/>
          <w:szCs w:val="20"/>
          <w:color w:val="auto"/>
        </w:rPr>
        <w:t>We develop microtablets of drugs for use in the RaniPill GO and may need to develop or modify formulations of drugs for use in the RaniPill HC or future versions of the RaniPill capsule. Drug formulation work is difficult and the outcomes are uncertain. If we are not able to develop a drug formulation suitable for use with our RaniPill capsule, it could prevent, limit or delay our ability to pursue or advance product candidates. Even if we are successful in developing drug formulations of product candidates that are suitable for the RaniPill capsule, such formulations may cause the drug to perform differently than another formulation of the drug and could result in our product candidates having a safety or efficacy profile different or worse than other formulations of the drug. If we are unable to develop, or have difficulties or delays in developing, suitable formulations of drugs for the RaniPill capsule, our ability to develop and commercialize product candidates, to expand use of the RaniPill oral delivery technology and to generate revenues could be adversely affected.</w:t>
      </w:r>
    </w:p>
    <w:p>
      <w:pPr>
        <w:spacing w:after="0" w:line="206"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88" w:lineRule="exact"/>
        <w:rPr>
          <w:sz w:val="20"/>
          <w:szCs w:val="20"/>
          <w:color w:val="auto"/>
        </w:rPr>
      </w:pPr>
    </w:p>
    <w:p>
      <w:pPr>
        <w:ind w:right="100" w:firstLine="979"/>
        <w:spacing w:after="0" w:line="242"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a limited number of product candidates in early clinical development. Other product candidates are still in the formulation or preclinical stages. While we intend to advance our product candidates into initial and later stages of clinical development,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200" w:lineRule="exact"/>
        <w:rPr>
          <w:sz w:val="20"/>
          <w:szCs w:val="20"/>
          <w:color w:val="auto"/>
        </w:rPr>
      </w:pPr>
    </w:p>
    <w:p>
      <w:pPr>
        <w:ind w:right="780" w:firstLine="979"/>
        <w:spacing w:after="0" w:line="272" w:lineRule="auto"/>
        <w:rPr>
          <w:sz w:val="20"/>
          <w:szCs w:val="20"/>
          <w:color w:val="auto"/>
        </w:rPr>
      </w:pPr>
      <w:r>
        <w:rPr>
          <w:rFonts w:ascii="Times New Roman" w:cs="Times New Roman" w:eastAsia="Times New Roman" w:hAnsi="Times New Roman"/>
          <w:sz w:val="20"/>
          <w:szCs w:val="20"/>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83" w:lineRule="exact"/>
        <w:rPr>
          <w:sz w:val="20"/>
          <w:szCs w:val="20"/>
          <w:color w:val="auto"/>
        </w:rPr>
      </w:pPr>
    </w:p>
    <w:p>
      <w:pPr>
        <w:ind w:left="1340" w:right="240" w:hanging="361"/>
        <w:spacing w:after="0" w:line="271" w:lineRule="auto"/>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disagreeing with the design or implementation of our clinical trials or the risks and benefits of the product candidate;</w:t>
      </w:r>
    </w:p>
    <w:p>
      <w:pPr>
        <w:spacing w:after="0" w:line="184" w:lineRule="exact"/>
        <w:rPr>
          <w:rFonts w:ascii="Arial" w:cs="Arial" w:eastAsia="Arial" w:hAnsi="Arial"/>
          <w:sz w:val="20"/>
          <w:szCs w:val="20"/>
          <w:color w:val="auto"/>
        </w:rPr>
      </w:pPr>
    </w:p>
    <w:p>
      <w:pPr>
        <w:ind w:left="1340" w:right="220" w:hanging="361"/>
        <w:spacing w:after="0" w:line="271" w:lineRule="auto"/>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regulatory authorizations to commence a trial, or reaching a consensus with regulatory authorities on trial design;</w:t>
      </w:r>
    </w:p>
    <w:p>
      <w:pPr>
        <w:spacing w:after="0" w:line="184" w:lineRule="exact"/>
        <w:rPr>
          <w:rFonts w:ascii="Arial" w:cs="Arial" w:eastAsia="Arial" w:hAnsi="Arial"/>
          <w:sz w:val="20"/>
          <w:szCs w:val="20"/>
          <w:color w:val="auto"/>
        </w:rPr>
      </w:pPr>
    </w:p>
    <w:p>
      <w:pPr>
        <w:ind w:left="1340" w:right="60" w:hanging="361"/>
        <w:spacing w:after="0" w:line="253" w:lineRule="auto"/>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any failure or delay in reaching an agreement with contract research organizations (“CROs”) and clinical trial sites, the terms of which can be subject to extensive negotiation and may vary significantly among different CROs and trial sites;</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approval from one or more IRBs;</w:t>
      </w:r>
    </w:p>
    <w:p>
      <w:pPr>
        <w:spacing w:after="0" w:line="248" w:lineRule="exact"/>
        <w:rPr>
          <w:rFonts w:ascii="Arial" w:cs="Arial" w:eastAsia="Arial" w:hAnsi="Arial"/>
          <w:sz w:val="20"/>
          <w:szCs w:val="20"/>
          <w:color w:val="auto"/>
        </w:rPr>
      </w:pPr>
    </w:p>
    <w:p>
      <w:pPr>
        <w:ind w:left="1340" w:right="520" w:hanging="361"/>
        <w:spacing w:after="0" w:line="271" w:lineRule="auto"/>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IRBs refusing to approve, suspending or terminating the trial at an investigational site, precluding enrollment of additional volunteers or withdrawing their approval of the trial;</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changes to clinical trial protocol;</w:t>
      </w:r>
    </w:p>
    <w:p>
      <w:pPr>
        <w:spacing w:after="0" w:line="248" w:lineRule="exact"/>
        <w:rPr>
          <w:rFonts w:ascii="Arial" w:cs="Arial" w:eastAsia="Arial" w:hAnsi="Arial"/>
          <w:sz w:val="20"/>
          <w:szCs w:val="20"/>
          <w:color w:val="auto"/>
        </w:rPr>
      </w:pPr>
    </w:p>
    <w:p>
      <w:pPr>
        <w:ind w:left="1340" w:hanging="361"/>
        <w:spacing w:after="0"/>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sites deviating from trial protocol or dropping out of a trial;</w:t>
      </w:r>
    </w:p>
    <w:p>
      <w:pPr>
        <w:spacing w:after="0" w:line="248" w:lineRule="exact"/>
        <w:rPr>
          <w:rFonts w:ascii="Arial" w:cs="Arial" w:eastAsia="Arial" w:hAnsi="Arial"/>
          <w:sz w:val="20"/>
          <w:szCs w:val="20"/>
          <w:color w:val="auto"/>
        </w:rPr>
      </w:pPr>
    </w:p>
    <w:p>
      <w:pPr>
        <w:ind w:left="1340" w:right="500" w:hanging="361"/>
        <w:spacing w:after="0" w:line="271" w:lineRule="auto"/>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sufficient quantities of a product candidate or obtaining sufficient quantities of other therapies or active pharmaceutical ingredients for use in clinical trials;</w:t>
      </w:r>
    </w:p>
    <w:p>
      <w:pPr>
        <w:spacing w:after="0" w:line="184" w:lineRule="exact"/>
        <w:rPr>
          <w:rFonts w:ascii="Arial" w:cs="Arial" w:eastAsia="Arial" w:hAnsi="Arial"/>
          <w:sz w:val="20"/>
          <w:szCs w:val="20"/>
          <w:color w:val="auto"/>
        </w:rPr>
      </w:pPr>
    </w:p>
    <w:p>
      <w:pPr>
        <w:ind w:left="1340" w:right="220" w:hanging="361"/>
        <w:spacing w:after="0" w:line="271" w:lineRule="auto"/>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volunteers failing to enroll or remain in our trial at the rate we expect, or failing to return for post-treatment follow-up;</w:t>
      </w:r>
    </w:p>
    <w:p>
      <w:pPr>
        <w:spacing w:after="0" w:line="184" w:lineRule="exact"/>
        <w:rPr>
          <w:rFonts w:ascii="Arial" w:cs="Arial" w:eastAsia="Arial" w:hAnsi="Arial"/>
          <w:sz w:val="20"/>
          <w:szCs w:val="20"/>
          <w:color w:val="auto"/>
        </w:rPr>
      </w:pPr>
    </w:p>
    <w:p>
      <w:pPr>
        <w:ind w:left="1340" w:right="20" w:hanging="361"/>
        <w:spacing w:after="0" w:line="271" w:lineRule="auto"/>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volunteers choosing an alternative treatment for the indication for which we are developing our product candidates, or participating in competing clinical trials;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lack of adequate funding to continue the clinical trial;</w:t>
      </w:r>
    </w:p>
    <w:p>
      <w:pPr>
        <w:spacing w:after="0" w:line="248" w:lineRule="exact"/>
        <w:rPr>
          <w:rFonts w:ascii="Arial" w:cs="Arial" w:eastAsia="Arial" w:hAnsi="Arial"/>
          <w:sz w:val="20"/>
          <w:szCs w:val="20"/>
          <w:color w:val="auto"/>
        </w:rPr>
      </w:pPr>
    </w:p>
    <w:p>
      <w:pPr>
        <w:ind w:left="1340" w:hanging="361"/>
        <w:spacing w:after="0"/>
        <w:tabs>
          <w:tab w:leader="none" w:pos="13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volunteers experiencing severe or unexpected drug-related or device-related adverse effects;</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926" w:right="720" w:bottom="0" w:gutter="0" w:footer="0" w:header="0"/>
          <w:type w:val="continuous"/>
        </w:sectPr>
      </w:pPr>
    </w:p>
    <w:bookmarkStart w:id="45" w:name="page46"/>
    <w:bookmarkEnd w:id="45"/>
    <w:p>
      <w:pPr>
        <w:ind w:left="1340" w:hanging="361"/>
        <w:spacing w:after="0"/>
        <w:tabs>
          <w:tab w:leader="none" w:pos="13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occurrence of serious adverse events in clinical trials of the same class of agents conducted by other companies;</w:t>
      </w:r>
    </w:p>
    <w:p>
      <w:pPr>
        <w:spacing w:after="0" w:line="248" w:lineRule="exact"/>
        <w:rPr>
          <w:rFonts w:ascii="Arial" w:cs="Arial" w:eastAsia="Arial" w:hAnsi="Arial"/>
          <w:sz w:val="20"/>
          <w:szCs w:val="20"/>
          <w:color w:val="auto"/>
        </w:rPr>
      </w:pPr>
    </w:p>
    <w:p>
      <w:pPr>
        <w:ind w:left="1340" w:hanging="361"/>
        <w:spacing w:after="0"/>
        <w:tabs>
          <w:tab w:leader="none" w:pos="13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selection of clinical endpoints that require prolonged periods of clinical observation or analysis of the resulting data;</w:t>
      </w:r>
    </w:p>
    <w:p>
      <w:pPr>
        <w:spacing w:after="0" w:line="248" w:lineRule="exact"/>
        <w:rPr>
          <w:rFonts w:ascii="Arial" w:cs="Arial" w:eastAsia="Arial" w:hAnsi="Arial"/>
          <w:sz w:val="20"/>
          <w:szCs w:val="20"/>
          <w:color w:val="auto"/>
        </w:rPr>
      </w:pPr>
    </w:p>
    <w:p>
      <w:pPr>
        <w:ind w:left="1340" w:right="100" w:hanging="361"/>
        <w:spacing w:after="0" w:line="247" w:lineRule="auto"/>
        <w:tabs>
          <w:tab w:leader="none" w:pos="13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207" w:lineRule="exact"/>
        <w:rPr>
          <w:rFonts w:ascii="Arial" w:cs="Arial" w:eastAsia="Arial" w:hAnsi="Arial"/>
          <w:sz w:val="20"/>
          <w:szCs w:val="20"/>
          <w:color w:val="auto"/>
        </w:rPr>
      </w:pPr>
    </w:p>
    <w:p>
      <w:pPr>
        <w:ind w:left="1340" w:hanging="361"/>
        <w:spacing w:after="0"/>
        <w:tabs>
          <w:tab w:leader="none" w:pos="13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any changes to our manufacturing process or product formulation that may be necessary or desired;</w:t>
      </w:r>
    </w:p>
    <w:p>
      <w:pPr>
        <w:spacing w:after="0" w:line="248" w:lineRule="exact"/>
        <w:rPr>
          <w:rFonts w:ascii="Arial" w:cs="Arial" w:eastAsia="Arial" w:hAnsi="Arial"/>
          <w:sz w:val="20"/>
          <w:szCs w:val="20"/>
          <w:color w:val="auto"/>
        </w:rPr>
      </w:pPr>
    </w:p>
    <w:p>
      <w:pPr>
        <w:ind w:left="1340" w:right="20" w:hanging="361"/>
        <w:spacing w:after="0" w:line="271" w:lineRule="auto"/>
        <w:tabs>
          <w:tab w:leader="none" w:pos="13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84" w:lineRule="exact"/>
        <w:rPr>
          <w:rFonts w:ascii="Arial" w:cs="Arial" w:eastAsia="Arial" w:hAnsi="Arial"/>
          <w:sz w:val="20"/>
          <w:szCs w:val="20"/>
          <w:color w:val="auto"/>
        </w:rPr>
      </w:pPr>
    </w:p>
    <w:p>
      <w:pPr>
        <w:ind w:left="1340" w:right="60" w:hanging="361"/>
        <w:spacing w:after="0" w:line="253" w:lineRule="auto"/>
        <w:tabs>
          <w:tab w:leader="none" w:pos="13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contractors not performing data collection or analysis in a timely or accurate manner; or</w:t>
      </w:r>
    </w:p>
    <w:p>
      <w:pPr>
        <w:spacing w:after="0" w:line="248" w:lineRule="exact"/>
        <w:rPr>
          <w:rFonts w:ascii="Arial" w:cs="Arial" w:eastAsia="Arial" w:hAnsi="Arial"/>
          <w:sz w:val="20"/>
          <w:szCs w:val="20"/>
          <w:color w:val="auto"/>
        </w:rPr>
      </w:pPr>
    </w:p>
    <w:p>
      <w:pPr>
        <w:ind w:left="1340" w:right="200" w:hanging="361"/>
        <w:spacing w:after="0" w:line="247" w:lineRule="auto"/>
        <w:tabs>
          <w:tab w:leader="none" w:pos="13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93" w:lineRule="exact"/>
        <w:rPr>
          <w:sz w:val="20"/>
          <w:szCs w:val="20"/>
          <w:color w:val="auto"/>
        </w:rPr>
      </w:pPr>
    </w:p>
    <w:p>
      <w:pPr>
        <w:ind w:right="20" w:firstLine="979"/>
        <w:spacing w:after="0"/>
        <w:rPr>
          <w:sz w:val="20"/>
          <w:szCs w:val="20"/>
          <w:color w:val="auto"/>
        </w:rPr>
      </w:pPr>
      <w:r>
        <w:rPr>
          <w:rFonts w:ascii="Times New Roman" w:cs="Times New Roman" w:eastAsia="Times New Roman" w:hAnsi="Times New Roman"/>
          <w:sz w:val="20"/>
          <w:szCs w:val="20"/>
          <w:color w:val="auto"/>
        </w:rPr>
        <w:t>Regulatory authorities may require that filings related to the commencement, continuation or termination of a clinical trial be submitted through specific electronic systems or in a specific manner (e.g. format), which may differ from one jurisdiction to another. We may seek to conduct a clinical trial in multiple jurisdictions in an effort to enroll sufficient numbers of patients or to do so in a timely manner or for other reasons. Meeting the requirements of various regulatory agencies could be costly and any delay in meeting, or inability to meet, the regulatory requirements of different jurisdictions regarding submissions could delay or negatively impact our ability to initiate or complete our clinical trials as planned. Any failure or inability by us to submit required regulatory documents for our planned or future clinical trials or any failure or inability to do so in the required manner could delay or prevent us from initiating or completing our planned or future clinical trials when we are otherwise ready or at all.</w:t>
      </w:r>
    </w:p>
    <w:p>
      <w:pPr>
        <w:spacing w:after="0" w:line="202" w:lineRule="exact"/>
        <w:rPr>
          <w:sz w:val="20"/>
          <w:szCs w:val="20"/>
          <w:color w:val="auto"/>
        </w:rPr>
      </w:pPr>
    </w:p>
    <w:p>
      <w:pPr>
        <w:ind w:right="20" w:firstLine="979"/>
        <w:spacing w:after="0" w:line="253" w:lineRule="auto"/>
        <w:rPr>
          <w:sz w:val="20"/>
          <w:szCs w:val="20"/>
          <w:color w:val="auto"/>
        </w:rPr>
      </w:pPr>
      <w:r>
        <w:rPr>
          <w:rFonts w:ascii="Times New Roman" w:cs="Times New Roman" w:eastAsia="Times New Roman" w:hAnsi="Times New Roman"/>
          <w:sz w:val="19"/>
          <w:szCs w:val="19"/>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94"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and data protection regulations, as well as political and economic risks relevant to such foreign countries.</w:t>
      </w:r>
    </w:p>
    <w:p>
      <w:pPr>
        <w:spacing w:after="0" w:line="197" w:lineRule="exact"/>
        <w:rPr>
          <w:sz w:val="20"/>
          <w:szCs w:val="20"/>
          <w:color w:val="auto"/>
        </w:rPr>
      </w:pPr>
    </w:p>
    <w:p>
      <w:pPr>
        <w:ind w:right="140" w:firstLine="979"/>
        <w:spacing w:after="0"/>
        <w:rPr>
          <w:sz w:val="20"/>
          <w:szCs w:val="20"/>
          <w:color w:val="auto"/>
        </w:rPr>
      </w:pPr>
      <w:r>
        <w:rPr>
          <w:rFonts w:ascii="Times New Roman" w:cs="Times New Roman" w:eastAsia="Times New Roman" w:hAnsi="Times New Roman"/>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ectPr>
          <w:pgSz w:w="12240" w:h="15840" w:orient="portrait"/>
          <w:cols w:equalWidth="0" w:num="1">
            <w:col w:w="10780"/>
          </w:cols>
          <w:pgMar w:left="720" w:top="94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780"/>
          </w:cols>
          <w:pgMar w:left="720" w:top="940" w:right="740" w:bottom="0" w:gutter="0" w:footer="0" w:header="0"/>
          <w:type w:val="continuous"/>
        </w:sectPr>
      </w:pPr>
    </w:p>
    <w:bookmarkStart w:id="46" w:name="page47"/>
    <w:bookmarkEnd w:id="46"/>
    <w:p>
      <w:pPr>
        <w:ind w:firstLine="979"/>
        <w:spacing w:after="0" w:line="246" w:lineRule="auto"/>
        <w:rPr>
          <w:sz w:val="20"/>
          <w:szCs w:val="20"/>
          <w:color w:val="auto"/>
        </w:rPr>
      </w:pPr>
      <w:r>
        <w:rPr>
          <w:rFonts w:ascii="Times New Roman" w:cs="Times New Roman" w:eastAsia="Times New Roman" w:hAnsi="Times New Roman"/>
          <w:sz w:val="20"/>
          <w:szCs w:val="20"/>
          <w:color w:val="auto"/>
        </w:rPr>
        <w:t>In addition, we work with third parties to manufacture, develop, and supply the drug payloads for inclusion in the RaniPill capsule, a development process that is lengthy and expensive. Some of the active ingredients we are utilizing in our development are used by other sponsors to make biosimilars in the United States, and others are not. We and our third-party manufacturers may discover, even late in the process, that a particular drug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200" w:lineRule="exact"/>
        <w:rPr>
          <w:sz w:val="20"/>
          <w:szCs w:val="20"/>
          <w:color w:val="auto"/>
        </w:rPr>
      </w:pPr>
    </w:p>
    <w:p>
      <w:pPr>
        <w:ind w:right="320" w:firstLine="979"/>
        <w:spacing w:after="0" w:line="270" w:lineRule="auto"/>
        <w:rPr>
          <w:sz w:val="20"/>
          <w:szCs w:val="20"/>
          <w:color w:val="auto"/>
        </w:rPr>
      </w:pPr>
      <w:r>
        <w:rPr>
          <w:rFonts w:ascii="Times New Roman" w:cs="Times New Roman" w:eastAsia="Times New Roman" w:hAnsi="Times New Roman"/>
          <w:sz w:val="19"/>
          <w:szCs w:val="19"/>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77" w:lineRule="exact"/>
        <w:rPr>
          <w:sz w:val="20"/>
          <w:szCs w:val="20"/>
          <w:color w:val="auto"/>
        </w:rPr>
      </w:pPr>
    </w:p>
    <w:p>
      <w:pPr>
        <w:ind w:right="80" w:firstLine="979"/>
        <w:spacing w:after="0" w:line="246" w:lineRule="auto"/>
        <w:rPr>
          <w:sz w:val="20"/>
          <w:szCs w:val="20"/>
          <w:color w:val="auto"/>
        </w:rPr>
      </w:pPr>
      <w:r>
        <w:rPr>
          <w:rFonts w:ascii="Times New Roman" w:cs="Times New Roman" w:eastAsia="Times New Roman" w:hAnsi="Times New Roman"/>
          <w:sz w:val="20"/>
          <w:szCs w:val="20"/>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00"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69"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97"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197" w:lineRule="exact"/>
        <w:rPr>
          <w:sz w:val="20"/>
          <w:szCs w:val="20"/>
          <w:color w:val="auto"/>
        </w:rPr>
      </w:pPr>
    </w:p>
    <w:p>
      <w:pPr>
        <w:ind w:right="160" w:firstLine="979"/>
        <w:spacing w:after="0" w:line="247" w:lineRule="auto"/>
        <w:rPr>
          <w:sz w:val="20"/>
          <w:szCs w:val="20"/>
          <w:color w:val="auto"/>
        </w:rPr>
      </w:pPr>
      <w:r>
        <w:rPr>
          <w:rFonts w:ascii="Times New Roman" w:cs="Times New Roman" w:eastAsia="Times New Roman" w:hAnsi="Times New Roman"/>
          <w:sz w:val="20"/>
          <w:szCs w:val="20"/>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200"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8"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200" w:lineRule="exact"/>
        <w:rPr>
          <w:sz w:val="20"/>
          <w:szCs w:val="20"/>
          <w:color w:val="auto"/>
        </w:rPr>
      </w:pPr>
    </w:p>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For example, in our Phase 1 clinical trial of RT-102,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ectPr>
          <w:pgSz w:w="12240" w:h="15840" w:orient="portrait"/>
          <w:cols w:equalWidth="0" w:num="1">
            <w:col w:w="10760"/>
          </w:cols>
          <w:pgMar w:left="720" w:top="930" w:right="76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760"/>
          </w:cols>
          <w:pgMar w:left="720" w:top="930" w:right="760" w:bottom="0" w:gutter="0" w:footer="0" w:header="0"/>
          <w:type w:val="continuous"/>
        </w:sectPr>
      </w:pPr>
    </w:p>
    <w:bookmarkStart w:id="47" w:name="page48"/>
    <w:bookmarkEnd w:id="47"/>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94" w:lineRule="exact"/>
        <w:rPr>
          <w:sz w:val="20"/>
          <w:szCs w:val="20"/>
          <w:color w:val="auto"/>
        </w:rPr>
      </w:pPr>
    </w:p>
    <w:p>
      <w:pPr>
        <w:ind w:right="320" w:firstLine="979"/>
        <w:spacing w:after="0" w:line="252" w:lineRule="auto"/>
        <w:rPr>
          <w:sz w:val="20"/>
          <w:szCs w:val="20"/>
          <w:color w:val="auto"/>
        </w:rPr>
      </w:pPr>
      <w:r>
        <w:rPr>
          <w:rFonts w:ascii="Times New Roman" w:cs="Times New Roman" w:eastAsia="Times New Roman" w:hAnsi="Times New Roman"/>
          <w:sz w:val="20"/>
          <w:szCs w:val="20"/>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94" w:lineRule="exact"/>
        <w:rPr>
          <w:sz w:val="20"/>
          <w:szCs w:val="20"/>
          <w:color w:val="auto"/>
        </w:rPr>
      </w:pPr>
    </w:p>
    <w:p>
      <w:pPr>
        <w:ind w:right="80" w:firstLine="979"/>
        <w:spacing w:after="0" w:line="249" w:lineRule="auto"/>
        <w:rPr>
          <w:sz w:val="20"/>
          <w:szCs w:val="20"/>
          <w:color w:val="auto"/>
        </w:rPr>
      </w:pPr>
      <w:r>
        <w:rPr>
          <w:rFonts w:ascii="Times New Roman" w:cs="Times New Roman" w:eastAsia="Times New Roman" w:hAnsi="Times New Roman"/>
          <w:sz w:val="20"/>
          <w:szCs w:val="20"/>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w:t>
      </w:r>
    </w:p>
    <w:p>
      <w:pPr>
        <w:spacing w:after="0" w:line="197" w:lineRule="exact"/>
        <w:rPr>
          <w:sz w:val="20"/>
          <w:szCs w:val="20"/>
          <w:color w:val="auto"/>
        </w:rPr>
      </w:pPr>
    </w:p>
    <w:p>
      <w:pPr>
        <w:ind w:right="280" w:firstLine="979"/>
        <w:spacing w:after="0" w:line="305" w:lineRule="auto"/>
        <w:rPr>
          <w:sz w:val="20"/>
          <w:szCs w:val="20"/>
          <w:color w:val="auto"/>
        </w:rPr>
      </w:pPr>
      <w:r>
        <w:rPr>
          <w:rFonts w:ascii="Times New Roman" w:cs="Times New Roman" w:eastAsia="Times New Roman" w:hAnsi="Times New Roman"/>
          <w:sz w:val="19"/>
          <w:szCs w:val="19"/>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59" w:lineRule="exact"/>
        <w:rPr>
          <w:sz w:val="20"/>
          <w:szCs w:val="20"/>
          <w:color w:val="auto"/>
        </w:rPr>
      </w:pPr>
    </w:p>
    <w:p>
      <w:pPr>
        <w:ind w:left="1340" w:hanging="361"/>
        <w:spacing w:after="0"/>
        <w:tabs>
          <w:tab w:leader="none" w:pos="13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withdraw approvals of such product;</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additional warnings on the label;</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create a medication guide outlining the risks of such side effects for distribution to patients;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and held liable for harm caused to patients; and</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w:t>
      </w:r>
    </w:p>
    <w:p>
      <w:pPr>
        <w:spacing w:after="0" w:line="239" w:lineRule="exact"/>
        <w:rPr>
          <w:sz w:val="20"/>
          <w:szCs w:val="20"/>
          <w:color w:val="auto"/>
        </w:rPr>
      </w:pPr>
    </w:p>
    <w:p>
      <w:pPr>
        <w:ind w:right="40" w:firstLine="979"/>
        <w:spacing w:after="0" w:line="252"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particular product candidate which could significantly harm our business and prospects. Also, any undesirable side effects caused by or safety concerns related to our delivery device apart from a drug or biologic could delay, limit or prevent us from developing and commercializing any product candidates.</w:t>
      </w:r>
    </w:p>
    <w:p>
      <w:pPr>
        <w:spacing w:after="0" w:line="19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As an organization, we have conducted limited early clinical development, have not submitted an IND to the FDA and we have never conducted later-stage clinical trials or submitted a BLA or NDA, and may be unable to do so for any of our product candidates.</w:t>
      </w:r>
    </w:p>
    <w:p>
      <w:pPr>
        <w:spacing w:after="0" w:line="188"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or NDA is a complicated process. As an organization, we have conducted Phase 1 clinical trials in Australia. We have not previously conducted any later stage or pivotal clinical trials, have limited experience as a company in preparing, submitting and prosecuting regulatory filings and have not previously submitted a BLA, NDA or other comparable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limited interactions with the FDA, and we have never filed an IND.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or NDAs for and commercializing our product candidates.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930" w:right="720" w:bottom="0" w:gutter="0" w:footer="0" w:header="0"/>
          <w:type w:val="continuous"/>
        </w:sectPr>
      </w:pPr>
    </w:p>
    <w:bookmarkStart w:id="48" w:name="page49"/>
    <w:bookmarkEnd w:id="48"/>
    <w:p>
      <w:pPr>
        <w:ind w:right="7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88" w:lineRule="exact"/>
        <w:rPr>
          <w:sz w:val="20"/>
          <w:szCs w:val="20"/>
          <w:color w:val="auto"/>
        </w:rPr>
      </w:pPr>
    </w:p>
    <w:p>
      <w:pPr>
        <w:ind w:right="20" w:firstLine="979"/>
        <w:spacing w:after="0" w:line="258" w:lineRule="auto"/>
        <w:rPr>
          <w:sz w:val="20"/>
          <w:szCs w:val="20"/>
          <w:color w:val="auto"/>
        </w:rPr>
      </w:pPr>
      <w:r>
        <w:rPr>
          <w:rFonts w:ascii="Times New Roman" w:cs="Times New Roman" w:eastAsia="Times New Roman" w:hAnsi="Times New Roman"/>
          <w:sz w:val="19"/>
          <w:szCs w:val="19"/>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91"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200" w:lineRule="exact"/>
        <w:rPr>
          <w:sz w:val="20"/>
          <w:szCs w:val="20"/>
          <w:color w:val="auto"/>
        </w:rPr>
      </w:pPr>
    </w:p>
    <w:p>
      <w:pPr>
        <w:ind w:right="160" w:firstLine="979"/>
        <w:spacing w:after="0" w:line="277" w:lineRule="auto"/>
        <w:rPr>
          <w:sz w:val="20"/>
          <w:szCs w:val="20"/>
          <w:color w:val="auto"/>
        </w:rPr>
      </w:pPr>
      <w:r>
        <w:rPr>
          <w:rFonts w:ascii="Times New Roman" w:cs="Times New Roman" w:eastAsia="Times New Roman" w:hAnsi="Times New Roman"/>
          <w:sz w:val="20"/>
          <w:szCs w:val="20"/>
          <w:color w:val="auto"/>
        </w:rPr>
        <w:t>The FDA or comparable foreign regulatory authorities can delay, limit or deny approval of a product candidate for many reasons, including:</w:t>
      </w:r>
    </w:p>
    <w:p>
      <w:pPr>
        <w:spacing w:after="0" w:line="183" w:lineRule="exact"/>
        <w:rPr>
          <w:sz w:val="20"/>
          <w:szCs w:val="20"/>
          <w:color w:val="auto"/>
        </w:rPr>
      </w:pPr>
    </w:p>
    <w:p>
      <w:pPr>
        <w:ind w:left="1340" w:hanging="361"/>
        <w:spacing w:after="0"/>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disagree with the design or implementation of our clinical trials;</w:t>
      </w:r>
    </w:p>
    <w:p>
      <w:pPr>
        <w:spacing w:after="0" w:line="253" w:lineRule="exact"/>
        <w:rPr>
          <w:rFonts w:ascii="Arial" w:cs="Arial" w:eastAsia="Arial" w:hAnsi="Arial"/>
          <w:sz w:val="20"/>
          <w:szCs w:val="20"/>
          <w:color w:val="auto"/>
        </w:rPr>
      </w:pPr>
    </w:p>
    <w:p>
      <w:pPr>
        <w:ind w:left="1340" w:right="520" w:hanging="361"/>
        <w:spacing w:after="0" w:line="276" w:lineRule="auto"/>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negative or ambiguous results from our clinical trials or results may not meet the level of statistical significance required by the FDA or comparable foreign regulatory authorities for approval;</w:t>
      </w:r>
    </w:p>
    <w:p>
      <w:pPr>
        <w:spacing w:after="0" w:line="184" w:lineRule="exact"/>
        <w:rPr>
          <w:rFonts w:ascii="Arial" w:cs="Arial" w:eastAsia="Arial" w:hAnsi="Arial"/>
          <w:sz w:val="20"/>
          <w:szCs w:val="20"/>
          <w:color w:val="auto"/>
        </w:rPr>
      </w:pPr>
    </w:p>
    <w:p>
      <w:pPr>
        <w:ind w:left="1340" w:right="660" w:hanging="361"/>
        <w:spacing w:after="0" w:line="276" w:lineRule="auto"/>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serious and unexpected drug-related side effects may be experienced by participants in our clinical trials or by individuals using drugs similar to our product candidates;</w:t>
      </w:r>
    </w:p>
    <w:p>
      <w:pPr>
        <w:spacing w:after="0" w:line="184" w:lineRule="exact"/>
        <w:rPr>
          <w:rFonts w:ascii="Arial" w:cs="Arial" w:eastAsia="Arial" w:hAnsi="Arial"/>
          <w:sz w:val="20"/>
          <w:szCs w:val="20"/>
          <w:color w:val="auto"/>
        </w:rPr>
      </w:pPr>
    </w:p>
    <w:p>
      <w:pPr>
        <w:ind w:left="1340" w:right="260" w:hanging="361"/>
        <w:spacing w:after="0" w:line="276" w:lineRule="auto"/>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trial may not be sufficiently broad or representative to assure safety in the full population for which we seek approval;</w:t>
      </w:r>
    </w:p>
    <w:p>
      <w:pPr>
        <w:spacing w:after="0" w:line="184" w:lineRule="exact"/>
        <w:rPr>
          <w:rFonts w:ascii="Arial" w:cs="Arial" w:eastAsia="Arial" w:hAnsi="Arial"/>
          <w:sz w:val="20"/>
          <w:szCs w:val="20"/>
          <w:color w:val="auto"/>
        </w:rPr>
      </w:pPr>
    </w:p>
    <w:p>
      <w:pPr>
        <w:ind w:left="1340" w:hanging="361"/>
        <w:spacing w:after="0" w:line="276" w:lineRule="auto"/>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not accept clinical data from trials which are conducted at clinical facilities or in countries where the standard of care is potentially different from that of the United States;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disagree with our interpretation of data from preclinical studies or clinical trials;</w:t>
      </w:r>
    </w:p>
    <w:p>
      <w:pPr>
        <w:spacing w:after="0" w:line="253" w:lineRule="exact"/>
        <w:rPr>
          <w:rFonts w:ascii="Arial" w:cs="Arial" w:eastAsia="Arial" w:hAnsi="Arial"/>
          <w:sz w:val="20"/>
          <w:szCs w:val="20"/>
          <w:color w:val="auto"/>
        </w:rPr>
      </w:pPr>
    </w:p>
    <w:p>
      <w:pPr>
        <w:ind w:left="1340" w:right="100" w:hanging="361"/>
        <w:spacing w:after="0" w:line="258" w:lineRule="auto"/>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disagree regarding the formulation, labeling and/or the specifications of our product candidates;</w:t>
      </w:r>
    </w:p>
    <w:p>
      <w:pPr>
        <w:spacing w:after="0" w:line="253" w:lineRule="exact"/>
        <w:rPr>
          <w:rFonts w:ascii="Arial" w:cs="Arial" w:eastAsia="Arial" w:hAnsi="Arial"/>
          <w:sz w:val="20"/>
          <w:szCs w:val="20"/>
          <w:color w:val="auto"/>
        </w:rPr>
      </w:pPr>
    </w:p>
    <w:p>
      <w:pPr>
        <w:ind w:left="1340" w:right="220" w:hanging="361"/>
        <w:spacing w:after="0" w:line="276" w:lineRule="auto"/>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approval may be granted only for indications that are significantly more limited than what we apply for and/or with other significant restrictions on distribution and use;</w:t>
      </w:r>
    </w:p>
    <w:p>
      <w:pPr>
        <w:spacing w:after="0" w:line="184" w:lineRule="exact"/>
        <w:rPr>
          <w:rFonts w:ascii="Arial" w:cs="Arial" w:eastAsia="Arial" w:hAnsi="Arial"/>
          <w:sz w:val="20"/>
          <w:szCs w:val="20"/>
          <w:color w:val="auto"/>
        </w:rPr>
      </w:pPr>
    </w:p>
    <w:p>
      <w:pPr>
        <w:ind w:left="1340" w:right="300" w:hanging="361"/>
        <w:spacing w:after="0" w:line="276" w:lineRule="auto"/>
        <w:tabs>
          <w:tab w:leader="none" w:pos="134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find deficiencies in the manufacturing processes or facilities of our third-party manufacturers with which we contract for clinical and commercial supplies;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930" w:right="720" w:bottom="0" w:gutter="0" w:footer="0" w:header="0"/>
          <w:type w:val="continuous"/>
        </w:sectPr>
      </w:pPr>
    </w:p>
    <w:bookmarkStart w:id="49" w:name="page50"/>
    <w:bookmarkEnd w:id="49"/>
    <w:p>
      <w:pPr>
        <w:ind w:left="1340" w:right="480" w:hanging="361"/>
        <w:spacing w:after="0" w:line="276" w:lineRule="auto"/>
        <w:tabs>
          <w:tab w:leader="none" w:pos="13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regulations of such authorities may significantly change in a manner rendering our or any of our potential future collaborators’ clinical data insufficient for approval; or</w:t>
      </w:r>
    </w:p>
    <w:p>
      <w:pPr>
        <w:spacing w:after="0" w:line="184" w:lineRule="exact"/>
        <w:rPr>
          <w:rFonts w:ascii="Arial" w:cs="Arial" w:eastAsia="Arial" w:hAnsi="Arial"/>
          <w:sz w:val="20"/>
          <w:szCs w:val="20"/>
          <w:color w:val="auto"/>
        </w:rPr>
      </w:pPr>
    </w:p>
    <w:p>
      <w:pPr>
        <w:ind w:left="1340" w:right="920" w:hanging="361"/>
        <w:spacing w:after="0" w:line="276" w:lineRule="auto"/>
        <w:tabs>
          <w:tab w:leader="none" w:pos="134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such authorities may not accept a submission due to, among other reasons, the content or formatting of the submission.</w:t>
      </w:r>
    </w:p>
    <w:p>
      <w:pPr>
        <w:spacing w:after="0" w:line="170" w:lineRule="exact"/>
        <w:rPr>
          <w:sz w:val="20"/>
          <w:szCs w:val="20"/>
          <w:color w:val="auto"/>
        </w:rPr>
      </w:pPr>
    </w:p>
    <w:p>
      <w:pPr>
        <w:ind w:right="220" w:firstLine="979"/>
        <w:spacing w:after="0" w:line="247" w:lineRule="auto"/>
        <w:rPr>
          <w:sz w:val="20"/>
          <w:szCs w:val="20"/>
          <w:color w:val="auto"/>
        </w:rPr>
      </w:pPr>
      <w:r>
        <w:rPr>
          <w:rFonts w:ascii="Times New Roman" w:cs="Times New Roman" w:eastAsia="Times New Roman" w:hAnsi="Times New Roman"/>
          <w:sz w:val="20"/>
          <w:szCs w:val="20"/>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200"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8"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specific product candidates, indications and development programs. We also plan to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drug formulations for use in the RaniPill capsule. While we intend to focus on well-characterized molecules with attractive commercial characteristics, focusing both on drug delivery and formulation will require substantial resource and attention. In addition, we are developing a new device with a payload capacity up to 20 mg, RaniPill HC, and in the future we may seek to develop other variations of the RaniPill capsule. In such cases, we need to redesign and conduct additional preclinical and clinical studies of any new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211" w:lineRule="exact"/>
        <w:rPr>
          <w:sz w:val="20"/>
          <w:szCs w:val="20"/>
          <w:color w:val="auto"/>
        </w:rPr>
      </w:pPr>
    </w:p>
    <w:p>
      <w:pPr>
        <w:ind w:right="20" w:firstLine="979"/>
        <w:spacing w:after="0" w:line="247" w:lineRule="auto"/>
        <w:rPr>
          <w:sz w:val="20"/>
          <w:szCs w:val="20"/>
          <w:color w:val="auto"/>
        </w:rPr>
      </w:pPr>
      <w:r>
        <w:rPr>
          <w:rFonts w:ascii="Times New Roman" w:cs="Times New Roman" w:eastAsia="Times New Roman" w:hAnsi="Times New Roman"/>
          <w:sz w:val="20"/>
          <w:szCs w:val="20"/>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00" w:lineRule="exact"/>
        <w:rPr>
          <w:sz w:val="20"/>
          <w:szCs w:val="20"/>
          <w:color w:val="auto"/>
        </w:rPr>
      </w:pPr>
    </w:p>
    <w:p>
      <w:pPr>
        <w:ind w:right="4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45"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202" w:lineRule="exact"/>
        <w:rPr>
          <w:sz w:val="20"/>
          <w:szCs w:val="20"/>
          <w:color w:val="auto"/>
        </w:rPr>
      </w:pPr>
    </w:p>
    <w:p>
      <w:pPr>
        <w:ind w:right="100" w:firstLine="979"/>
        <w:spacing w:after="0" w:line="246" w:lineRule="auto"/>
        <w:rPr>
          <w:sz w:val="20"/>
          <w:szCs w:val="20"/>
          <w:color w:val="auto"/>
        </w:rPr>
      </w:pPr>
      <w:r>
        <w:rPr>
          <w:rFonts w:ascii="Times New Roman" w:cs="Times New Roman" w:eastAsia="Times New Roman" w:hAnsi="Times New Roman"/>
          <w:sz w:val="20"/>
          <w:szCs w:val="20"/>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ectPr>
          <w:pgSz w:w="12240" w:h="15840" w:orient="portrait"/>
          <w:cols w:equalWidth="0" w:num="1">
            <w:col w:w="10780"/>
          </w:cols>
          <w:pgMar w:left="720" w:top="944" w:right="74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780"/>
          </w:cols>
          <w:pgMar w:left="720" w:top="944" w:right="740" w:bottom="0" w:gutter="0" w:footer="0" w:header="0"/>
          <w:type w:val="continuous"/>
        </w:sectPr>
      </w:pPr>
    </w:p>
    <w:bookmarkStart w:id="50" w:name="page51"/>
    <w:bookmarkEnd w:id="50"/>
    <w:p>
      <w:pPr>
        <w:ind w:right="160" w:firstLine="979"/>
        <w:spacing w:after="0" w:line="243" w:lineRule="auto"/>
        <w:rPr>
          <w:sz w:val="20"/>
          <w:szCs w:val="20"/>
          <w:color w:val="auto"/>
        </w:rPr>
      </w:pPr>
      <w:r>
        <w:rPr>
          <w:rFonts w:ascii="Times New Roman" w:cs="Times New Roman" w:eastAsia="Times New Roman" w:hAnsi="Times New Roman"/>
          <w:sz w:val="20"/>
          <w:szCs w:val="20"/>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8" w:lineRule="exact"/>
        <w:rPr>
          <w:sz w:val="20"/>
          <w:szCs w:val="20"/>
          <w:color w:val="auto"/>
        </w:rPr>
      </w:pPr>
    </w:p>
    <w:p>
      <w:pPr>
        <w:ind w:firstLine="979"/>
        <w:spacing w:after="0" w:line="241" w:lineRule="auto"/>
        <w:rPr>
          <w:sz w:val="20"/>
          <w:szCs w:val="20"/>
          <w:color w:val="auto"/>
        </w:rPr>
      </w:pPr>
      <w:r>
        <w:rPr>
          <w:rFonts w:ascii="Times New Roman" w:cs="Times New Roman" w:eastAsia="Times New Roman" w:hAnsi="Times New Roman"/>
          <w:sz w:val="20"/>
          <w:szCs w:val="20"/>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2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Product candidates comprising a biologic or drug within the RaniPill capsule employ novel technologies that have not yet been approved by the FDA or comparable foreign regulatory authorities, and we anticipate that our applications will have to be submitted as original, standalone BLAs or NDAs. These regulatory authorities have limited experience in evaluating our technologies and product candidates. Our novel technologies also make it difficult to predict the time and cost of product candidate development.</w:t>
      </w:r>
    </w:p>
    <w:p>
      <w:pPr>
        <w:spacing w:after="0" w:line="197" w:lineRule="exact"/>
        <w:rPr>
          <w:sz w:val="20"/>
          <w:szCs w:val="20"/>
          <w:color w:val="auto"/>
        </w:rPr>
      </w:pPr>
    </w:p>
    <w:p>
      <w:pPr>
        <w:ind w:right="100" w:firstLine="979"/>
        <w:spacing w:after="0" w:line="243" w:lineRule="auto"/>
        <w:rPr>
          <w:sz w:val="20"/>
          <w:szCs w:val="20"/>
          <w:color w:val="auto"/>
        </w:rPr>
      </w:pPr>
      <w:r>
        <w:rPr>
          <w:rFonts w:ascii="Times New Roman" w:cs="Times New Roman" w:eastAsia="Times New Roman" w:hAnsi="Times New Roman"/>
          <w:sz w:val="20"/>
          <w:szCs w:val="20"/>
          <w:color w:val="auto"/>
        </w:rPr>
        <w:t>We are developing product candidates based on novel technologies, and we, directly or with potential collaboration partners, intend to understand and deliver the requisite demonstration of safety and efficacy that the FDA and comparable foreign regulatory authorities may seek for the approval of our product candidates, which comprise a biologic or drug within the RaniPill capsule. It is possible that the regulatory approval process may take significant time and resources and require deliverables from independent third parties not under our control. For some of our product candidates, the regulatory approval path and requirements may not be clear or may change, which could add significant delay and expense. For example, although we have engaged in pre-submission meetings with the FDA, we have limited feedback from the FDA on the clinical trials that will be necessary to support BLA or NDA submissions for any of our product candidates. The FDA or regulatory authorities outside the U.S. may require more or different data or documentation regarding the RaniPill technology or our product candidates than we generate or anticipate, which could cause delays to planned clinical activities. Delays or failure to obtain regulatory approval of any of the products that we or potential collaboration partners develop using our novel technologies would adversely affect our business.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930" w:right="720" w:bottom="0" w:gutter="0" w:footer="0" w:header="0"/>
          <w:type w:val="continuous"/>
        </w:sectPr>
      </w:pPr>
    </w:p>
    <w:bookmarkStart w:id="51" w:name="page52"/>
    <w:bookmarkEnd w:id="51"/>
    <w:p>
      <w:pPr>
        <w:ind w:right="80" w:firstLine="979"/>
        <w:spacing w:after="0" w:line="242" w:lineRule="auto"/>
        <w:rPr>
          <w:sz w:val="20"/>
          <w:szCs w:val="20"/>
          <w:color w:val="auto"/>
        </w:rPr>
      </w:pPr>
      <w:r>
        <w:rPr>
          <w:rFonts w:ascii="Times New Roman" w:cs="Times New Roman" w:eastAsia="Times New Roman" w:hAnsi="Times New Roman"/>
          <w:sz w:val="20"/>
          <w:szCs w:val="20"/>
          <w:color w:val="auto"/>
        </w:rPr>
        <w:t>In addition, we are still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limited clinical data on our product candidates to indicate whether they are safe or effective for long-term use in humans.</w:t>
      </w:r>
    </w:p>
    <w:p>
      <w:pPr>
        <w:spacing w:after="0" w:line="235"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trials, we tested the RaniPill capsule in a limited number of healthy volunteers. While we have not observed any serious adverse events as a result of these preclinical studies or our clinical trials, we have not widely tested the RaniPill capsule in humans and cannot be certain how the RaniPill capsule will perform when more widely tested in humans in any later clinical trials.</w:t>
      </w:r>
    </w:p>
    <w:p>
      <w:pPr>
        <w:spacing w:after="0" w:line="200" w:lineRule="exact"/>
        <w:rPr>
          <w:sz w:val="20"/>
          <w:szCs w:val="20"/>
          <w:color w:val="auto"/>
        </w:rPr>
      </w:pPr>
    </w:p>
    <w:p>
      <w:pPr>
        <w:ind w:right="20" w:firstLine="979"/>
        <w:spacing w:after="0" w:line="253" w:lineRule="auto"/>
        <w:rPr>
          <w:sz w:val="20"/>
          <w:szCs w:val="20"/>
          <w:color w:val="auto"/>
        </w:rPr>
      </w:pPr>
      <w:r>
        <w:rPr>
          <w:rFonts w:ascii="Times New Roman" w:cs="Times New Roman" w:eastAsia="Times New Roman" w:hAnsi="Times New Roman"/>
          <w:sz w:val="20"/>
          <w:szCs w:val="20"/>
          <w:color w:val="auto"/>
        </w:rPr>
        <w:t>If treatment with any of our product candidates in our ongoing or future clinical trials results in concerns about their safety or efficacy, we and/or any collaboration partners may be unable to successfully develop or commercialize any or all of our product candidates or enter into collaborations with respect to our product candidates.</w:t>
      </w:r>
    </w:p>
    <w:p>
      <w:pPr>
        <w:spacing w:after="0" w:line="18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69" w:lineRule="exact"/>
        <w:rPr>
          <w:sz w:val="20"/>
          <w:szCs w:val="20"/>
          <w:color w:val="auto"/>
        </w:rPr>
      </w:pPr>
    </w:p>
    <w:p>
      <w:pPr>
        <w:ind w:right="180" w:firstLine="979"/>
        <w:spacing w:after="0" w:line="253" w:lineRule="auto"/>
        <w:rPr>
          <w:sz w:val="20"/>
          <w:szCs w:val="20"/>
          <w:color w:val="auto"/>
        </w:rPr>
      </w:pPr>
      <w:r>
        <w:rPr>
          <w:rFonts w:ascii="Times New Roman" w:cs="Times New Roman" w:eastAsia="Times New Roman" w:hAnsi="Times New Roman"/>
          <w:sz w:val="19"/>
          <w:szCs w:val="19"/>
          <w:color w:val="auto"/>
        </w:rPr>
        <w:t>We have conducted and may in the future choose to conduct one or more clinical trials outside the United States. For example, we have conducted our Phase 1 clinical trials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w:t>
      </w:r>
    </w:p>
    <w:p>
      <w:pPr>
        <w:ind w:left="240" w:hanging="240"/>
        <w:spacing w:after="0" w:line="237" w:lineRule="auto"/>
        <w:tabs>
          <w:tab w:leader="none" w:pos="2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are applicable to the U.S. population and U.S. medical practice; (ii) the trials were performed by clinical investigators of</w:t>
      </w:r>
    </w:p>
    <w:p>
      <w:pPr>
        <w:ind w:right="20"/>
        <w:spacing w:after="0" w:line="23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recognized competence and pursuant to Good Clinical Practice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 of Our Product Candidates</w:t>
      </w:r>
    </w:p>
    <w:p>
      <w:pPr>
        <w:spacing w:after="0" w:line="23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97" w:lineRule="exact"/>
        <w:rPr>
          <w:sz w:val="20"/>
          <w:szCs w:val="20"/>
          <w:color w:val="auto"/>
        </w:rPr>
      </w:pPr>
    </w:p>
    <w:p>
      <w:pPr>
        <w:ind w:right="80" w:firstLine="979"/>
        <w:spacing w:after="0" w:line="247" w:lineRule="auto"/>
        <w:rPr>
          <w:sz w:val="20"/>
          <w:szCs w:val="20"/>
          <w:color w:val="auto"/>
        </w:rPr>
      </w:pPr>
      <w:r>
        <w:rPr>
          <w:rFonts w:ascii="Times New Roman" w:cs="Times New Roman" w:eastAsia="Times New Roman" w:hAnsi="Times New Roman"/>
          <w:sz w:val="20"/>
          <w:szCs w:val="20"/>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94" w:lineRule="exact"/>
        <w:rPr>
          <w:sz w:val="20"/>
          <w:szCs w:val="20"/>
          <w:color w:val="auto"/>
        </w:rPr>
      </w:pPr>
    </w:p>
    <w:p>
      <w:pPr>
        <w:ind w:right="80" w:firstLine="979"/>
        <w:spacing w:after="0" w:line="242" w:lineRule="auto"/>
        <w:rPr>
          <w:sz w:val="20"/>
          <w:szCs w:val="20"/>
          <w:color w:val="auto"/>
        </w:rPr>
      </w:pPr>
      <w:r>
        <w:rPr>
          <w:rFonts w:ascii="Times New Roman" w:cs="Times New Roman" w:eastAsia="Times New Roman" w:hAnsi="Times New Roman"/>
          <w:sz w:val="20"/>
          <w:szCs w:val="20"/>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926" w:right="720" w:bottom="0" w:gutter="0" w:footer="0" w:header="0"/>
          <w:type w:val="continuous"/>
        </w:sectPr>
      </w:pPr>
    </w:p>
    <w:bookmarkStart w:id="52" w:name="page53"/>
    <w:bookmarkEnd w:id="52"/>
    <w:p>
      <w:pPr>
        <w:ind w:firstLine="979"/>
        <w:spacing w:after="0" w:line="243" w:lineRule="auto"/>
        <w:rPr>
          <w:sz w:val="20"/>
          <w:szCs w:val="20"/>
          <w:color w:val="auto"/>
        </w:rPr>
      </w:pPr>
      <w:r>
        <w:rPr>
          <w:rFonts w:ascii="Times New Roman" w:cs="Times New Roman" w:eastAsia="Times New Roman" w:hAnsi="Times New Roman"/>
          <w:sz w:val="20"/>
          <w:szCs w:val="20"/>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203" w:lineRule="exact"/>
        <w:rPr>
          <w:sz w:val="20"/>
          <w:szCs w:val="20"/>
          <w:color w:val="auto"/>
        </w:rPr>
      </w:pPr>
    </w:p>
    <w:p>
      <w:pPr>
        <w:jc w:val="both"/>
        <w:ind w:right="40" w:firstLine="979"/>
        <w:spacing w:after="0" w:line="249" w:lineRule="auto"/>
        <w:rPr>
          <w:sz w:val="20"/>
          <w:szCs w:val="20"/>
          <w:color w:val="auto"/>
        </w:rPr>
      </w:pPr>
      <w:r>
        <w:rPr>
          <w:rFonts w:ascii="Times New Roman" w:cs="Times New Roman" w:eastAsia="Times New Roman" w:hAnsi="Times New Roman"/>
          <w:sz w:val="20"/>
          <w:szCs w:val="20"/>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211" w:lineRule="exact"/>
        <w:rPr>
          <w:sz w:val="20"/>
          <w:szCs w:val="20"/>
          <w:color w:val="auto"/>
        </w:rPr>
      </w:pPr>
    </w:p>
    <w:p>
      <w:pPr>
        <w:ind w:left="1340" w:hanging="361"/>
        <w:spacing w:after="0"/>
        <w:tabs>
          <w:tab w:leader="none" w:pos="134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issue warning letters that would result in adverse publicity;</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impose civil or criminal penalties;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suspend or withdraw regulatory approvals;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suspend any of our ongoing clinical trials;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approve pending applications or supplements to approved applications submitted by us;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impose restrictions on our operations, including closing our contract manufacturers’ facilities;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seize or detain products; or</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require a product recall.</w:t>
      </w:r>
    </w:p>
    <w:p>
      <w:pPr>
        <w:spacing w:after="0" w:line="239" w:lineRule="exact"/>
        <w:rPr>
          <w:sz w:val="20"/>
          <w:szCs w:val="20"/>
          <w:color w:val="auto"/>
        </w:rPr>
      </w:pPr>
    </w:p>
    <w:p>
      <w:pPr>
        <w:ind w:right="260" w:firstLine="979"/>
        <w:spacing w:after="0" w:line="252"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8" w:lineRule="exact"/>
        <w:rPr>
          <w:sz w:val="20"/>
          <w:szCs w:val="20"/>
          <w:color w:val="auto"/>
        </w:rPr>
      </w:pPr>
    </w:p>
    <w:p>
      <w:pPr>
        <w:ind w:right="40" w:firstLine="979"/>
        <w:spacing w:after="0" w:line="252" w:lineRule="auto"/>
        <w:rPr>
          <w:sz w:val="20"/>
          <w:szCs w:val="20"/>
          <w:color w:val="auto"/>
        </w:rPr>
      </w:pPr>
      <w:r>
        <w:rPr>
          <w:rFonts w:ascii="Times New Roman" w:cs="Times New Roman" w:eastAsia="Times New Roman" w:hAnsi="Times New Roman"/>
          <w:sz w:val="20"/>
          <w:szCs w:val="20"/>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208" w:lineRule="exact"/>
        <w:rPr>
          <w:sz w:val="20"/>
          <w:szCs w:val="20"/>
          <w:color w:val="auto"/>
        </w:rPr>
      </w:pPr>
    </w:p>
    <w:p>
      <w:pPr>
        <w:ind w:left="1340" w:right="120" w:hanging="361"/>
        <w:spacing w:after="0" w:line="276" w:lineRule="auto"/>
        <w:tabs>
          <w:tab w:leader="none" w:pos="13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or perceived advantages or disadvantages of the oral delivery of biologics as compared to subcutaneous or IV injections of biologics;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of our product candidates compared to alternative treatments;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shelf-life of our product candidates;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sales and marketing efforts;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930" w:right="720" w:bottom="0" w:gutter="0" w:footer="0" w:header="0"/>
          <w:type w:val="continuous"/>
        </w:sectPr>
      </w:pPr>
    </w:p>
    <w:bookmarkStart w:id="53" w:name="page54"/>
    <w:bookmarkEnd w:id="53"/>
    <w:p>
      <w:pPr>
        <w:ind w:left="1340" w:hanging="361"/>
        <w:spacing w:after="0"/>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in relation to alternative treatments;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offer our product candidates for sale at competitive prices;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the RaniPill capsule;</w:t>
      </w:r>
    </w:p>
    <w:p>
      <w:pPr>
        <w:spacing w:after="0" w:line="253" w:lineRule="exact"/>
        <w:rPr>
          <w:rFonts w:ascii="Arial" w:cs="Arial" w:eastAsia="Arial" w:hAnsi="Arial"/>
          <w:sz w:val="20"/>
          <w:szCs w:val="20"/>
          <w:color w:val="auto"/>
        </w:rPr>
      </w:pPr>
    </w:p>
    <w:p>
      <w:pPr>
        <w:ind w:left="1340" w:right="480" w:hanging="361"/>
        <w:spacing w:after="0" w:line="276" w:lineRule="auto"/>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class of drugs that are included in our product candidates continuing to represent the standard-of-care for the respective disease target and continuing to have a long-term favorable safety profile;</w:t>
      </w:r>
    </w:p>
    <w:p>
      <w:pPr>
        <w:spacing w:after="0" w:line="184" w:lineRule="exact"/>
        <w:rPr>
          <w:rFonts w:ascii="Arial" w:cs="Arial" w:eastAsia="Arial" w:hAnsi="Arial"/>
          <w:sz w:val="20"/>
          <w:szCs w:val="20"/>
          <w:color w:val="auto"/>
        </w:rPr>
      </w:pPr>
    </w:p>
    <w:p>
      <w:pPr>
        <w:ind w:left="1340" w:right="660" w:hanging="361"/>
        <w:spacing w:after="0" w:line="276" w:lineRule="auto"/>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physicians to prescribe use of the RaniPill capsule and to prescribe biologics that utilize the RaniPill capsule;</w:t>
      </w:r>
    </w:p>
    <w:p>
      <w:pPr>
        <w:spacing w:after="0" w:line="184" w:lineRule="exact"/>
        <w:rPr>
          <w:rFonts w:ascii="Arial" w:cs="Arial" w:eastAsia="Arial" w:hAnsi="Arial"/>
          <w:sz w:val="20"/>
          <w:szCs w:val="20"/>
          <w:color w:val="auto"/>
        </w:rPr>
      </w:pPr>
    </w:p>
    <w:p>
      <w:pPr>
        <w:ind w:left="1340" w:right="380" w:hanging="361"/>
        <w:spacing w:after="0" w:line="276" w:lineRule="auto"/>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medical community to offer patients our product candidates in addition to or in the place of current subcutaneous and IV injectable therapies;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marketing and distribution support;</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government and third-party coverage and adequate reimbursement;</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manufacture sufficient supply to meet patients’ demand;</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 and</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any restrictions on the use of our product candidates together with other medications or treatments.</w:t>
      </w:r>
    </w:p>
    <w:p>
      <w:pPr>
        <w:spacing w:after="0" w:line="239" w:lineRule="exact"/>
        <w:rPr>
          <w:sz w:val="20"/>
          <w:szCs w:val="20"/>
          <w:color w:val="auto"/>
        </w:rPr>
      </w:pPr>
    </w:p>
    <w:p>
      <w:pPr>
        <w:ind w:right="40" w:firstLine="979"/>
        <w:spacing w:after="0" w:line="258" w:lineRule="auto"/>
        <w:rPr>
          <w:sz w:val="20"/>
          <w:szCs w:val="20"/>
          <w:color w:val="auto"/>
        </w:rPr>
      </w:pPr>
      <w:r>
        <w:rPr>
          <w:rFonts w:ascii="Times New Roman" w:cs="Times New Roman" w:eastAsia="Times New Roman" w:hAnsi="Times New Roman"/>
          <w:sz w:val="20"/>
          <w:szCs w:val="20"/>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8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69"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213"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69" w:lineRule="exact"/>
        <w:rPr>
          <w:sz w:val="20"/>
          <w:szCs w:val="20"/>
          <w:color w:val="auto"/>
        </w:rPr>
      </w:pPr>
    </w:p>
    <w:p>
      <w:pPr>
        <w:ind w:right="60" w:firstLine="979"/>
        <w:spacing w:after="0" w:line="245" w:lineRule="auto"/>
        <w:rPr>
          <w:sz w:val="20"/>
          <w:szCs w:val="20"/>
          <w:color w:val="auto"/>
        </w:rPr>
      </w:pPr>
      <w:r>
        <w:rPr>
          <w:rFonts w:ascii="Times New Roman" w:cs="Times New Roman" w:eastAsia="Times New Roman" w:hAnsi="Times New Roman"/>
          <w:sz w:val="20"/>
          <w:szCs w:val="20"/>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ectPr>
          <w:pgSz w:w="12240" w:h="15840" w:orient="portrait"/>
          <w:cols w:equalWidth="0" w:num="1">
            <w:col w:w="10800"/>
          </w:cols>
          <w:pgMar w:left="720" w:top="944" w:right="72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44" w:right="720" w:bottom="0" w:gutter="0" w:footer="0" w:header="0"/>
          <w:type w:val="continuous"/>
        </w:sectPr>
      </w:pPr>
    </w:p>
    <w:bookmarkStart w:id="54" w:name="page55"/>
    <w:bookmarkEnd w:id="54"/>
    <w:p>
      <w:pPr>
        <w:ind w:left="980"/>
        <w:spacing w:after="0"/>
        <w:rPr>
          <w:sz w:val="20"/>
          <w:szCs w:val="20"/>
          <w:color w:val="auto"/>
        </w:rPr>
      </w:pPr>
      <w:r>
        <w:rPr>
          <w:rFonts w:ascii="Times New Roman" w:cs="Times New Roman" w:eastAsia="Times New Roman" w:hAnsi="Times New Roman"/>
          <w:sz w:val="20"/>
          <w:szCs w:val="20"/>
          <w:color w:val="auto"/>
        </w:rPr>
        <w:t>Factors payors consider in determining reimbursement are based on whether the product is:</w:t>
      </w:r>
    </w:p>
    <w:p>
      <w:pPr>
        <w:spacing w:after="0" w:line="254" w:lineRule="exact"/>
        <w:rPr>
          <w:sz w:val="20"/>
          <w:szCs w:val="20"/>
          <w:color w:val="auto"/>
        </w:rPr>
      </w:pPr>
    </w:p>
    <w:p>
      <w:pPr>
        <w:ind w:left="1340" w:hanging="361"/>
        <w:spacing w:after="0"/>
        <w:tabs>
          <w:tab w:leader="none" w:pos="134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appropriate for the specific patient;</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 and</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39" w:lineRule="exact"/>
        <w:rPr>
          <w:sz w:val="20"/>
          <w:szCs w:val="20"/>
          <w:color w:val="auto"/>
        </w:rPr>
      </w:pPr>
    </w:p>
    <w:p>
      <w:pPr>
        <w:ind w:right="20" w:firstLine="979"/>
        <w:spacing w:after="0" w:line="263" w:lineRule="auto"/>
        <w:rPr>
          <w:sz w:val="20"/>
          <w:szCs w:val="20"/>
          <w:color w:val="auto"/>
        </w:rPr>
      </w:pPr>
      <w:r>
        <w:rPr>
          <w:rFonts w:ascii="Times New Roman" w:cs="Times New Roman" w:eastAsia="Times New Roman" w:hAnsi="Times New Roman"/>
          <w:sz w:val="19"/>
          <w:szCs w:val="19"/>
          <w:color w:val="auto"/>
        </w:rPr>
        <w:t>There is significant uncertainty related to the insurance coverage and reimbursement of newly approved products. In the United States, the principal decisions about reimbursement for new products are typically made by the Centers for Medicare and Medicaid Services,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183" w:lineRule="exact"/>
        <w:rPr>
          <w:sz w:val="20"/>
          <w:szCs w:val="20"/>
          <w:color w:val="auto"/>
        </w:rPr>
      </w:pPr>
    </w:p>
    <w:p>
      <w:pPr>
        <w:ind w:right="60" w:firstLine="979"/>
        <w:spacing w:after="0" w:line="243" w:lineRule="auto"/>
        <w:rPr>
          <w:sz w:val="20"/>
          <w:szCs w:val="20"/>
          <w:color w:val="auto"/>
        </w:rPr>
      </w:pPr>
      <w:r>
        <w:rPr>
          <w:rFonts w:ascii="Times New Roman" w:cs="Times New Roman" w:eastAsia="Times New Roman" w:hAnsi="Times New Roman"/>
          <w:sz w:val="20"/>
          <w:szCs w:val="20"/>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Certain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206" w:lineRule="exact"/>
        <w:rPr>
          <w:sz w:val="20"/>
          <w:szCs w:val="20"/>
          <w:color w:val="auto"/>
        </w:rPr>
      </w:pPr>
    </w:p>
    <w:p>
      <w:pPr>
        <w:ind w:right="240" w:firstLine="979"/>
        <w:spacing w:after="0" w:line="246" w:lineRule="auto"/>
        <w:rPr>
          <w:sz w:val="20"/>
          <w:szCs w:val="20"/>
          <w:color w:val="auto"/>
        </w:rPr>
      </w:pPr>
      <w:r>
        <w:rPr>
          <w:rFonts w:ascii="Times New Roman" w:cs="Times New Roman" w:eastAsia="Times New Roman" w:hAnsi="Times New Roman"/>
          <w:sz w:val="20"/>
          <w:szCs w:val="20"/>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20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from other biotherapeutics and pharmaceutical companies, and our operating results will suffer if we fail to compete effectively.</w:t>
      </w:r>
    </w:p>
    <w:p>
      <w:pPr>
        <w:spacing w:after="0" w:line="169" w:lineRule="exact"/>
        <w:rPr>
          <w:sz w:val="20"/>
          <w:szCs w:val="20"/>
          <w:color w:val="auto"/>
        </w:rPr>
      </w:pPr>
    </w:p>
    <w:p>
      <w:pPr>
        <w:ind w:right="380" w:firstLine="979"/>
        <w:spacing w:after="0" w:line="258" w:lineRule="auto"/>
        <w:rPr>
          <w:sz w:val="20"/>
          <w:szCs w:val="20"/>
          <w:color w:val="auto"/>
        </w:rPr>
      </w:pPr>
      <w:r>
        <w:rPr>
          <w:rFonts w:ascii="Times New Roman" w:cs="Times New Roman" w:eastAsia="Times New Roman" w:hAnsi="Times New Roman"/>
          <w:sz w:val="20"/>
          <w:szCs w:val="20"/>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8"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97"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ectPr>
          <w:pgSz w:w="12240" w:h="15840" w:orient="portrait"/>
          <w:cols w:equalWidth="0" w:num="1">
            <w:col w:w="10780"/>
          </w:cols>
          <w:pgMar w:left="720" w:top="930" w:right="740" w:bottom="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780"/>
          </w:cols>
          <w:pgMar w:left="720" w:top="930" w:right="740" w:bottom="0" w:gutter="0" w:footer="0" w:header="0"/>
          <w:type w:val="continuous"/>
        </w:sectPr>
      </w:pPr>
    </w:p>
    <w:bookmarkStart w:id="55" w:name="page56"/>
    <w:bookmarkEnd w:id="55"/>
    <w:p>
      <w:pPr>
        <w:ind w:right="120" w:firstLine="979"/>
        <w:spacing w:after="0" w:line="247" w:lineRule="auto"/>
        <w:rPr>
          <w:sz w:val="20"/>
          <w:szCs w:val="20"/>
          <w:color w:val="auto"/>
        </w:rPr>
      </w:pPr>
      <w:r>
        <w:rPr>
          <w:rFonts w:ascii="Times New Roman" w:cs="Times New Roman" w:eastAsia="Times New Roman" w:hAnsi="Times New Roman"/>
          <w:sz w:val="20"/>
          <w:szCs w:val="20"/>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w:t>
      </w:r>
    </w:p>
    <w:p>
      <w:pPr>
        <w:spacing w:after="0" w:line="200" w:lineRule="exact"/>
        <w:rPr>
          <w:sz w:val="20"/>
          <w:szCs w:val="20"/>
          <w:color w:val="auto"/>
        </w:rPr>
      </w:pPr>
    </w:p>
    <w:p>
      <w:pPr>
        <w:ind w:right="140" w:firstLine="979"/>
        <w:spacing w:after="0" w:line="246" w:lineRule="auto"/>
        <w:rPr>
          <w:sz w:val="20"/>
          <w:szCs w:val="20"/>
          <w:color w:val="auto"/>
        </w:rPr>
      </w:pPr>
      <w:r>
        <w:rPr>
          <w:rFonts w:ascii="Times New Roman" w:cs="Times New Roman" w:eastAsia="Times New Roman" w:hAnsi="Times New Roman"/>
          <w:sz w:val="20"/>
          <w:szCs w:val="20"/>
          <w:color w:val="auto"/>
        </w:rPr>
        <w:t>We face competition primarily from current and future (generic and biosimilars) manufacturers of subcutaneous and IV injectable versions of our product candidates, such as AbbVie Inc., Eli Lilly and Company, Janssen Biotech, Inc. and the SOMA and LUMI from the Novo Nordisk-MIT collaboration. Additionally, we face competition from companies that are pursuing the development and manufacture of oral biologics, including Oramed Pharmaceuticals, Inc., Entera Bio Ltd., Protagonist Therapeutics, Inc., Chiesi Farmaceutici SpA, i2O Therapeutics, Biora Therapeutics, Inc., Intract Pharma, and Novo Nordisk A/S.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We believe that our ability to successfully compete will depend on, among other things:</w:t>
      </w:r>
    </w:p>
    <w:p>
      <w:pPr>
        <w:spacing w:after="0" w:line="254" w:lineRule="exact"/>
        <w:rPr>
          <w:sz w:val="20"/>
          <w:szCs w:val="20"/>
          <w:color w:val="auto"/>
        </w:rPr>
      </w:pPr>
    </w:p>
    <w:p>
      <w:pPr>
        <w:ind w:left="1340" w:right="200" w:hanging="361"/>
        <w:spacing w:after="0" w:line="276" w:lineRule="auto"/>
        <w:tabs>
          <w:tab w:leader="none" w:pos="13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of our product candidates, in particular compared to marketed products and products in late-stage development;</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the time it takes for our product candidates to complete clinical development and receive regulatory approval, if at all;</w:t>
      </w:r>
    </w:p>
    <w:p>
      <w:pPr>
        <w:spacing w:after="0" w:line="265" w:lineRule="exact"/>
        <w:rPr>
          <w:rFonts w:ascii="Arial" w:cs="Arial" w:eastAsia="Arial" w:hAnsi="Arial"/>
          <w:sz w:val="19"/>
          <w:szCs w:val="19"/>
          <w:color w:val="auto"/>
        </w:rPr>
      </w:pPr>
    </w:p>
    <w:p>
      <w:pPr>
        <w:ind w:left="1340" w:hanging="361"/>
        <w:spacing w:after="0"/>
        <w:tabs>
          <w:tab w:leader="none" w:pos="13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commercialize and market any of our product candidates that receive regulatory approval;</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price of our products, including in comparison to branded or generic competitors;</w:t>
      </w:r>
    </w:p>
    <w:p>
      <w:pPr>
        <w:spacing w:after="0" w:line="253" w:lineRule="exact"/>
        <w:rPr>
          <w:rFonts w:ascii="Arial" w:cs="Arial" w:eastAsia="Arial" w:hAnsi="Arial"/>
          <w:sz w:val="20"/>
          <w:szCs w:val="20"/>
          <w:color w:val="auto"/>
        </w:rPr>
      </w:pPr>
    </w:p>
    <w:p>
      <w:pPr>
        <w:ind w:left="1340" w:right="740" w:hanging="361"/>
        <w:spacing w:after="0" w:line="276" w:lineRule="auto"/>
        <w:tabs>
          <w:tab w:leader="none" w:pos="13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whether coverage and adequate levels of reimbursement are available under private and governmental health insurance plans, including Medicare;</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protect our intellectual property rights related to our product candidates;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avoid infringing on the intellectual property rights of others;</w:t>
      </w:r>
    </w:p>
    <w:p>
      <w:pPr>
        <w:spacing w:after="0" w:line="253" w:lineRule="exact"/>
        <w:rPr>
          <w:rFonts w:ascii="Arial" w:cs="Arial" w:eastAsia="Arial" w:hAnsi="Arial"/>
          <w:sz w:val="20"/>
          <w:szCs w:val="20"/>
          <w:color w:val="auto"/>
        </w:rPr>
      </w:pPr>
    </w:p>
    <w:p>
      <w:pPr>
        <w:ind w:left="1340" w:right="400" w:hanging="361"/>
        <w:spacing w:after="0" w:line="276" w:lineRule="auto"/>
        <w:tabs>
          <w:tab w:leader="none" w:pos="13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manufacture and sell commercial quantities of any of our product candidates that receive regulatory approval; and</w:t>
      </w:r>
    </w:p>
    <w:p>
      <w:pPr>
        <w:spacing w:after="0" w:line="184" w:lineRule="exact"/>
        <w:rPr>
          <w:rFonts w:ascii="Arial" w:cs="Arial" w:eastAsia="Arial" w:hAnsi="Arial"/>
          <w:sz w:val="20"/>
          <w:szCs w:val="20"/>
          <w:color w:val="auto"/>
        </w:rPr>
      </w:pPr>
    </w:p>
    <w:p>
      <w:pPr>
        <w:ind w:left="1340" w:right="340" w:hanging="361"/>
        <w:spacing w:after="0" w:line="276" w:lineRule="auto"/>
        <w:tabs>
          <w:tab w:leader="none" w:pos="134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780"/>
          </w:cols>
          <w:pgMar w:left="720" w:top="930" w:right="740" w:bottom="0" w:gutter="0" w:footer="0" w:header="0"/>
          <w:type w:val="continuous"/>
        </w:sectPr>
      </w:pPr>
    </w:p>
    <w:bookmarkStart w:id="56" w:name="page57"/>
    <w:bookmarkEnd w:id="56"/>
    <w:p>
      <w:pPr>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94" w:lineRule="exact"/>
        <w:rPr>
          <w:sz w:val="20"/>
          <w:szCs w:val="20"/>
          <w:color w:val="auto"/>
        </w:rPr>
      </w:pPr>
    </w:p>
    <w:p>
      <w:pPr>
        <w:ind w:firstLine="979"/>
        <w:spacing w:after="0" w:line="243" w:lineRule="auto"/>
        <w:rPr>
          <w:sz w:val="20"/>
          <w:szCs w:val="20"/>
          <w:color w:val="auto"/>
        </w:rPr>
      </w:pPr>
      <w:r>
        <w:rPr>
          <w:rFonts w:ascii="Times New Roman" w:cs="Times New Roman" w:eastAsia="Times New Roman" w:hAnsi="Times New Roman"/>
          <w:sz w:val="20"/>
          <w:szCs w:val="20"/>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20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any product that we develop are smaller than we believe they are, our commercial revenue may be adversely affected and our business may suffer.</w:t>
      </w:r>
    </w:p>
    <w:p>
      <w:pPr>
        <w:spacing w:after="0" w:line="169" w:lineRule="exact"/>
        <w:rPr>
          <w:sz w:val="20"/>
          <w:szCs w:val="20"/>
          <w:color w:val="auto"/>
        </w:rPr>
      </w:pPr>
    </w:p>
    <w:p>
      <w:pPr>
        <w:ind w:right="40" w:firstLine="979"/>
        <w:spacing w:after="0" w:line="242" w:lineRule="auto"/>
        <w:rPr>
          <w:sz w:val="20"/>
          <w:szCs w:val="20"/>
          <w:color w:val="auto"/>
        </w:rPr>
      </w:pPr>
      <w:r>
        <w:rPr>
          <w:rFonts w:ascii="Times New Roman" w:cs="Times New Roman" w:eastAsia="Times New Roman" w:hAnsi="Times New Roman"/>
          <w:sz w:val="20"/>
          <w:szCs w:val="20"/>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RT-102, an oral administration of PTH for the treatment of osteoporosis, for which we estimate the patient population is approximately ten million in the United States as of 2018, and RT-111 for the treatment of inflammatory conditions, for which we estimate the patient population to be seven million for psoriasis and three million for Crohn’s disease or ulcerative colitis in the United States as of 2021. These estimates, and estimates for our other product candidates,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time may be required to obtain regulatory approval for our product candidates because they are combination products.</w:t>
      </w:r>
    </w:p>
    <w:p>
      <w:pPr>
        <w:spacing w:after="0" w:line="240"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780"/>
          </w:cols>
          <w:pgMar w:left="720" w:top="930" w:right="740" w:bottom="0" w:gutter="0" w:footer="0" w:header="0"/>
          <w:type w:val="continuous"/>
        </w:sectPr>
      </w:pPr>
    </w:p>
    <w:bookmarkStart w:id="57" w:name="page58"/>
    <w:bookmarkEnd w:id="57"/>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69" w:lineRule="exact"/>
        <w:rPr>
          <w:sz w:val="20"/>
          <w:szCs w:val="20"/>
          <w:color w:val="auto"/>
        </w:rPr>
      </w:pPr>
    </w:p>
    <w:p>
      <w:pPr>
        <w:ind w:firstLine="979"/>
        <w:spacing w:after="0" w:line="241" w:lineRule="auto"/>
        <w:rPr>
          <w:sz w:val="20"/>
          <w:szCs w:val="20"/>
          <w:color w:val="auto"/>
        </w:rPr>
      </w:pPr>
      <w:r>
        <w:rPr>
          <w:rFonts w:ascii="Times New Roman" w:cs="Times New Roman" w:eastAsia="Times New Roman" w:hAnsi="Times New Roman"/>
          <w:sz w:val="20"/>
          <w:szCs w:val="20"/>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European Economic Area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24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94" w:lineRule="exact"/>
        <w:rPr>
          <w:sz w:val="20"/>
          <w:szCs w:val="20"/>
          <w:color w:val="auto"/>
        </w:rPr>
      </w:pPr>
    </w:p>
    <w:p>
      <w:pPr>
        <w:ind w:right="80" w:firstLine="979"/>
        <w:spacing w:after="0" w:line="243" w:lineRule="auto"/>
        <w:rPr>
          <w:sz w:val="20"/>
          <w:szCs w:val="20"/>
          <w:color w:val="auto"/>
        </w:rPr>
      </w:pPr>
      <w:r>
        <w:rPr>
          <w:rFonts w:ascii="Times New Roman" w:cs="Times New Roman" w:eastAsia="Times New Roman" w:hAnsi="Times New Roman"/>
          <w:sz w:val="20"/>
          <w:szCs w:val="20"/>
          <w:color w:val="auto"/>
        </w:rPr>
        <w:t>In the past, we have entered into evaluation agreements with Takeda and certain other pharmaceutical companies concerning the formulation and manufacture of oral versions of Factor VIII and other molecules. In January 2023, we entered into a License and Supply Agreement with Celltrion, under which we receive supply of ustekinumab biosimilar from Celltrion for RT-111 and Celltrion has a right of first negotiation to obtain development and commercialization rights for RT-111 after completion of a Phase 1 clinical trial that meets its primary endpoint(s). In May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We believe the Phase 1 clinical trial that we completed with RT-111, the topline data of which we announced in February 2024, satisfies the requirements for triggering Celltrion’s right of first negotiation with respect to that program. If the parties enter into an agreement granting Celltrion development and commercialization rights for RT-111 or RT-105, we may be reliant on Celltrion to develop and commercialize the applicable product(s) in certain countries or worldwide.</w:t>
      </w:r>
    </w:p>
    <w:p>
      <w:pPr>
        <w:spacing w:after="0" w:line="208"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Future evaluation agreements, supply agreements or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800"/>
          </w:cols>
          <w:pgMar w:left="720" w:top="930" w:right="720" w:bottom="0" w:gutter="0" w:footer="0" w:header="0"/>
          <w:type w:val="continuous"/>
        </w:sectPr>
      </w:pPr>
    </w:p>
    <w:bookmarkStart w:id="58" w:name="page59"/>
    <w:bookmarkEnd w:id="58"/>
    <w:p>
      <w:pPr>
        <w:ind w:firstLine="979"/>
        <w:spacing w:after="0" w:line="244" w:lineRule="auto"/>
        <w:rPr>
          <w:sz w:val="20"/>
          <w:szCs w:val="20"/>
          <w:color w:val="auto"/>
        </w:rPr>
      </w:pPr>
      <w:r>
        <w:rPr>
          <w:rFonts w:ascii="Times New Roman" w:cs="Times New Roman" w:eastAsia="Times New Roman" w:hAnsi="Times New Roman"/>
          <w:sz w:val="20"/>
          <w:szCs w:val="20"/>
          <w:color w:val="auto"/>
        </w:rPr>
        <w:t>We believe our product candidates are biologic-device combination products that we anticipate will be regulated under the biologic regulations of the FDA based on their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or NDA to the FDA.</w:t>
      </w:r>
    </w:p>
    <w:p>
      <w:pPr>
        <w:spacing w:after="0" w:line="202"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and manufacture of a product candidate under a collaboration, and the payments we receive from our partner may be insufficient to cover the cost of this work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200" w:lineRule="exact"/>
        <w:rPr>
          <w:sz w:val="20"/>
          <w:szCs w:val="20"/>
          <w:color w:val="auto"/>
        </w:rPr>
      </w:pPr>
    </w:p>
    <w:p>
      <w:pPr>
        <w:ind w:right="60" w:firstLine="979"/>
        <w:spacing w:after="0" w:line="245" w:lineRule="auto"/>
        <w:rPr>
          <w:sz w:val="20"/>
          <w:szCs w:val="20"/>
          <w:color w:val="auto"/>
        </w:rPr>
      </w:pPr>
      <w:r>
        <w:rPr>
          <w:rFonts w:ascii="Times New Roman" w:cs="Times New Roman" w:eastAsia="Times New Roman" w:hAnsi="Times New Roman"/>
          <w:sz w:val="20"/>
          <w:szCs w:val="20"/>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216" w:lineRule="exact"/>
        <w:rPr>
          <w:sz w:val="20"/>
          <w:szCs w:val="20"/>
          <w:color w:val="auto"/>
        </w:rPr>
      </w:pPr>
    </w:p>
    <w:p>
      <w:pPr>
        <w:ind w:left="980" w:right="540" w:hanging="491"/>
        <w:spacing w:after="0" w:line="276" w:lineRule="auto"/>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reductions in the payment of royalties or other payments we believe are due pursuant to the applicable collaboration arrangement;</w:t>
      </w:r>
    </w:p>
    <w:p>
      <w:pPr>
        <w:spacing w:after="0" w:line="184" w:lineRule="exact"/>
        <w:rPr>
          <w:rFonts w:ascii="Arial" w:cs="Arial" w:eastAsia="Arial" w:hAnsi="Arial"/>
          <w:sz w:val="20"/>
          <w:szCs w:val="20"/>
          <w:color w:val="auto"/>
        </w:rPr>
      </w:pPr>
    </w:p>
    <w:p>
      <w:pPr>
        <w:ind w:left="980" w:right="240" w:hanging="491"/>
        <w:spacing w:after="0" w:line="276" w:lineRule="auto"/>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actions taken by a partner inside or outside our collaboration which could negatively impact our rights or benefits under our collaboration; or</w:t>
      </w:r>
    </w:p>
    <w:p>
      <w:pPr>
        <w:spacing w:after="0" w:line="184" w:lineRule="exact"/>
        <w:rPr>
          <w:rFonts w:ascii="Arial" w:cs="Arial" w:eastAsia="Arial" w:hAnsi="Arial"/>
          <w:sz w:val="20"/>
          <w:szCs w:val="20"/>
          <w:color w:val="auto"/>
        </w:rPr>
      </w:pPr>
    </w:p>
    <w:p>
      <w:pPr>
        <w:ind w:left="980" w:right="1480" w:hanging="491"/>
        <w:spacing w:after="0" w:line="276" w:lineRule="auto"/>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ind w:right="20" w:firstLine="979"/>
        <w:spacing w:after="0" w:line="258" w:lineRule="auto"/>
        <w:rPr>
          <w:sz w:val="20"/>
          <w:szCs w:val="20"/>
          <w:color w:val="auto"/>
        </w:rPr>
      </w:pPr>
      <w:r>
        <w:rPr>
          <w:rFonts w:ascii="Times New Roman" w:cs="Times New Roman" w:eastAsia="Times New Roman" w:hAnsi="Times New Roman"/>
          <w:sz w:val="20"/>
          <w:szCs w:val="20"/>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8"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930" w:right="720" w:bottom="0" w:gutter="0" w:footer="0" w:header="0"/>
          <w:type w:val="continuous"/>
        </w:sectPr>
      </w:pPr>
    </w:p>
    <w:bookmarkStart w:id="59" w:name="page60"/>
    <w:bookmarkEnd w:id="59"/>
    <w:p>
      <w:pPr>
        <w:jc w:val="both"/>
        <w:ind w:right="160" w:firstLine="979"/>
        <w:spacing w:after="0" w:line="258" w:lineRule="auto"/>
        <w:rPr>
          <w:sz w:val="20"/>
          <w:szCs w:val="20"/>
          <w:color w:val="auto"/>
        </w:rPr>
      </w:pPr>
      <w:r>
        <w:rPr>
          <w:rFonts w:ascii="Times New Roman" w:cs="Times New Roman" w:eastAsia="Times New Roman" w:hAnsi="Times New Roman"/>
          <w:sz w:val="20"/>
          <w:szCs w:val="20"/>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8" w:lineRule="exact"/>
        <w:rPr>
          <w:sz w:val="20"/>
          <w:szCs w:val="20"/>
          <w:color w:val="auto"/>
        </w:rPr>
      </w:pPr>
    </w:p>
    <w:p>
      <w:pPr>
        <w:ind w:right="100" w:firstLine="979"/>
        <w:spacing w:after="0" w:line="244" w:lineRule="auto"/>
        <w:rPr>
          <w:sz w:val="20"/>
          <w:szCs w:val="20"/>
          <w:color w:val="auto"/>
        </w:rPr>
      </w:pPr>
      <w:r>
        <w:rPr>
          <w:rFonts w:ascii="Times New Roman" w:cs="Times New Roman" w:eastAsia="Times New Roman" w:hAnsi="Times New Roman"/>
          <w:sz w:val="20"/>
          <w:szCs w:val="20"/>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206"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9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depend on third-party suppliers for key materials used in our manufacturing processes as well as for the manufacturing of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194" w:lineRule="exact"/>
        <w:rPr>
          <w:sz w:val="20"/>
          <w:szCs w:val="20"/>
          <w:color w:val="auto"/>
        </w:rPr>
      </w:pPr>
    </w:p>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We rely on third-party suppliers for the supply of the raw materials and APIs or drug substances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 and for use in our clinical trials.</w:t>
      </w:r>
    </w:p>
    <w:p>
      <w:pPr>
        <w:spacing w:after="0" w:line="194" w:lineRule="exact"/>
        <w:rPr>
          <w:sz w:val="20"/>
          <w:szCs w:val="20"/>
          <w:color w:val="auto"/>
        </w:rPr>
      </w:pPr>
    </w:p>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Our dependence on these third parties and the challenges we may face in obtaining adequate supplies of raw materials, APIs and drug substances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drug substances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prevent us from conducting, or cause delays to, our current or planned clinical trials, commercialization of our products, if approved, and have an adverse effect on our business, financial condition and results of operations.</w:t>
      </w:r>
    </w:p>
    <w:p>
      <w:pPr>
        <w:spacing w:after="0" w:line="20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69" w:lineRule="exact"/>
        <w:rPr>
          <w:sz w:val="20"/>
          <w:szCs w:val="20"/>
          <w:color w:val="auto"/>
        </w:rPr>
      </w:pPr>
    </w:p>
    <w:p>
      <w:pPr>
        <w:ind w:right="80" w:firstLine="979"/>
        <w:spacing w:after="0" w:line="243" w:lineRule="auto"/>
        <w:rPr>
          <w:sz w:val="20"/>
          <w:szCs w:val="20"/>
          <w:color w:val="auto"/>
        </w:rPr>
      </w:pPr>
      <w:r>
        <w:rPr>
          <w:rFonts w:ascii="Times New Roman" w:cs="Times New Roman" w:eastAsia="Times New Roman" w:hAnsi="Times New Roman"/>
          <w:sz w:val="20"/>
          <w:szCs w:val="20"/>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In addition, we may seek to enter into collaborations, joint ventures, licenses and other similar arrangements with third party biopharmaceutical companies for use of the RaniPill technology in developing and commercializing their own molecules. We may not be successful in our efforts to establish or maintain such collaborations because our research and development pipeline may be insufficient, our product candidates or technology may be deemed to be at too early of a stage of development for collaborative effort or third parties may not view our product candidates or technology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ectPr>
          <w:pgSz w:w="12240" w:h="15840" w:orient="portrait"/>
          <w:cols w:equalWidth="0" w:num="1">
            <w:col w:w="10760"/>
          </w:cols>
          <w:pgMar w:left="720" w:top="93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760"/>
          </w:cols>
          <w:pgMar w:left="720" w:top="930" w:right="760" w:bottom="0" w:gutter="0" w:footer="0" w:header="0"/>
          <w:type w:val="continuous"/>
        </w:sectPr>
      </w:pPr>
    </w:p>
    <w:bookmarkStart w:id="60" w:name="page61"/>
    <w:bookmarkEnd w:id="60"/>
    <w:p>
      <w:pPr>
        <w:ind w:firstLine="979"/>
        <w:spacing w:after="0" w:line="242" w:lineRule="auto"/>
        <w:rPr>
          <w:sz w:val="20"/>
          <w:szCs w:val="20"/>
          <w:color w:val="auto"/>
        </w:rPr>
      </w:pPr>
      <w:r>
        <w:rPr>
          <w:rFonts w:ascii="Times New Roman" w:cs="Times New Roman" w:eastAsia="Times New Roman" w:hAnsi="Times New Roman"/>
          <w:sz w:val="20"/>
          <w:szCs w:val="20"/>
          <w:color w:val="auto"/>
        </w:rPr>
        <w:t>In January 2023, we entered into a License and Supply Agreement with Celltrion, under which Celltrion has a right of first negotiation to obtain development and commercialization rights for RT-111 after completion of a Phase 1 clinical trial that meets its primary endpoint(s). In June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We believe the Phase 1 clinical trial that we completed with RT-111, the topline data of which we announced in February 2024, satisfies the requirements for triggering Celltrion’s right of first negotiation. However, even if we complete the requisite clinical trial for RT-111 or RT-105, Celltrion has no obligation to exercise its right of first negotiation, and if it does exercise such right we may not be able to agree on terms favorable to us or acceptable to us or Celltrion. Accordingly, there can be no assurance that the parties will enter into an agreement granting Celltrion development and commercialization rights for the applicable product following completion of a Phase 1 trial that meets its primary endpoint(s) or any exercise of the right of first negotiation. In November 2023, we announced that we have paused the RT-105 program until we have appropriate resources to continue the development. While the License and Supply Agreement with Celltrion regarding adalimumab biosimilar for RT-105 remains in place, if we do not initiate a Phase 1 trial with RT-105 within a certain time period specified in the agreement or fail to deliver Phase 1 data to Celltrion within a later timepoint specified in the agreement, Celltrion will have a right to terminate that License and Supply Agreement. In addition, as a result of a pausing of the RT-105 program, Celltrion’s interest in exercising its right of first negotiation with respect to that program or negotiating a collaboration for that program could diminish.</w:t>
      </w:r>
    </w:p>
    <w:p>
      <w:pPr>
        <w:spacing w:after="0" w:line="207"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Even if we are successful in our efforts to establish a collaboration with Celltrion or collaborations with other third parties,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94"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if approved, commercialization of our product candidates,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4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69" w:lineRule="exact"/>
        <w:rPr>
          <w:sz w:val="20"/>
          <w:szCs w:val="20"/>
          <w:color w:val="auto"/>
        </w:rPr>
      </w:pPr>
    </w:p>
    <w:p>
      <w:pPr>
        <w:jc w:val="both"/>
        <w:ind w:right="20" w:firstLine="979"/>
        <w:spacing w:after="0" w:line="258"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203" w:lineRule="exact"/>
        <w:rPr>
          <w:sz w:val="20"/>
          <w:szCs w:val="20"/>
          <w:color w:val="auto"/>
        </w:rPr>
      </w:pPr>
    </w:p>
    <w:p>
      <w:pPr>
        <w:ind w:left="1340" w:right="120" w:hanging="361"/>
        <w:spacing w:after="0" w:line="276" w:lineRule="auto"/>
        <w:tabs>
          <w:tab w:leader="none" w:pos="13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degree of success and cost of, and level of investment in, research, development, regulatory approval and commercialization activities relating to our product candidates, which may change from time to time;</w:t>
      </w:r>
    </w:p>
    <w:p>
      <w:pPr>
        <w:spacing w:after="0" w:line="184" w:lineRule="exact"/>
        <w:rPr>
          <w:rFonts w:ascii="Arial" w:cs="Arial" w:eastAsia="Arial" w:hAnsi="Arial"/>
          <w:sz w:val="20"/>
          <w:szCs w:val="20"/>
          <w:color w:val="auto"/>
        </w:rPr>
      </w:pPr>
    </w:p>
    <w:p>
      <w:pPr>
        <w:ind w:left="1340" w:right="200" w:hanging="361"/>
        <w:spacing w:after="0" w:line="276" w:lineRule="auto"/>
        <w:tabs>
          <w:tab w:leader="none" w:pos="13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coverage and reimbursement policies with respect to our product candidates, if approved, and potential future drugs that compete with our products;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 candidates, which may vary depending on the quantity of production;</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may incur to acquire, develop or commercialize additional product candidates and technologies;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any approved products, which may vary significantly;</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 and</w:t>
      </w:r>
    </w:p>
    <w:p>
      <w:pPr>
        <w:spacing w:after="0" w:line="253" w:lineRule="exact"/>
        <w:rPr>
          <w:rFonts w:ascii="Arial" w:cs="Arial" w:eastAsia="Arial" w:hAnsi="Arial"/>
          <w:sz w:val="20"/>
          <w:szCs w:val="20"/>
          <w:color w:val="auto"/>
        </w:rPr>
      </w:pPr>
    </w:p>
    <w:p>
      <w:pPr>
        <w:ind w:left="1340" w:right="120" w:hanging="361"/>
        <w:spacing w:after="0" w:line="258" w:lineRule="auto"/>
        <w:tabs>
          <w:tab w:leader="none" w:pos="134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930" w:right="720" w:bottom="0" w:gutter="0" w:footer="0" w:header="0"/>
          <w:type w:val="continuous"/>
        </w:sectPr>
      </w:pPr>
    </w:p>
    <w:bookmarkStart w:id="61" w:name="page62"/>
    <w:bookmarkEnd w:id="61"/>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0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88"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We currently have no product candidates that are in late-stage clinical trials or are approved for commercial sale, and we may never be able to develop a marketable product. We have a limited number of product candidates in early clinical development. We expect that a substantial portion of our efforts and expenditures over the next few years will be devoted to the development of the RaniPill platform that is designed to enable the oral administration of a broad range of biologics and drugs used to treat multiple diseases and disorders. The RaniPill capsule may not receive regulatory approval in connection with any biologic or drug or, if approved, it may not be successfully commercialized. The research, testing, manufacturing, labeling, approval, sale, marketing and distribution of our product candidates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or NDA from the FDA, or a similar marketing authorization from comparable authorities in any foreign countries until after approval of a marketing application by corresponding foreign regulatory authorities. We have conducted early clinical development of some of our product candidates. We will need to conduct larger, more extensive clinical trials in the target patient populations for these product candidates and their indications to support a potential application for regulatory approval by the FDA or corresponding foreign regulatory authorities.</w:t>
      </w:r>
    </w:p>
    <w:p>
      <w:pPr>
        <w:spacing w:after="0" w:line="213"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We have not previously submitted a BLA or NDA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or drug product candidate is an extensive, lengthy, expensive and inherently uncertain process, and the regulatory authorities may delay, limit or deny approval of our product candidates for many reasons, including:</w:t>
      </w:r>
    </w:p>
    <w:p>
      <w:pPr>
        <w:spacing w:after="0" w:line="211" w:lineRule="exact"/>
        <w:rPr>
          <w:sz w:val="20"/>
          <w:szCs w:val="20"/>
          <w:color w:val="auto"/>
        </w:rPr>
      </w:pPr>
    </w:p>
    <w:p>
      <w:pPr>
        <w:ind w:left="1340" w:right="260" w:hanging="361"/>
        <w:spacing w:after="0" w:line="276" w:lineRule="auto"/>
        <w:tabs>
          <w:tab w:leader="none" w:pos="13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demonstrate that any of our product candidates is safe and effective to the satisfaction of the FDA or comparable foreign regulatory authorities;</w:t>
      </w:r>
    </w:p>
    <w:p>
      <w:pPr>
        <w:spacing w:after="0" w:line="184" w:lineRule="exact"/>
        <w:rPr>
          <w:rFonts w:ascii="Arial" w:cs="Arial" w:eastAsia="Arial" w:hAnsi="Arial"/>
          <w:sz w:val="20"/>
          <w:szCs w:val="20"/>
          <w:color w:val="auto"/>
        </w:rPr>
      </w:pPr>
    </w:p>
    <w:p>
      <w:pPr>
        <w:ind w:left="1340" w:right="40" w:hanging="361"/>
        <w:spacing w:after="0" w:line="276" w:lineRule="auto"/>
        <w:tabs>
          <w:tab w:leader="none" w:pos="13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84" w:lineRule="exact"/>
        <w:rPr>
          <w:rFonts w:ascii="Arial" w:cs="Arial" w:eastAsia="Arial" w:hAnsi="Arial"/>
          <w:sz w:val="20"/>
          <w:szCs w:val="20"/>
          <w:color w:val="auto"/>
        </w:rPr>
      </w:pPr>
    </w:p>
    <w:p>
      <w:pPr>
        <w:ind w:left="1340" w:right="300" w:hanging="361"/>
        <w:spacing w:after="0" w:line="276" w:lineRule="auto"/>
        <w:tabs>
          <w:tab w:leader="none" w:pos="13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clinical trials may not meet the level of statistical or clinical significance required by the FDA or comparable foreign regulatory authorities for approval;</w:t>
      </w:r>
    </w:p>
    <w:p>
      <w:pPr>
        <w:spacing w:after="0" w:line="184" w:lineRule="exact"/>
        <w:rPr>
          <w:rFonts w:ascii="Arial" w:cs="Arial" w:eastAsia="Arial" w:hAnsi="Arial"/>
          <w:sz w:val="20"/>
          <w:szCs w:val="20"/>
          <w:color w:val="auto"/>
        </w:rPr>
      </w:pPr>
    </w:p>
    <w:p>
      <w:pPr>
        <w:ind w:left="1340" w:right="700" w:hanging="361"/>
        <w:spacing w:after="0" w:line="276" w:lineRule="auto"/>
        <w:tabs>
          <w:tab w:leader="none" w:pos="13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the number, design, size, conduct or statistical analysis of one or more of our clinical trials;</w:t>
      </w:r>
    </w:p>
    <w:p>
      <w:pPr>
        <w:spacing w:after="0" w:line="184" w:lineRule="exact"/>
        <w:rPr>
          <w:rFonts w:ascii="Arial" w:cs="Arial" w:eastAsia="Arial" w:hAnsi="Arial"/>
          <w:sz w:val="20"/>
          <w:szCs w:val="20"/>
          <w:color w:val="auto"/>
        </w:rPr>
      </w:pPr>
    </w:p>
    <w:p>
      <w:pPr>
        <w:ind w:left="1340" w:right="400" w:hanging="361"/>
        <w:spacing w:after="0" w:line="276" w:lineRule="auto"/>
        <w:tabs>
          <w:tab w:leader="none" w:pos="13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or not accept, our interpretation of data from our preclinical studies and clinical trials;</w:t>
      </w:r>
    </w:p>
    <w:p>
      <w:pPr>
        <w:spacing w:after="0" w:line="184" w:lineRule="exact"/>
        <w:rPr>
          <w:rFonts w:ascii="Arial" w:cs="Arial" w:eastAsia="Arial" w:hAnsi="Arial"/>
          <w:sz w:val="20"/>
          <w:szCs w:val="20"/>
          <w:color w:val="auto"/>
        </w:rPr>
      </w:pPr>
    </w:p>
    <w:p>
      <w:pPr>
        <w:ind w:left="1340" w:right="300" w:hanging="361"/>
        <w:spacing w:after="0" w:line="276" w:lineRule="auto"/>
        <w:tabs>
          <w:tab w:leader="none" w:pos="13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identify deficiencies in our manufacturing processes or facilities which would be required to be corrected prior to regulatory approval;</w:t>
      </w:r>
    </w:p>
    <w:p>
      <w:pPr>
        <w:spacing w:after="0" w:line="184" w:lineRule="exact"/>
        <w:rPr>
          <w:rFonts w:ascii="Arial" w:cs="Arial" w:eastAsia="Arial" w:hAnsi="Arial"/>
          <w:sz w:val="20"/>
          <w:szCs w:val="20"/>
          <w:color w:val="auto"/>
        </w:rPr>
      </w:pPr>
    </w:p>
    <w:p>
      <w:pPr>
        <w:jc w:val="both"/>
        <w:ind w:left="1340" w:right="20" w:hanging="361"/>
        <w:spacing w:after="0" w:line="258" w:lineRule="auto"/>
        <w:tabs>
          <w:tab w:leader="none" w:pos="13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change their approval policies or adopt new regulations.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780"/>
          </w:cols>
          <w:pgMar w:left="720" w:top="930" w:right="740" w:bottom="0" w:gutter="0" w:footer="0" w:header="0"/>
          <w:type w:val="continuous"/>
        </w:sectPr>
      </w:pPr>
    </w:p>
    <w:bookmarkStart w:id="62" w:name="page63"/>
    <w:bookmarkEnd w:id="62"/>
    <w:p>
      <w:pPr>
        <w:ind w:right="20" w:firstLine="979"/>
        <w:spacing w:after="0" w:line="247" w:lineRule="auto"/>
        <w:rPr>
          <w:sz w:val="20"/>
          <w:szCs w:val="20"/>
          <w:color w:val="auto"/>
        </w:rPr>
      </w:pPr>
      <w:r>
        <w:rPr>
          <w:rFonts w:ascii="Times New Roman" w:cs="Times New Roman" w:eastAsia="Times New Roman" w:hAnsi="Times New Roman"/>
          <w:sz w:val="20"/>
          <w:szCs w:val="20"/>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our product candidates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200"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use and expand our proprietary RaniPill platform to build a pipeline of product candidates and partnered programs.</w:t>
      </w:r>
    </w:p>
    <w:p>
      <w:pPr>
        <w:spacing w:after="0" w:line="169" w:lineRule="exact"/>
        <w:rPr>
          <w:sz w:val="20"/>
          <w:szCs w:val="20"/>
          <w:color w:val="auto"/>
        </w:rPr>
      </w:pPr>
    </w:p>
    <w:p>
      <w:pPr>
        <w:ind w:right="20" w:firstLine="979"/>
        <w:spacing w:after="0" w:line="242" w:lineRule="auto"/>
        <w:rPr>
          <w:sz w:val="20"/>
          <w:szCs w:val="20"/>
          <w:color w:val="auto"/>
        </w:rPr>
      </w:pPr>
      <w:r>
        <w:rPr>
          <w:rFonts w:ascii="Times New Roman" w:cs="Times New Roman" w:eastAsia="Times New Roman" w:hAnsi="Times New Roman"/>
          <w:sz w:val="20"/>
          <w:szCs w:val="20"/>
          <w:color w:val="auto"/>
        </w:rPr>
        <w:t>A key element of our strategy is to leverage the RaniPill platform to expand our pipeline of product candidates and to enter into collaborations, licenses or similar arrangements with third party biopharmaceutical companies to use the RaniPill technology in developing and commercializing the third party’s molecules.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(alone or with partners), we may not prove to be successful at doing so. Potential partners may not see the opportunities created by the RaniPill platform the same way we do, or at all, and even if they do we may not be able to negotiate and enter into licensing or other transactions with potential partners on favorable terms, or at all. Even if we are successful in continuing to build our pipeline or establishing licensing arrangements with third parties regarding use of our platform for their molecules, the potential product candidates that we or they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or potential partners cannot successfully develop or commercialize products using the RaniPill technology, or if serious adverse events are discovered after commercialization, we will not be able to generate any product revenue, which would adversely affect business.</w:t>
      </w:r>
    </w:p>
    <w:p>
      <w:pPr>
        <w:spacing w:after="0" w:line="21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impact the costs, timing or successful completion of a clinical trial.</w:t>
      </w:r>
    </w:p>
    <w:p>
      <w:pPr>
        <w:spacing w:after="0" w:line="188"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200"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202"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Most of our product candidates are in research or preclinical development and have not entered into clinical trials. If we are unable to develop, test and commercialize our product candidates, our business will be adversely affected.</w:t>
      </w:r>
    </w:p>
    <w:p>
      <w:pPr>
        <w:spacing w:after="0" w:line="169"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211" w:lineRule="exact"/>
        <w:rPr>
          <w:sz w:val="20"/>
          <w:szCs w:val="20"/>
          <w:color w:val="auto"/>
        </w:rPr>
      </w:pPr>
    </w:p>
    <w:p>
      <w:pPr>
        <w:ind w:left="1340" w:hanging="361"/>
        <w:spacing w:after="0"/>
        <w:tabs>
          <w:tab w:leader="none" w:pos="13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and internal resources are insufficient;</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our research methodology used may not be successful in identifying potential product candidates;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930" w:right="720" w:bottom="0" w:gutter="0" w:footer="0" w:header="0"/>
          <w:type w:val="continuous"/>
        </w:sectPr>
      </w:pPr>
    </w:p>
    <w:bookmarkStart w:id="63" w:name="page64"/>
    <w:bookmarkEnd w:id="63"/>
    <w:p>
      <w:pPr>
        <w:ind w:left="1340" w:hanging="361"/>
        <w:spacing w:after="0"/>
        <w:tabs>
          <w:tab w:leader="none" w:pos="134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competitors may develop alternatives that render our product candidates uncompetitive;</w:t>
      </w:r>
    </w:p>
    <w:p>
      <w:pPr>
        <w:spacing w:after="0" w:line="253" w:lineRule="exact"/>
        <w:rPr>
          <w:rFonts w:ascii="Arial" w:cs="Arial" w:eastAsia="Arial" w:hAnsi="Arial"/>
          <w:sz w:val="20"/>
          <w:szCs w:val="20"/>
          <w:color w:val="auto"/>
        </w:rPr>
      </w:pPr>
    </w:p>
    <w:p>
      <w:pPr>
        <w:ind w:left="1340" w:right="140" w:hanging="361"/>
        <w:spacing w:after="0" w:line="276" w:lineRule="auto"/>
        <w:tabs>
          <w:tab w:leader="none" w:pos="134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84" w:lineRule="exact"/>
        <w:rPr>
          <w:rFonts w:ascii="Arial" w:cs="Arial" w:eastAsia="Arial" w:hAnsi="Arial"/>
          <w:sz w:val="20"/>
          <w:szCs w:val="20"/>
          <w:color w:val="auto"/>
        </w:rPr>
      </w:pPr>
    </w:p>
    <w:p>
      <w:pPr>
        <w:ind w:left="1340" w:hanging="361"/>
        <w:spacing w:after="0" w:line="276" w:lineRule="auto"/>
        <w:tabs>
          <w:tab w:leader="none" w:pos="134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 candidates may not be capable of being produced in commercial quantities at an acceptable cost, or at all; or</w:t>
      </w:r>
    </w:p>
    <w:p>
      <w:pPr>
        <w:spacing w:after="0" w:line="184" w:lineRule="exact"/>
        <w:rPr>
          <w:rFonts w:ascii="Arial" w:cs="Arial" w:eastAsia="Arial" w:hAnsi="Arial"/>
          <w:sz w:val="20"/>
          <w:szCs w:val="20"/>
          <w:color w:val="auto"/>
        </w:rPr>
      </w:pPr>
    </w:p>
    <w:p>
      <w:pPr>
        <w:ind w:left="1340" w:right="160" w:hanging="361"/>
        <w:spacing w:after="0" w:line="276" w:lineRule="auto"/>
        <w:tabs>
          <w:tab w:leader="none" w:pos="134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 candidates may not be accepted by patients, the medical community, healthcare providers or third-party payors.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proprietary RaniPill platform may not result in any products of commercial value.</w:t>
      </w:r>
    </w:p>
    <w:p>
      <w:pPr>
        <w:spacing w:after="0" w:line="240" w:lineRule="exact"/>
        <w:rPr>
          <w:sz w:val="20"/>
          <w:szCs w:val="20"/>
          <w:color w:val="auto"/>
        </w:rPr>
      </w:pPr>
    </w:p>
    <w:p>
      <w:pPr>
        <w:ind w:right="320" w:firstLine="979"/>
        <w:spacing w:after="0" w:line="258" w:lineRule="auto"/>
        <w:rPr>
          <w:sz w:val="20"/>
          <w:szCs w:val="20"/>
          <w:color w:val="auto"/>
        </w:rPr>
      </w:pPr>
      <w:r>
        <w:rPr>
          <w:rFonts w:ascii="Times New Roman" w:cs="Times New Roman" w:eastAsia="Times New Roman" w:hAnsi="Times New Roman"/>
          <w:sz w:val="20"/>
          <w:szCs w:val="20"/>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For multiple reasons, the RaniPill platform may not ultimately be commercially valuable, including:</w:t>
      </w:r>
    </w:p>
    <w:p>
      <w:pPr>
        <w:spacing w:after="0" w:line="254" w:lineRule="exact"/>
        <w:rPr>
          <w:sz w:val="20"/>
          <w:szCs w:val="20"/>
          <w:color w:val="auto"/>
        </w:rPr>
      </w:pPr>
    </w:p>
    <w:p>
      <w:pPr>
        <w:ind w:left="1340" w:hanging="361"/>
        <w:spacing w:after="0" w:line="276" w:lineRule="auto"/>
        <w:tabs>
          <w:tab w:leader="none" w:pos="134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RaniPill platform may not work in conjunction with our targeted biologic indications or future indications to yield product candidates that can enter clinical development;</w:t>
      </w:r>
    </w:p>
    <w:p>
      <w:pPr>
        <w:spacing w:after="0" w:line="184" w:lineRule="exact"/>
        <w:rPr>
          <w:rFonts w:ascii="Arial" w:cs="Arial" w:eastAsia="Arial" w:hAnsi="Arial"/>
          <w:sz w:val="20"/>
          <w:szCs w:val="20"/>
          <w:color w:val="auto"/>
        </w:rPr>
      </w:pPr>
    </w:p>
    <w:p>
      <w:pPr>
        <w:ind w:left="1340" w:right="580" w:hanging="361"/>
        <w:spacing w:after="0" w:line="276" w:lineRule="auto"/>
        <w:tabs>
          <w:tab w:leader="none" w:pos="134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successful in our efforts to expand the applicability of the RaniPill platform beyond our current product pipeline;</w:t>
      </w:r>
    </w:p>
    <w:p>
      <w:pPr>
        <w:spacing w:after="0" w:line="184" w:lineRule="exact"/>
        <w:rPr>
          <w:rFonts w:ascii="Arial" w:cs="Arial" w:eastAsia="Arial" w:hAnsi="Arial"/>
          <w:sz w:val="20"/>
          <w:szCs w:val="20"/>
          <w:color w:val="auto"/>
        </w:rPr>
      </w:pPr>
    </w:p>
    <w:p>
      <w:pPr>
        <w:ind w:left="1340" w:right="400" w:hanging="361"/>
        <w:spacing w:after="0" w:line="276" w:lineRule="auto"/>
        <w:tabs>
          <w:tab w:leader="none" w:pos="134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enter into licensing or partnership agreements on suitable terms to obtain and develop oral versions of biologics; and</w:t>
      </w:r>
    </w:p>
    <w:p>
      <w:pPr>
        <w:spacing w:after="0" w:line="184" w:lineRule="exact"/>
        <w:rPr>
          <w:rFonts w:ascii="Arial" w:cs="Arial" w:eastAsia="Arial" w:hAnsi="Arial"/>
          <w:sz w:val="20"/>
          <w:szCs w:val="20"/>
          <w:color w:val="auto"/>
        </w:rPr>
      </w:pPr>
    </w:p>
    <w:p>
      <w:pPr>
        <w:ind w:left="1340" w:right="560" w:hanging="361"/>
        <w:spacing w:after="0" w:line="276" w:lineRule="auto"/>
        <w:tabs>
          <w:tab w:leader="none" w:pos="134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medical community may not accept the RaniPill platform and physicians may not prescribe our products to patients, if approved.</w:t>
      </w:r>
    </w:p>
    <w:p>
      <w:pPr>
        <w:spacing w:after="0" w:line="170" w:lineRule="exact"/>
        <w:rPr>
          <w:sz w:val="20"/>
          <w:szCs w:val="20"/>
          <w:color w:val="auto"/>
        </w:rPr>
      </w:pPr>
    </w:p>
    <w:p>
      <w:pPr>
        <w:ind w:right="240" w:firstLine="979"/>
        <w:spacing w:after="0" w:line="249" w:lineRule="auto"/>
        <w:rPr>
          <w:sz w:val="20"/>
          <w:szCs w:val="20"/>
          <w:color w:val="auto"/>
        </w:rPr>
      </w:pPr>
      <w:r>
        <w:rPr>
          <w:rFonts w:ascii="Times New Roman" w:cs="Times New Roman" w:eastAsia="Times New Roman" w:hAnsi="Times New Roman"/>
          <w:sz w:val="20"/>
          <w:szCs w:val="20"/>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97" w:lineRule="exact"/>
        <w:rPr>
          <w:sz w:val="20"/>
          <w:szCs w:val="20"/>
          <w:color w:val="auto"/>
        </w:rPr>
      </w:pPr>
    </w:p>
    <w:p>
      <w:pPr>
        <w:ind w:right="120" w:firstLine="979"/>
        <w:spacing w:after="0" w:line="245" w:lineRule="auto"/>
        <w:rPr>
          <w:sz w:val="20"/>
          <w:szCs w:val="20"/>
          <w:color w:val="auto"/>
        </w:rPr>
      </w:pPr>
      <w:r>
        <w:rPr>
          <w:rFonts w:ascii="Times New Roman" w:cs="Times New Roman" w:eastAsia="Times New Roman" w:hAnsi="Times New Roman"/>
          <w:sz w:val="20"/>
          <w:szCs w:val="20"/>
          <w:color w:val="auto"/>
        </w:rPr>
        <w:t>Furthermore, certain of the product candidates contemplated by our current product pipeline may require use of the RaniPill HC, which is in preclinical testing and has not been tested clinically. There is no guarantee that we will be able to complete development of the RaniPill HC or that it will be compatible for use with product candidates or that it will achieve test results sufficient to advance it or our product candidates to later stages of development and/or commercialization,, any of which could adversely affect the commercial potential of the RaniPill platform. Additionally, to the extent we are able to develop RaniPill HC or another device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202" w:lineRule="exact"/>
        <w:rPr>
          <w:sz w:val="20"/>
          <w:szCs w:val="20"/>
          <w:color w:val="auto"/>
        </w:rPr>
      </w:pPr>
    </w:p>
    <w:p>
      <w:pPr>
        <w:ind w:right="400" w:firstLine="979"/>
        <w:spacing w:after="0" w:line="277" w:lineRule="auto"/>
        <w:rPr>
          <w:sz w:val="20"/>
          <w:szCs w:val="20"/>
          <w:color w:val="auto"/>
        </w:rPr>
      </w:pPr>
      <w:r>
        <w:rPr>
          <w:rFonts w:ascii="Times New Roman" w:cs="Times New Roman" w:eastAsia="Times New Roman" w:hAnsi="Times New Roman"/>
          <w:sz w:val="20"/>
          <w:szCs w:val="20"/>
          <w:color w:val="auto"/>
        </w:rPr>
        <w:t>As a result of a failure in any one of these factors, our business, financial condition and results of operations could be adversely affected.</w:t>
      </w:r>
    </w:p>
    <w:p>
      <w:pPr>
        <w:sectPr>
          <w:pgSz w:w="12240" w:h="15840" w:orient="portrait"/>
          <w:cols w:equalWidth="0" w:num="1">
            <w:col w:w="10760"/>
          </w:cols>
          <w:pgMar w:left="720" w:top="94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760"/>
          </w:cols>
          <w:pgMar w:left="720" w:top="944" w:right="760" w:bottom="0" w:gutter="0" w:footer="0" w:header="0"/>
          <w:type w:val="continuous"/>
        </w:sectPr>
      </w:pPr>
    </w:p>
    <w:bookmarkStart w:id="64" w:name="page65"/>
    <w:bookmarkEnd w:id="64"/>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169" w:lineRule="exact"/>
        <w:rPr>
          <w:sz w:val="20"/>
          <w:szCs w:val="20"/>
          <w:color w:val="auto"/>
        </w:rPr>
      </w:pPr>
    </w:p>
    <w:p>
      <w:pPr>
        <w:ind w:right="20" w:firstLine="979"/>
        <w:spacing w:after="0" w:line="242" w:lineRule="auto"/>
        <w:rPr>
          <w:sz w:val="20"/>
          <w:szCs w:val="20"/>
          <w:color w:val="auto"/>
        </w:rPr>
      </w:pPr>
      <w:r>
        <w:rPr>
          <w:rFonts w:ascii="Times New Roman" w:cs="Times New Roman" w:eastAsia="Times New Roman" w:hAnsi="Times New Roman"/>
          <w:sz w:val="20"/>
          <w:szCs w:val="20"/>
          <w:color w:val="auto"/>
        </w:rPr>
        <w:t>RaniPill HC is in early stages of development, and it is subject to the inherent risks and uncertainties of developing a novel, innovative potential technology. Development of a new delivery device is time-consuming and costly, and could distract the attention of our management or other employee resources from our existing and future business. Our efforts to develop RaniPill HC may not be successful or RaniPill HC may require modifications that could limit its utility or viability as an oral delivery device. We may not be able to complete development of RaniPill HC in a timely manner, or at all, or such development may require an amount of time and resource that we are not able to devote to it or believe is not warranted based on the estimated benefits. The potential value of RaniPill HC may never be realized for a variety of reasons, including that we are not able to successfully develop RaniPill HC, third parties develop competitive technologies or products similar to or more effective or attractive than RaniPill HC, we are not able to develop manufacturing processes to produce RaniPill HC consistently and reliably or within a cost range that makes RaniPill HC products commercially viable. Any such factor could reduce or eliminate the potential value of RaniPill HC or product candidates that could be developed using RaniPill HC. In addition, while we currently expect that RaniPill HC will be able to leverage many of the same components and manufacturing processes as are used for our existing delivery device, it may turn out that such components or manufacturing processes are not suited for RaniPill HC or RaniPill HC may require modifications that negatively affect our ability to use common components or processes between the RaniPill GO and RaniPill HC. Any of the foregoing factors or circumstances may adversely affect our business prospects, our attractiveness as a business partner or collaborator, our ability to raise additional capital, and our financial results.</w:t>
      </w:r>
    </w:p>
    <w:p>
      <w:pPr>
        <w:spacing w:after="0" w:line="209" w:lineRule="exact"/>
        <w:rPr>
          <w:sz w:val="20"/>
          <w:szCs w:val="20"/>
          <w:color w:val="auto"/>
        </w:rPr>
      </w:pPr>
    </w:p>
    <w:p>
      <w:pPr>
        <w:ind w:right="1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69"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216" w:lineRule="exact"/>
        <w:rPr>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delay or termination of clinical studies;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initiation of investigations by regulators;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costs to defend the related litigation;</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a diversion of management’s time and our resources;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our product candidates;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 from product sales; and</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of our product candidates, if approved.</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930" w:right="720" w:bottom="0" w:gutter="0" w:footer="0" w:header="0"/>
          <w:type w:val="continuous"/>
        </w:sectPr>
      </w:pPr>
    </w:p>
    <w:bookmarkStart w:id="65" w:name="page66"/>
    <w:bookmarkEnd w:id="65"/>
    <w:p>
      <w:pPr>
        <w:ind w:firstLine="979"/>
        <w:spacing w:after="0" w:line="246" w:lineRule="auto"/>
        <w:rPr>
          <w:sz w:val="20"/>
          <w:szCs w:val="20"/>
          <w:color w:val="auto"/>
        </w:rPr>
      </w:pPr>
      <w:r>
        <w:rPr>
          <w:rFonts w:ascii="Times New Roman" w:cs="Times New Roman" w:eastAsia="Times New Roman" w:hAnsi="Times New Roman"/>
          <w:sz w:val="20"/>
          <w:szCs w:val="20"/>
          <w:color w:val="auto"/>
        </w:rPr>
        <w:t>Our inability to obtain and retain sufficient product liability insurance at an acceptable cost to protect against potential product liability claims could prevent or inhibit the development or commercialization of our product candidates. Although we maintain clinical trial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88"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ingredients or drug substances for the biologics of our product candidates.</w:t>
      </w:r>
    </w:p>
    <w:p>
      <w:pPr>
        <w:spacing w:after="0" w:line="202" w:lineRule="exact"/>
        <w:rPr>
          <w:sz w:val="20"/>
          <w:szCs w:val="20"/>
          <w:color w:val="auto"/>
        </w:rPr>
      </w:pPr>
    </w:p>
    <w:p>
      <w:pPr>
        <w:ind w:right="120" w:firstLine="979"/>
        <w:spacing w:after="0" w:line="244" w:lineRule="auto"/>
        <w:rPr>
          <w:sz w:val="20"/>
          <w:szCs w:val="20"/>
          <w:color w:val="auto"/>
        </w:rPr>
      </w:pPr>
      <w:r>
        <w:rPr>
          <w:rFonts w:ascii="Times New Roman" w:cs="Times New Roman" w:eastAsia="Times New Roman" w:hAnsi="Times New Roman"/>
          <w:sz w:val="20"/>
          <w:szCs w:val="20"/>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We or third-party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202" w:lineRule="exact"/>
        <w:rPr>
          <w:sz w:val="20"/>
          <w:szCs w:val="20"/>
          <w:color w:val="auto"/>
        </w:rPr>
      </w:pPr>
    </w:p>
    <w:p>
      <w:pPr>
        <w:ind w:right="20" w:firstLine="979"/>
        <w:spacing w:after="0" w:line="245" w:lineRule="auto"/>
        <w:rPr>
          <w:sz w:val="20"/>
          <w:szCs w:val="20"/>
          <w:color w:val="auto"/>
        </w:rPr>
      </w:pPr>
      <w:r>
        <w:rPr>
          <w:rFonts w:ascii="Times New Roman" w:cs="Times New Roman" w:eastAsia="Times New Roman" w:hAnsi="Times New Roman"/>
          <w:sz w:val="20"/>
          <w:szCs w:val="20"/>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202"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Furthermore, in order to obtain approval of our product candidates by the FDA and comparable foreign regulatory authorities, we will be required to consistently produce our formulation of the API or drug substance, and the finished product in commercial quantities and of specified quality on a repeated basis and document our ability to do so. This requirement is referred to as process validation. Each of our potential API and drug substance suppliers will likely use a different method to manufacture API or drug substance,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206" w:lineRule="exact"/>
        <w:rPr>
          <w:sz w:val="20"/>
          <w:szCs w:val="20"/>
          <w:color w:val="auto"/>
        </w:rPr>
      </w:pPr>
    </w:p>
    <w:p>
      <w:pPr>
        <w:ind w:right="540" w:firstLine="979"/>
        <w:spacing w:after="0" w:line="258" w:lineRule="auto"/>
        <w:rPr>
          <w:sz w:val="20"/>
          <w:szCs w:val="20"/>
          <w:color w:val="auto"/>
        </w:rPr>
      </w:pPr>
      <w:r>
        <w:rPr>
          <w:rFonts w:ascii="Times New Roman" w:cs="Times New Roman" w:eastAsia="Times New Roman" w:hAnsi="Times New Roman"/>
          <w:sz w:val="20"/>
          <w:szCs w:val="20"/>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930" w:right="720" w:bottom="0" w:gutter="0" w:footer="0" w:header="0"/>
          <w:type w:val="continuous"/>
        </w:sectPr>
      </w:pPr>
    </w:p>
    <w:bookmarkStart w:id="66" w:name="page67"/>
    <w:bookmarkEnd w:id="66"/>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As a vertically-integrated manufacturer of a novel oral delivery technology, we may require significant time to develop manufacturing operations and processes capable of producing safe and reliable product at sufficient scale to meet business needs, if we are able to do so at all.</w:t>
      </w:r>
    </w:p>
    <w:p>
      <w:pPr>
        <w:spacing w:after="0" w:line="188" w:lineRule="exact"/>
        <w:rPr>
          <w:sz w:val="20"/>
          <w:szCs w:val="20"/>
          <w:color w:val="auto"/>
        </w:rPr>
      </w:pPr>
    </w:p>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Since our RaniPill capsule employs novel technologies, we manufacture many of the components and have customized equipment needed for manufacturing the RaniPill capsule and we are required to develop novel manufacturing processes. This requires the development of new methods and know-how, as well as specifications and testing appropriate for manufacture of the RaniPill capsule. It may take significant time to develop manufacturing operations and processes capable of producing safe and reliable product at sufficient scale to meet business needs, if we are able to do so at all. We may find that certain materials used for the RaniPill capsule are not suitable for use with some or any product candidates, that certain processes as designed do not perform as intended and must be re-designed, or that certain operations as currently performed cannot be scaled up or automated as planned or at all. Even if we are able to develop manufacturing operations and processes that perform as we intend, the FDA, EMA or other regulatory authorities or potential collaboration partners may not deem such operations or processes to be acceptable, in which event we may need to change such operations, processes, specifications or testing or develop new operations, processes, specifications or testing, which may result in delays in or adversely affect the development or potential approval of product candidates or the negotiation or completion of third party collaboration arrangements, or require us to divert resources and attention from our product candidates or other business opportunities. Any such event could have a material adverse impact on our business.</w:t>
      </w:r>
    </w:p>
    <w:p>
      <w:pPr>
        <w:spacing w:after="0" w:line="20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directly or indirectly, to federal and state healthcare fraud and abuse laws, false claims laws health information privacy and security laws, and other healthcare laws and regulations. Violations of such laws and regulations could subject us to significant penalties.</w:t>
      </w:r>
    </w:p>
    <w:p>
      <w:pPr>
        <w:spacing w:after="0" w:line="188"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We may be subject, directly or indirectly, to federal and state healthcare fraud and abuse laws, false claims laws data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220" w:lineRule="exact"/>
        <w:rPr>
          <w:sz w:val="20"/>
          <w:szCs w:val="20"/>
          <w:color w:val="auto"/>
        </w:rPr>
      </w:pPr>
    </w:p>
    <w:p>
      <w:pPr>
        <w:ind w:left="1340" w:right="120" w:hanging="361"/>
        <w:spacing w:after="0" w:line="247" w:lineRule="auto"/>
        <w:tabs>
          <w:tab w:leader="none" w:pos="13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w:t>
      </w:r>
    </w:p>
    <w:p>
      <w:pPr>
        <w:spacing w:after="0" w:line="213" w:lineRule="exact"/>
        <w:rPr>
          <w:rFonts w:ascii="Arial" w:cs="Arial" w:eastAsia="Arial" w:hAnsi="Arial"/>
          <w:sz w:val="20"/>
          <w:szCs w:val="20"/>
          <w:color w:val="auto"/>
        </w:rPr>
      </w:pPr>
    </w:p>
    <w:p>
      <w:pPr>
        <w:ind w:left="1340" w:right="120" w:hanging="361"/>
        <w:spacing w:after="0" w:line="244" w:lineRule="auto"/>
        <w:tabs>
          <w:tab w:leader="none" w:pos="13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215" w:lineRule="exact"/>
        <w:rPr>
          <w:rFonts w:ascii="Arial" w:cs="Arial" w:eastAsia="Arial" w:hAnsi="Arial"/>
          <w:sz w:val="20"/>
          <w:szCs w:val="20"/>
          <w:color w:val="auto"/>
        </w:rPr>
      </w:pPr>
    </w:p>
    <w:p>
      <w:pPr>
        <w:ind w:left="1340" w:right="20" w:hanging="361"/>
        <w:spacing w:after="0" w:line="244" w:lineRule="auto"/>
        <w:tabs>
          <w:tab w:leader="none" w:pos="13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930" w:right="720" w:bottom="0" w:gutter="0" w:footer="0" w:header="0"/>
          <w:type w:val="continuous"/>
        </w:sectPr>
      </w:pPr>
    </w:p>
    <w:bookmarkStart w:id="67" w:name="page68"/>
    <w:bookmarkEnd w:id="67"/>
    <w:p>
      <w:pPr>
        <w:ind w:left="1340" w:right="20" w:hanging="361"/>
        <w:spacing w:after="0" w:line="244" w:lineRule="auto"/>
        <w:tabs>
          <w:tab w:leader="none" w:pos="13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18" w:lineRule="exact"/>
        <w:rPr>
          <w:rFonts w:ascii="Arial" w:cs="Arial" w:eastAsia="Arial" w:hAnsi="Arial"/>
          <w:sz w:val="20"/>
          <w:szCs w:val="20"/>
          <w:color w:val="auto"/>
        </w:rPr>
      </w:pPr>
    </w:p>
    <w:p>
      <w:pPr>
        <w:ind w:left="1340" w:right="200" w:hanging="361"/>
        <w:spacing w:after="0" w:line="252" w:lineRule="auto"/>
        <w:tabs>
          <w:tab w:leader="none" w:pos="13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207" w:lineRule="exact"/>
        <w:rPr>
          <w:rFonts w:ascii="Arial" w:cs="Arial" w:eastAsia="Arial" w:hAnsi="Arial"/>
          <w:sz w:val="20"/>
          <w:szCs w:val="20"/>
          <w:color w:val="auto"/>
        </w:rPr>
      </w:pPr>
    </w:p>
    <w:p>
      <w:pPr>
        <w:ind w:left="1340" w:right="220" w:hanging="361"/>
        <w:spacing w:after="0" w:line="246" w:lineRule="auto"/>
        <w:tabs>
          <w:tab w:leader="none" w:pos="13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and other “transfers of value” made to physicians (defined to include doctors, dentists, optometrists, podiatrists and chiropractors), other healthcare professionals (such as physician assistants and nurse practitioners), and teaching hospitals, and requires applicable manufacturers to report annually to the government ownership and investment interests held by the physicians described above and their immediate family members; and</w:t>
      </w:r>
    </w:p>
    <w:p>
      <w:pPr>
        <w:spacing w:after="0" w:line="213" w:lineRule="exact"/>
        <w:rPr>
          <w:rFonts w:ascii="Arial" w:cs="Arial" w:eastAsia="Arial" w:hAnsi="Arial"/>
          <w:sz w:val="20"/>
          <w:szCs w:val="20"/>
          <w:color w:val="auto"/>
        </w:rPr>
      </w:pPr>
    </w:p>
    <w:p>
      <w:pPr>
        <w:ind w:left="1340" w:right="40" w:hanging="361"/>
        <w:spacing w:after="0" w:line="244" w:lineRule="auto"/>
        <w:tabs>
          <w:tab w:leader="none" w:pos="13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data privacy and security of health information in some circumstances, many of which differ from each other in significant ways and often are not preempted by HIPAA, thus complicating compliance efforts.</w:t>
      </w:r>
    </w:p>
    <w:p>
      <w:pPr>
        <w:spacing w:after="0" w:line="205" w:lineRule="exact"/>
        <w:rPr>
          <w:sz w:val="20"/>
          <w:szCs w:val="20"/>
          <w:color w:val="auto"/>
        </w:rPr>
      </w:pPr>
    </w:p>
    <w:p>
      <w:pPr>
        <w:ind w:right="60" w:firstLine="979"/>
        <w:spacing w:after="0" w:line="244" w:lineRule="auto"/>
        <w:rPr>
          <w:sz w:val="20"/>
          <w:szCs w:val="20"/>
          <w:color w:val="auto"/>
        </w:rPr>
      </w:pPr>
      <w:r>
        <w:rPr>
          <w:rFonts w:ascii="Times New Roman" w:cs="Times New Roman" w:eastAsia="Times New Roman" w:hAnsi="Times New Roman"/>
          <w:sz w:val="20"/>
          <w:szCs w:val="20"/>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202"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200"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ectPr>
          <w:pgSz w:w="12240" w:h="15840" w:orient="portrait"/>
          <w:cols w:equalWidth="0" w:num="1">
            <w:col w:w="10800"/>
          </w:cols>
          <w:pgMar w:left="720" w:top="944" w:right="72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944" w:right="720" w:bottom="0" w:gutter="0" w:footer="0" w:header="0"/>
          <w:type w:val="continuous"/>
        </w:sectPr>
      </w:pPr>
    </w:p>
    <w:bookmarkStart w:id="68" w:name="page69"/>
    <w:bookmarkEnd w:id="68"/>
    <w:p>
      <w:pPr>
        <w:ind w:right="10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69" w:lineRule="exact"/>
        <w:rPr>
          <w:sz w:val="20"/>
          <w:szCs w:val="20"/>
          <w:color w:val="auto"/>
        </w:rPr>
      </w:pPr>
    </w:p>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94"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The ACA, among other things,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209" w:lineRule="exact"/>
        <w:rPr>
          <w:sz w:val="20"/>
          <w:szCs w:val="20"/>
          <w:color w:val="auto"/>
        </w:rPr>
      </w:pPr>
    </w:p>
    <w:p>
      <w:pPr>
        <w:ind w:right="20" w:firstLine="979"/>
        <w:spacing w:after="0" w:line="258" w:lineRule="auto"/>
        <w:rPr>
          <w:sz w:val="20"/>
          <w:szCs w:val="20"/>
          <w:color w:val="auto"/>
        </w:rPr>
      </w:pPr>
      <w:r>
        <w:rPr>
          <w:rFonts w:ascii="Times New Roman" w:cs="Times New Roman" w:eastAsia="Times New Roman" w:hAnsi="Times New Roman"/>
          <w:sz w:val="20"/>
          <w:szCs w:val="20"/>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w:t>
      </w:r>
    </w:p>
    <w:p>
      <w:pPr>
        <w:spacing w:after="0" w:line="188"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Moreover, prior to the U.S. Supreme Court ruling, on January 28, 2021, President Biden issued an executive order that initiated a special enrollment period coverage through the Affordable Care Act marketplace, and instructed certain governmental agencies to review and reconsider their existing policies and rules that limit access to healthcare.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w:t>
      </w:r>
    </w:p>
    <w:p>
      <w:pPr>
        <w:spacing w:after="0" w:line="202" w:lineRule="exact"/>
        <w:rPr>
          <w:sz w:val="20"/>
          <w:szCs w:val="20"/>
          <w:color w:val="auto"/>
        </w:rPr>
      </w:pPr>
    </w:p>
    <w:p>
      <w:pPr>
        <w:ind w:right="60" w:firstLine="979"/>
        <w:spacing w:after="0" w:line="249"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including the Infrastructure Investment and Jobs Act, will remain in effect through 2031 unless additional action is taken by Congress. Further, Congress is considering additional health reform measures.</w:t>
      </w:r>
    </w:p>
    <w:p>
      <w:pPr>
        <w:spacing w:after="0" w:line="197" w:lineRule="exact"/>
        <w:rPr>
          <w:sz w:val="20"/>
          <w:szCs w:val="20"/>
          <w:color w:val="auto"/>
        </w:rPr>
      </w:pPr>
    </w:p>
    <w:p>
      <w:pPr>
        <w:ind w:right="20" w:firstLine="979"/>
        <w:spacing w:after="0" w:line="243" w:lineRule="auto"/>
        <w:rPr>
          <w:sz w:val="20"/>
          <w:szCs w:val="20"/>
          <w:color w:val="auto"/>
        </w:rPr>
      </w:pPr>
      <w:r>
        <w:rPr>
          <w:rFonts w:ascii="Times New Roman" w:cs="Times New Roman" w:eastAsia="Times New Roman" w:hAnsi="Times New Roman"/>
          <w:sz w:val="20"/>
          <w:szCs w:val="20"/>
          <w:color w:val="auto"/>
        </w:rPr>
        <w:t>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single-source drugs and biologics covered under Medicare and (ii)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930" w:right="720" w:bottom="0" w:gutter="0" w:footer="0" w:header="0"/>
          <w:type w:val="continuous"/>
        </w:sectPr>
      </w:pPr>
    </w:p>
    <w:bookmarkStart w:id="69" w:name="page70"/>
    <w:bookmarkEnd w:id="69"/>
    <w:p>
      <w:pPr>
        <w:spacing w:after="0" w:line="242" w:lineRule="auto"/>
        <w:rPr>
          <w:sz w:val="20"/>
          <w:szCs w:val="20"/>
          <w:color w:val="auto"/>
        </w:rPr>
      </w:pPr>
      <w:r>
        <w:rPr>
          <w:rFonts w:ascii="Times New Roman" w:cs="Times New Roman" w:eastAsia="Times New Roman" w:hAnsi="Times New Roman"/>
          <w:sz w:val="20"/>
          <w:szCs w:val="20"/>
          <w:color w:val="auto"/>
        </w:rPr>
        <w:t>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The implementation of cost containment measures or other healthcare reforms may prevent us from being able to generate revenue, attain profitability, or commercialize our product candidates, if approved.</w:t>
      </w:r>
    </w:p>
    <w:p>
      <w:pPr>
        <w:spacing w:after="0" w:line="209" w:lineRule="exact"/>
        <w:rPr>
          <w:sz w:val="20"/>
          <w:szCs w:val="20"/>
          <w:color w:val="auto"/>
        </w:rPr>
      </w:pPr>
    </w:p>
    <w:p>
      <w:pPr>
        <w:jc w:val="both"/>
        <w:ind w:right="200" w:firstLine="979"/>
        <w:spacing w:after="0" w:line="258" w:lineRule="auto"/>
        <w:rPr>
          <w:sz w:val="20"/>
          <w:szCs w:val="20"/>
          <w:color w:val="auto"/>
        </w:rPr>
      </w:pPr>
      <w:r>
        <w:rPr>
          <w:rFonts w:ascii="Times New Roman" w:cs="Times New Roman" w:eastAsia="Times New Roman" w:hAnsi="Times New Roman"/>
          <w:sz w:val="20"/>
          <w:szCs w:val="20"/>
          <w:color w:val="auto"/>
        </w:rPr>
        <w:t>We expect that additional state and federal healthcare reform measures will be adopted in the future, any of which could limit the amounts that federal and state governments will pay for healthcare therapies, which could result in reduced demand for our product candidates or additional pricing pressures.</w:t>
      </w:r>
    </w:p>
    <w:p>
      <w:pPr>
        <w:spacing w:after="0" w:line="188" w:lineRule="exact"/>
        <w:rPr>
          <w:sz w:val="20"/>
          <w:szCs w:val="20"/>
          <w:color w:val="auto"/>
        </w:rPr>
      </w:pPr>
    </w:p>
    <w:p>
      <w:pPr>
        <w:ind w:right="400" w:firstLine="979"/>
        <w:spacing w:after="0" w:line="247" w:lineRule="auto"/>
        <w:rPr>
          <w:sz w:val="20"/>
          <w:szCs w:val="20"/>
          <w:color w:val="auto"/>
        </w:rPr>
      </w:pPr>
      <w:r>
        <w:rPr>
          <w:rFonts w:ascii="Times New Roman" w:cs="Times New Roman" w:eastAsia="Times New Roman" w:hAnsi="Times New Roman"/>
          <w:sz w:val="20"/>
          <w:szCs w:val="20"/>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Governments outside the United States tend to impose strict price controls, which may adversely affect our revenues, if any.</w:t>
      </w:r>
    </w:p>
    <w:p>
      <w:pPr>
        <w:spacing w:after="0" w:line="240" w:lineRule="exact"/>
        <w:rPr>
          <w:sz w:val="20"/>
          <w:szCs w:val="20"/>
          <w:color w:val="auto"/>
        </w:rPr>
      </w:pPr>
    </w:p>
    <w:p>
      <w:pPr>
        <w:ind w:right="80" w:firstLine="979"/>
        <w:spacing w:after="0" w:line="244" w:lineRule="auto"/>
        <w:rPr>
          <w:sz w:val="20"/>
          <w:szCs w:val="20"/>
          <w:color w:val="auto"/>
        </w:rPr>
      </w:pPr>
      <w:r>
        <w:rPr>
          <w:rFonts w:ascii="Times New Roman" w:cs="Times New Roman" w:eastAsia="Times New Roman" w:hAnsi="Times New Roman"/>
          <w:sz w:val="20"/>
          <w:szCs w:val="20"/>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202" w:lineRule="exact"/>
        <w:rPr>
          <w:sz w:val="20"/>
          <w:szCs w:val="20"/>
          <w:color w:val="auto"/>
        </w:rPr>
      </w:pPr>
    </w:p>
    <w:p>
      <w:pPr>
        <w:jc w:val="both"/>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88" w:lineRule="exact"/>
        <w:rPr>
          <w:sz w:val="20"/>
          <w:szCs w:val="20"/>
          <w:color w:val="auto"/>
        </w:rPr>
      </w:pPr>
    </w:p>
    <w:p>
      <w:pPr>
        <w:ind w:right="180" w:firstLine="979"/>
        <w:spacing w:after="0" w:line="244" w:lineRule="auto"/>
        <w:rPr>
          <w:sz w:val="20"/>
          <w:szCs w:val="20"/>
          <w:color w:val="auto"/>
        </w:rPr>
      </w:pPr>
      <w:r>
        <w:rPr>
          <w:rFonts w:ascii="Times New Roman" w:cs="Times New Roman" w:eastAsia="Times New Roman" w:hAnsi="Times New Roman"/>
          <w:sz w:val="20"/>
          <w:szCs w:val="20"/>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existing senior management team.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800"/>
          </w:cols>
          <w:pgMar w:left="720" w:top="930" w:right="720" w:bottom="0" w:gutter="0" w:footer="0" w:header="0"/>
          <w:type w:val="continuous"/>
        </w:sectPr>
      </w:pPr>
    </w:p>
    <w:bookmarkStart w:id="70" w:name="page71"/>
    <w:bookmarkEnd w:id="70"/>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will need to expand the size of our organization, and we may experience difficulties in managing this growth.</w:t>
      </w:r>
    </w:p>
    <w:p>
      <w:pPr>
        <w:spacing w:after="0" w:line="240" w:lineRule="exact"/>
        <w:rPr>
          <w:sz w:val="20"/>
          <w:szCs w:val="20"/>
          <w:color w:val="auto"/>
        </w:rPr>
      </w:pPr>
    </w:p>
    <w:p>
      <w:pPr>
        <w:ind w:right="160" w:firstLine="979"/>
        <w:spacing w:after="0" w:line="258" w:lineRule="auto"/>
        <w:rPr>
          <w:sz w:val="20"/>
          <w:szCs w:val="20"/>
          <w:color w:val="auto"/>
        </w:rPr>
      </w:pPr>
      <w:r>
        <w:rPr>
          <w:rFonts w:ascii="Times New Roman" w:cs="Times New Roman" w:eastAsia="Times New Roman" w:hAnsi="Times New Roman"/>
          <w:sz w:val="20"/>
          <w:szCs w:val="20"/>
          <w:color w:val="auto"/>
        </w:rPr>
        <w:t>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203" w:lineRule="exact"/>
        <w:rPr>
          <w:sz w:val="20"/>
          <w:szCs w:val="20"/>
          <w:color w:val="auto"/>
        </w:rPr>
      </w:pPr>
    </w:p>
    <w:p>
      <w:pPr>
        <w:ind w:left="1340" w:hanging="361"/>
        <w:spacing w:after="0"/>
        <w:tabs>
          <w:tab w:leader="none" w:pos="13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designing and managing our clinical trials effectively;</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recruiting, maintaining, motivating and integrating additional employees;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manufacturing and development efforts effectively;</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improving our managerial, development, operational and financial systems and controls; and</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our facilities.</w:t>
      </w:r>
    </w:p>
    <w:p>
      <w:pPr>
        <w:spacing w:after="0" w:line="239"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Although in November 2023 we underwent a reduction in our workforce and paused or discontinued certain programs, we are continuing development of other programs and expanding our manufacturing footprint to support scale-up and automation. At such time 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200"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69"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214" w:lineRule="exact"/>
        <w:rPr>
          <w:sz w:val="20"/>
          <w:szCs w:val="20"/>
          <w:color w:val="auto"/>
        </w:rPr>
      </w:pPr>
    </w:p>
    <w:p>
      <w:pPr>
        <w:ind w:left="1340" w:hanging="361"/>
        <w:spacing w:after="0"/>
        <w:tabs>
          <w:tab w:leader="none" w:pos="13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our available capital resources or capital constraints we experience;</w:t>
      </w:r>
    </w:p>
    <w:p>
      <w:pPr>
        <w:spacing w:after="0" w:line="253" w:lineRule="exact"/>
        <w:rPr>
          <w:rFonts w:ascii="Arial" w:cs="Arial" w:eastAsia="Arial" w:hAnsi="Arial"/>
          <w:sz w:val="20"/>
          <w:szCs w:val="20"/>
          <w:color w:val="auto"/>
        </w:rPr>
      </w:pPr>
    </w:p>
    <w:p>
      <w:pPr>
        <w:ind w:left="1340" w:right="380" w:hanging="361"/>
        <w:spacing w:after="0" w:line="258" w:lineRule="auto"/>
        <w:tabs>
          <w:tab w:leader="none" w:pos="13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our receipt of approvals by the FDA and comparable foreign regulatory authorities and the timing thereof;</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other actions, decisions or rules issued by regulators;</w:t>
      </w:r>
    </w:p>
    <w:p>
      <w:pPr>
        <w:spacing w:after="0" w:line="253" w:lineRule="exact"/>
        <w:rPr>
          <w:rFonts w:ascii="Arial" w:cs="Arial" w:eastAsia="Arial" w:hAnsi="Arial"/>
          <w:sz w:val="20"/>
          <w:szCs w:val="20"/>
          <w:color w:val="auto"/>
        </w:rPr>
      </w:pPr>
    </w:p>
    <w:p>
      <w:pPr>
        <w:ind w:left="1340" w:right="100" w:hanging="361"/>
        <w:spacing w:after="0" w:line="276" w:lineRule="auto"/>
        <w:tabs>
          <w:tab w:leader="none" w:pos="13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access sufficient, reliable and affordable supplies of compounds used in the manufacture of our product candidates;</w:t>
      </w:r>
    </w:p>
    <w:p>
      <w:pPr>
        <w:spacing w:after="0" w:line="184" w:lineRule="exact"/>
        <w:rPr>
          <w:rFonts w:ascii="Arial" w:cs="Arial" w:eastAsia="Arial" w:hAnsi="Arial"/>
          <w:sz w:val="20"/>
          <w:szCs w:val="20"/>
          <w:color w:val="auto"/>
        </w:rPr>
      </w:pPr>
    </w:p>
    <w:p>
      <w:pPr>
        <w:ind w:left="1340" w:right="60" w:hanging="361"/>
        <w:spacing w:after="0" w:line="276" w:lineRule="auto"/>
        <w:tabs>
          <w:tab w:leader="none" w:pos="13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suppliers to reliably provide the quantity of materials needed to manufacture and commercialize our products;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930" w:right="720" w:bottom="0" w:gutter="0" w:footer="0" w:header="0"/>
          <w:type w:val="continuous"/>
        </w:sectPr>
      </w:pPr>
    </w:p>
    <w:bookmarkStart w:id="71" w:name="page72"/>
    <w:bookmarkEnd w:id="71"/>
    <w:p>
      <w:pPr>
        <w:ind w:left="1340" w:right="200" w:hanging="361"/>
        <w:spacing w:after="0" w:line="276" w:lineRule="auto"/>
        <w:tabs>
          <w:tab w:leader="none" w:pos="13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non-occurrence of adverse events or serious adverse events in preclinical studies or clinical trials of our product candidates;</w:t>
      </w:r>
    </w:p>
    <w:p>
      <w:pPr>
        <w:spacing w:after="0" w:line="184" w:lineRule="exact"/>
        <w:rPr>
          <w:rFonts w:ascii="Arial" w:cs="Arial" w:eastAsia="Arial" w:hAnsi="Arial"/>
          <w:sz w:val="20"/>
          <w:szCs w:val="20"/>
          <w:color w:val="auto"/>
        </w:rPr>
      </w:pPr>
    </w:p>
    <w:p>
      <w:pPr>
        <w:ind w:left="1340" w:right="620" w:hanging="361"/>
        <w:spacing w:after="0" w:line="276" w:lineRule="auto"/>
        <w:tabs>
          <w:tab w:leader="none" w:pos="13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efforts of our collaborators and the success of our own efforts with respect to the commercialization of our products; and</w:t>
      </w:r>
    </w:p>
    <w:p>
      <w:pPr>
        <w:spacing w:after="0" w:line="184" w:lineRule="exact"/>
        <w:rPr>
          <w:rFonts w:ascii="Arial" w:cs="Arial" w:eastAsia="Arial" w:hAnsi="Arial"/>
          <w:sz w:val="20"/>
          <w:szCs w:val="20"/>
          <w:color w:val="auto"/>
        </w:rPr>
      </w:pPr>
    </w:p>
    <w:p>
      <w:pPr>
        <w:ind w:left="1340" w:right="620" w:hanging="361"/>
        <w:spacing w:after="0" w:line="276" w:lineRule="auto"/>
        <w:tabs>
          <w:tab w:leader="none" w:pos="13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securing of, costs related to, and timing issues associated with, product manufacturing, including scale and automation processes, as well as sales and marketing activities.</w:t>
      </w:r>
    </w:p>
    <w:p>
      <w:pPr>
        <w:spacing w:after="0" w:line="170" w:lineRule="exact"/>
        <w:rPr>
          <w:sz w:val="20"/>
          <w:szCs w:val="20"/>
          <w:color w:val="auto"/>
        </w:rPr>
      </w:pPr>
    </w:p>
    <w:p>
      <w:pPr>
        <w:ind w:right="160" w:firstLine="979"/>
        <w:spacing w:after="0" w:line="277" w:lineRule="auto"/>
        <w:rPr>
          <w:sz w:val="20"/>
          <w:szCs w:val="20"/>
          <w:color w:val="auto"/>
        </w:rPr>
      </w:pPr>
      <w:r>
        <w:rPr>
          <w:rFonts w:ascii="Times New Roman" w:cs="Times New Roman" w:eastAsia="Times New Roman" w:hAnsi="Times New Roman"/>
          <w:sz w:val="20"/>
          <w:szCs w:val="20"/>
          <w:color w:val="auto"/>
        </w:rPr>
        <w:t>If we fail to achieve announced milestones in the timeframes we announce and expect, our stock price may decrease, the commercialization of our product candidates may be delayed and our business and results of operations may be harmed.</w:t>
      </w:r>
    </w:p>
    <w:p>
      <w:pPr>
        <w:spacing w:after="0" w:line="16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engage in strategic transactions that could impact our liquidity, increase our expenses and present significant distractions to our management.</w:t>
      </w:r>
    </w:p>
    <w:p>
      <w:pPr>
        <w:spacing w:after="0" w:line="169" w:lineRule="exact"/>
        <w:rPr>
          <w:sz w:val="20"/>
          <w:szCs w:val="20"/>
          <w:color w:val="auto"/>
        </w:rPr>
      </w:pPr>
    </w:p>
    <w:p>
      <w:pPr>
        <w:ind w:right="60" w:firstLine="979"/>
        <w:spacing w:after="0" w:line="243" w:lineRule="auto"/>
        <w:rPr>
          <w:sz w:val="20"/>
          <w:szCs w:val="20"/>
          <w:color w:val="auto"/>
        </w:rPr>
      </w:pPr>
      <w:r>
        <w:rPr>
          <w:rFonts w:ascii="Times New Roman" w:cs="Times New Roman" w:eastAsia="Times New Roman" w:hAnsi="Times New Roman"/>
          <w:sz w:val="20"/>
          <w:szCs w:val="20"/>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206"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insurance policies are expensive and only protect us from some business risks, which will leave us exposed to significant uninsured liabilities.</w:t>
      </w:r>
    </w:p>
    <w:p>
      <w:pPr>
        <w:spacing w:after="0" w:line="169" w:lineRule="exact"/>
        <w:rPr>
          <w:sz w:val="20"/>
          <w:szCs w:val="20"/>
          <w:color w:val="auto"/>
        </w:rPr>
      </w:pPr>
    </w:p>
    <w:p>
      <w:pPr>
        <w:ind w:right="20" w:firstLine="979"/>
        <w:spacing w:after="0" w:line="252" w:lineRule="auto"/>
        <w:rPr>
          <w:sz w:val="20"/>
          <w:szCs w:val="20"/>
          <w:color w:val="auto"/>
        </w:rPr>
      </w:pPr>
      <w:r>
        <w:rPr>
          <w:rFonts w:ascii="Times New Roman" w:cs="Times New Roman" w:eastAsia="Times New Roman" w:hAnsi="Times New Roman"/>
          <w:sz w:val="20"/>
          <w:szCs w:val="20"/>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9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9"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0" w:lineRule="exact"/>
        <w:rPr>
          <w:sz w:val="20"/>
          <w:szCs w:val="20"/>
          <w:color w:val="auto"/>
        </w:rPr>
      </w:pPr>
    </w:p>
    <w:p>
      <w:pPr>
        <w:ind w:right="20" w:firstLine="979"/>
        <w:spacing w:after="0" w:line="247"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ectPr>
          <w:pgSz w:w="12240" w:h="15840" w:orient="portrait"/>
          <w:cols w:equalWidth="0" w:num="1">
            <w:col w:w="10780"/>
          </w:cols>
          <w:pgMar w:left="720" w:top="94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780"/>
          </w:cols>
          <w:pgMar w:left="720" w:top="944" w:right="740" w:bottom="0" w:gutter="0" w:footer="0" w:header="0"/>
          <w:type w:val="continuous"/>
        </w:sectPr>
      </w:pPr>
    </w:p>
    <w:bookmarkStart w:id="72" w:name="page73"/>
    <w:bookmarkEnd w:id="72"/>
    <w:p>
      <w:pPr>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88" w:lineRule="exact"/>
        <w:rPr>
          <w:sz w:val="20"/>
          <w:szCs w:val="20"/>
          <w:color w:val="auto"/>
        </w:rPr>
      </w:pPr>
    </w:p>
    <w:p>
      <w:pPr>
        <w:ind w:right="180" w:firstLine="979"/>
        <w:spacing w:after="0" w:line="260" w:lineRule="auto"/>
        <w:rPr>
          <w:sz w:val="20"/>
          <w:szCs w:val="20"/>
          <w:color w:val="auto"/>
        </w:rPr>
      </w:pPr>
      <w:r>
        <w:rPr>
          <w:rFonts w:ascii="Times New Roman" w:cs="Times New Roman" w:eastAsia="Times New Roman" w:hAnsi="Times New Roman"/>
          <w:sz w:val="19"/>
          <w:szCs w:val="19"/>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w:t>
      </w:r>
    </w:p>
    <w:p>
      <w:pPr>
        <w:spacing w:after="0" w:line="1" w:lineRule="exact"/>
        <w:rPr>
          <w:sz w:val="20"/>
          <w:szCs w:val="20"/>
          <w:color w:val="auto"/>
        </w:rPr>
      </w:pPr>
    </w:p>
    <w:p>
      <w:pPr>
        <w:spacing w:after="0"/>
        <w:tabs>
          <w:tab w:leader="none" w:pos="29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8" w:lineRule="exact"/>
        <w:rPr>
          <w:sz w:val="20"/>
          <w:szCs w:val="20"/>
          <w:color w:val="auto"/>
        </w:rPr>
      </w:pPr>
    </w:p>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California, which in the past has experienced severe earthquakes and fires.</w:t>
      </w:r>
    </w:p>
    <w:p>
      <w:pPr>
        <w:spacing w:after="0" w:line="194" w:lineRule="exact"/>
        <w:rPr>
          <w:sz w:val="20"/>
          <w:szCs w:val="20"/>
          <w:color w:val="auto"/>
        </w:rPr>
      </w:pPr>
    </w:p>
    <w:p>
      <w:pPr>
        <w:ind w:right="240" w:firstLine="979"/>
        <w:spacing w:after="0" w:line="277" w:lineRule="auto"/>
        <w:rPr>
          <w:sz w:val="20"/>
          <w:szCs w:val="20"/>
          <w:color w:val="auto"/>
        </w:rPr>
      </w:pPr>
      <w:r>
        <w:rPr>
          <w:rFonts w:ascii="Times New Roman" w:cs="Times New Roman" w:eastAsia="Times New Roman" w:hAnsi="Times New Roman"/>
          <w:sz w:val="20"/>
          <w:szCs w:val="20"/>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69" w:lineRule="exact"/>
        <w:rPr>
          <w:sz w:val="20"/>
          <w:szCs w:val="20"/>
          <w:color w:val="auto"/>
        </w:rPr>
      </w:pPr>
    </w:p>
    <w:p>
      <w:pPr>
        <w:ind w:right="100" w:firstLine="979"/>
        <w:spacing w:after="0" w:line="244" w:lineRule="auto"/>
        <w:rPr>
          <w:sz w:val="20"/>
          <w:szCs w:val="20"/>
          <w:color w:val="auto"/>
        </w:rPr>
      </w:pPr>
      <w:r>
        <w:rPr>
          <w:rFonts w:ascii="Times New Roman" w:cs="Times New Roman" w:eastAsia="Times New Roman" w:hAnsi="Times New Roman"/>
          <w:sz w:val="20"/>
          <w:szCs w:val="20"/>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206"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 public health crisis could adversely impact our business including our ongoing and planned preclinical studies and clinical trials.</w:t>
      </w:r>
    </w:p>
    <w:p>
      <w:pPr>
        <w:spacing w:after="0" w:line="169" w:lineRule="exact"/>
        <w:rPr>
          <w:sz w:val="20"/>
          <w:szCs w:val="20"/>
          <w:color w:val="auto"/>
        </w:rPr>
      </w:pPr>
    </w:p>
    <w:p>
      <w:pPr>
        <w:ind w:right="20" w:firstLine="979"/>
        <w:spacing w:after="0" w:line="245" w:lineRule="auto"/>
        <w:rPr>
          <w:sz w:val="20"/>
          <w:szCs w:val="20"/>
          <w:color w:val="auto"/>
        </w:rPr>
      </w:pPr>
      <w:r>
        <w:rPr>
          <w:rFonts w:ascii="Times New Roman" w:cs="Times New Roman" w:eastAsia="Times New Roman" w:hAnsi="Times New Roman"/>
          <w:sz w:val="20"/>
          <w:szCs w:val="20"/>
          <w:color w:val="auto"/>
        </w:rPr>
        <w:t>A public health crisis may cause delays in our preclinical and planned clinical development activities and may impact our third-party manufacturers and suppliers, which could disrupt its supply chain or the availability or cost of materials. If governmental authorities reinstate or issue new public health directives as a result of a public health crisis, these may negatively impact productivity, disrupt our business, and delay clinical programs and timelines and future clinical trials, the magnitude of which will depend, in part, on the length and severity of the restrictions and other limitations on our ability to conduct business in the ordinary course. These and similar, and perhaps more severe, disruptions in our operations could negatively impact business, results of operations and financial condition, including our ability to obtain financing. Such disruptions could severely impact our business, current and planned clinical trials and preclinical studies, including as a result of:</w:t>
      </w:r>
    </w:p>
    <w:p>
      <w:pPr>
        <w:spacing w:after="0" w:line="216" w:lineRule="exact"/>
        <w:rPr>
          <w:sz w:val="20"/>
          <w:szCs w:val="20"/>
          <w:color w:val="auto"/>
        </w:rPr>
      </w:pPr>
    </w:p>
    <w:p>
      <w:pPr>
        <w:ind w:left="1340" w:hanging="361"/>
        <w:spacing w:after="0"/>
        <w:tabs>
          <w:tab w:leader="none" w:pos="13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of our management to travel in connection with establishing partnerships and collaborations;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receiving the supplies, materials and services needed to conduct preclinical studies and clinical trials;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of our access to capital in the global financial markets;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780"/>
          </w:cols>
          <w:pgMar w:left="720" w:top="930" w:right="740" w:bottom="0" w:gutter="0" w:footer="0" w:header="0"/>
          <w:type w:val="continuous"/>
        </w:sectPr>
      </w:pPr>
    </w:p>
    <w:bookmarkStart w:id="73" w:name="page74"/>
    <w:bookmarkEnd w:id="73"/>
    <w:p>
      <w:pPr>
        <w:ind w:left="1340" w:hanging="361"/>
        <w:spacing w:after="0"/>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difficulties in enrolling patients in future planned clinical trials of our product candidates;</w:t>
      </w:r>
    </w:p>
    <w:p>
      <w:pPr>
        <w:spacing w:after="0" w:line="253" w:lineRule="exact"/>
        <w:rPr>
          <w:rFonts w:ascii="Arial" w:cs="Arial" w:eastAsia="Arial" w:hAnsi="Arial"/>
          <w:sz w:val="20"/>
          <w:szCs w:val="20"/>
          <w:color w:val="auto"/>
        </w:rPr>
      </w:pPr>
    </w:p>
    <w:p>
      <w:pPr>
        <w:ind w:left="1340" w:right="60" w:hanging="361"/>
        <w:spacing w:after="0" w:line="276" w:lineRule="auto"/>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difficulties in clinical site initiation, including difficulties in recruiting clinical site investigators and clinical site staff;</w:t>
      </w:r>
    </w:p>
    <w:p>
      <w:pPr>
        <w:spacing w:after="0" w:line="184" w:lineRule="exact"/>
        <w:rPr>
          <w:rFonts w:ascii="Arial" w:cs="Arial" w:eastAsia="Arial" w:hAnsi="Arial"/>
          <w:sz w:val="20"/>
          <w:szCs w:val="20"/>
          <w:color w:val="auto"/>
        </w:rPr>
      </w:pPr>
    </w:p>
    <w:p>
      <w:pPr>
        <w:ind w:left="1340" w:right="60" w:hanging="361"/>
        <w:spacing w:after="0" w:line="276" w:lineRule="auto"/>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healthcare resources away from the conduct of clinical trials, including the diversion of hospitals serving as our clinical trial sites and hospital staff supporting the conduct of clinical trials;</w:t>
      </w:r>
    </w:p>
    <w:p>
      <w:pPr>
        <w:spacing w:after="0" w:line="184" w:lineRule="exact"/>
        <w:rPr>
          <w:rFonts w:ascii="Arial" w:cs="Arial" w:eastAsia="Arial" w:hAnsi="Arial"/>
          <w:sz w:val="20"/>
          <w:szCs w:val="20"/>
          <w:color w:val="auto"/>
        </w:rPr>
      </w:pPr>
    </w:p>
    <w:p>
      <w:pPr>
        <w:jc w:val="both"/>
        <w:ind w:left="1340" w:right="20" w:hanging="361"/>
        <w:spacing w:after="0" w:line="258" w:lineRule="auto"/>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01" w:lineRule="exact"/>
        <w:rPr>
          <w:rFonts w:ascii="Arial" w:cs="Arial" w:eastAsia="Arial" w:hAnsi="Arial"/>
          <w:sz w:val="20"/>
          <w:szCs w:val="20"/>
          <w:color w:val="auto"/>
        </w:rPr>
      </w:pPr>
    </w:p>
    <w:p>
      <w:pPr>
        <w:ind w:left="1340" w:right="120" w:hanging="361"/>
        <w:spacing w:after="0" w:line="252" w:lineRule="auto"/>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207" w:lineRule="exact"/>
        <w:rPr>
          <w:rFonts w:ascii="Arial" w:cs="Arial" w:eastAsia="Arial" w:hAnsi="Arial"/>
          <w:sz w:val="20"/>
          <w:szCs w:val="20"/>
          <w:color w:val="auto"/>
        </w:rPr>
      </w:pPr>
    </w:p>
    <w:p>
      <w:pPr>
        <w:ind w:left="1340" w:right="140" w:hanging="361"/>
        <w:spacing w:after="0" w:line="276" w:lineRule="auto"/>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interruptions or delays in the operations of the FDA or comparable foreign regulatory authorities, which may impact review and approval timelines;</w:t>
      </w:r>
    </w:p>
    <w:p>
      <w:pPr>
        <w:spacing w:after="0" w:line="184" w:lineRule="exact"/>
        <w:rPr>
          <w:rFonts w:ascii="Arial" w:cs="Arial" w:eastAsia="Arial" w:hAnsi="Arial"/>
          <w:sz w:val="20"/>
          <w:szCs w:val="20"/>
          <w:color w:val="auto"/>
        </w:rPr>
      </w:pPr>
    </w:p>
    <w:p>
      <w:pPr>
        <w:ind w:left="1340" w:right="60" w:hanging="361"/>
        <w:spacing w:after="0" w:line="258" w:lineRule="auto"/>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regulations as part of a response to a public health crisis or other such disruptions which may require us to change the ways in which our clinical trials are conducted, which may result in unexpected costs or require us to discontinue clinical trials altogether;</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interruptions or delays to our pipeline and research programs; and</w:t>
      </w:r>
    </w:p>
    <w:p>
      <w:pPr>
        <w:spacing w:after="0" w:line="253" w:lineRule="exact"/>
        <w:rPr>
          <w:rFonts w:ascii="Arial" w:cs="Arial" w:eastAsia="Arial" w:hAnsi="Arial"/>
          <w:sz w:val="20"/>
          <w:szCs w:val="20"/>
          <w:color w:val="auto"/>
        </w:rPr>
      </w:pPr>
    </w:p>
    <w:p>
      <w:pPr>
        <w:ind w:left="1340" w:right="160" w:hanging="361"/>
        <w:spacing w:after="0" w:line="276" w:lineRule="auto"/>
        <w:tabs>
          <w:tab w:leader="none" w:pos="134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Further, as a result of a public health crisis, we may be required to develop and implement additional clinical trial policies and procedures designed to help protect trial participants, which may include using telemedicine visits, remote monitoring of patients and clinical sites, and measures to ensure that data from clinical trials that may be disrupted as a result of the crisis are collected pursuant to the trial protocol and consistent with GCPs, with any material protocol deviation reviewed and approved by the site IRB. In addition, potential patients in our planned clinical trials may choose to not enroll, not participate in follow-up clinical visits, or drop out of the trial as a precaution during any such crisis.</w:t>
      </w:r>
    </w:p>
    <w:p>
      <w:pPr>
        <w:spacing w:after="0" w:line="200" w:lineRule="exact"/>
        <w:rPr>
          <w:sz w:val="20"/>
          <w:szCs w:val="20"/>
          <w:color w:val="auto"/>
        </w:rPr>
      </w:pPr>
    </w:p>
    <w:p>
      <w:pPr>
        <w:ind w:right="40" w:firstLine="979"/>
        <w:spacing w:after="0" w:line="258" w:lineRule="auto"/>
        <w:rPr>
          <w:sz w:val="20"/>
          <w:szCs w:val="20"/>
          <w:color w:val="auto"/>
        </w:rPr>
      </w:pPr>
      <w:r>
        <w:rPr>
          <w:rFonts w:ascii="Times New Roman" w:cs="Times New Roman" w:eastAsia="Times New Roman" w:hAnsi="Times New Roman"/>
          <w:sz w:val="20"/>
          <w:szCs w:val="20"/>
          <w:color w:val="auto"/>
        </w:rPr>
        <w:t>Additionally, governmental and medical resources and attention may be focused on the applicable crisis, which may make it more difficult to obtain required reviews or approvals, necessary materials, or clinical or preclinical sites or slots, or manufacturing slots for the products needed for our planned clinical trials, which could lead to delays in these trials.</w:t>
      </w:r>
    </w:p>
    <w:p>
      <w:pPr>
        <w:spacing w:after="0" w:line="188" w:lineRule="exact"/>
        <w:rPr>
          <w:sz w:val="20"/>
          <w:szCs w:val="20"/>
          <w:color w:val="auto"/>
        </w:rPr>
      </w:pPr>
    </w:p>
    <w:p>
      <w:pPr>
        <w:ind w:right="40" w:firstLine="979"/>
        <w:spacing w:after="0" w:line="305" w:lineRule="auto"/>
        <w:rPr>
          <w:sz w:val="20"/>
          <w:szCs w:val="20"/>
          <w:color w:val="auto"/>
        </w:rPr>
      </w:pPr>
      <w:r>
        <w:rPr>
          <w:rFonts w:ascii="Times New Roman" w:cs="Times New Roman" w:eastAsia="Times New Roman" w:hAnsi="Times New Roman"/>
          <w:sz w:val="19"/>
          <w:szCs w:val="19"/>
          <w:color w:val="auto"/>
        </w:rPr>
        <w:t>A continued and prolonged public health crisis could have a material negative impact on our business, financial condition, and operating results. It could also have the effect of heightening many of the other risks described in this “Risk Factors” section.</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97"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In the ordinary course of business, we process personal data and other sensitive data, including proprietary and confidential business data, trade secrets, intellectual property, and data we collect about trial participants in connection with clinical trials (collectively, sensitive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ectPr>
          <w:pgSz w:w="12240" w:h="15840" w:orient="portrait"/>
          <w:cols w:equalWidth="0" w:num="1">
            <w:col w:w="10800"/>
          </w:cols>
          <w:pgMar w:left="720" w:top="94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00"/>
          </w:cols>
          <w:pgMar w:left="720" w:top="944" w:right="720" w:bottom="0" w:gutter="0" w:footer="0" w:header="0"/>
          <w:type w:val="continuous"/>
        </w:sectPr>
      </w:pPr>
    </w:p>
    <w:bookmarkStart w:id="74" w:name="page75"/>
    <w:bookmarkEnd w:id="74"/>
    <w:p>
      <w:pPr>
        <w:ind w:firstLine="979"/>
        <w:spacing w:after="0" w:line="243" w:lineRule="auto"/>
        <w:rPr>
          <w:sz w:val="20"/>
          <w:szCs w:val="20"/>
          <w:color w:val="auto"/>
        </w:rPr>
      </w:pPr>
      <w:r>
        <w:rPr>
          <w:rFonts w:ascii="Times New Roman" w:cs="Times New Roman" w:eastAsia="Times New Roman" w:hAnsi="Times New Roman"/>
          <w:sz w:val="20"/>
          <w:szCs w:val="20"/>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w:t>
      </w:r>
    </w:p>
    <w:p>
      <w:pPr>
        <w:spacing w:after="0" w:line="208" w:lineRule="exact"/>
        <w:rPr>
          <w:sz w:val="20"/>
          <w:szCs w:val="20"/>
          <w:color w:val="auto"/>
        </w:rPr>
      </w:pPr>
    </w:p>
    <w:p>
      <w:pPr>
        <w:ind w:right="60" w:firstLine="979"/>
        <w:spacing w:after="0" w:line="244" w:lineRule="auto"/>
        <w:rPr>
          <w:sz w:val="20"/>
          <w:szCs w:val="20"/>
          <w:color w:val="auto"/>
        </w:rPr>
      </w:pPr>
      <w:r>
        <w:rPr>
          <w:rFonts w:ascii="Times New Roman" w:cs="Times New Roman" w:eastAsia="Times New Roman" w:hAnsi="Times New Roman"/>
          <w:sz w:val="20"/>
          <w:szCs w:val="20"/>
          <w:color w:val="auto"/>
        </w:rPr>
        <w:t>These state laws allow for statutory fines for noncompliance. For example, the California Consumer Privacy Act of 2018, as amended by the California Privacy Rights Act of 2020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may further complicate compliance efforts, and increase legal risk and compliance costs for us and the third parties on which we rely.</w:t>
      </w:r>
    </w:p>
    <w:p>
      <w:pPr>
        <w:spacing w:after="0" w:line="202"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may govern data privacy and security. For example, the EU GDPR, the UK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We conduct clinical trials in Australia, may conduct clinical studies in the EU and other countries and may be subject to EU GDPR, UK GDPR or other data privacy regulations, and we work with companies and vendors in Asia and may be subject to new and emerging data privacy regimes in Asia, including China’s PIPL, Japan’s Act on the Protection of Personal Information, and Singapore’s Personal Data Protection Act.</w:t>
      </w:r>
    </w:p>
    <w:p>
      <w:pPr>
        <w:spacing w:after="0" w:line="202" w:lineRule="exact"/>
        <w:rPr>
          <w:sz w:val="20"/>
          <w:szCs w:val="20"/>
          <w:color w:val="auto"/>
        </w:rPr>
      </w:pPr>
    </w:p>
    <w:p>
      <w:pPr>
        <w:ind w:right="100" w:firstLine="979"/>
        <w:spacing w:after="0" w:line="243" w:lineRule="auto"/>
        <w:rPr>
          <w:sz w:val="20"/>
          <w:szCs w:val="20"/>
          <w:color w:val="auto"/>
        </w:rPr>
      </w:pPr>
      <w:r>
        <w:rPr>
          <w:rFonts w:ascii="Times New Roman" w:cs="Times New Roman" w:eastAsia="Times New Roman" w:hAnsi="Times New Roman"/>
          <w:sz w:val="20"/>
          <w:szCs w:val="20"/>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08" w:lineRule="exact"/>
        <w:rPr>
          <w:sz w:val="20"/>
          <w:szCs w:val="20"/>
          <w:color w:val="auto"/>
        </w:rPr>
      </w:pPr>
    </w:p>
    <w:p>
      <w:pPr>
        <w:ind w:right="140" w:firstLine="979"/>
        <w:spacing w:after="0" w:line="244" w:lineRule="auto"/>
        <w:rPr>
          <w:sz w:val="20"/>
          <w:szCs w:val="20"/>
          <w:color w:val="auto"/>
        </w:rPr>
      </w:pPr>
      <w:r>
        <w:rPr>
          <w:rFonts w:ascii="Times New Roman" w:cs="Times New Roman" w:eastAsia="Times New Roman" w:hAnsi="Times New Roman"/>
          <w:sz w:val="20"/>
          <w:szCs w:val="20"/>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activitist groups. Some European regulators have ordered certain companies to suspend or permanently cease certain transfers of personal data out of Europe for allegedly violating the GDPR’s cross-border data transfer limitations.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930" w:right="720" w:bottom="0" w:gutter="0" w:footer="0" w:header="0"/>
          <w:type w:val="continuous"/>
        </w:sectPr>
      </w:pPr>
    </w:p>
    <w:bookmarkStart w:id="75" w:name="page76"/>
    <w:bookmarkEnd w:id="75"/>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We are also bound by contractual obligations related to data privacy and security, and our efforts to comply with such obligations may not be successful. We publish a privacy policy on our website. If this policy or other privacy or security-related statements or materials we may publish is found to be deficient, lacking in transparency, deceptive, unfair, or misrepresentative of our practices, we may be subject to investigation, enforcement actions by regulators, or other adverse consequences.</w:t>
      </w:r>
    </w:p>
    <w:p>
      <w:pPr>
        <w:spacing w:after="0" w:line="194"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which we rely may fail to comply with such obligations, which could negatively impact our business operations.</w:t>
      </w:r>
    </w:p>
    <w:p>
      <w:pPr>
        <w:spacing w:after="0" w:line="200"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and imprisonment of company officials.</w:t>
      </w:r>
    </w:p>
    <w:p>
      <w:pPr>
        <w:spacing w:after="0" w:line="197" w:lineRule="exact"/>
        <w:rPr>
          <w:sz w:val="20"/>
          <w:szCs w:val="20"/>
          <w:color w:val="auto"/>
        </w:rPr>
      </w:pPr>
    </w:p>
    <w:p>
      <w:pPr>
        <w:ind w:right="80" w:firstLine="979"/>
        <w:spacing w:after="0" w:line="245" w:lineRule="auto"/>
        <w:rPr>
          <w:sz w:val="20"/>
          <w:szCs w:val="20"/>
          <w:color w:val="auto"/>
        </w:rPr>
      </w:pPr>
      <w:r>
        <w:rPr>
          <w:rFonts w:ascii="Times New Roman" w:cs="Times New Roman" w:eastAsia="Times New Roman" w:hAnsi="Times New Roman"/>
          <w:sz w:val="20"/>
          <w:szCs w:val="20"/>
          <w:color w:val="auto"/>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those of third parties 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94" w:lineRule="exact"/>
        <w:rPr>
          <w:sz w:val="20"/>
          <w:szCs w:val="20"/>
          <w:color w:val="auto"/>
        </w:rPr>
      </w:pPr>
    </w:p>
    <w:p>
      <w:pPr>
        <w:ind w:right="120" w:firstLine="979"/>
        <w:spacing w:after="0" w:line="277"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upon which we rely process sensitive data, and as a result, we face a variety of evolving threats that could cause security incidents.</w:t>
      </w:r>
    </w:p>
    <w:p>
      <w:pPr>
        <w:spacing w:after="0" w:line="169"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97"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develop, test and distribute our capsules, product candidates, and other goods and services.</w:t>
      </w:r>
    </w:p>
    <w:p>
      <w:pPr>
        <w:spacing w:after="0" w:line="197" w:lineRule="exact"/>
        <w:rPr>
          <w:sz w:val="20"/>
          <w:szCs w:val="20"/>
          <w:color w:val="auto"/>
        </w:rPr>
      </w:pPr>
    </w:p>
    <w:p>
      <w:pPr>
        <w:ind w:right="80" w:firstLine="979"/>
        <w:spacing w:after="0" w:line="247" w:lineRule="auto"/>
        <w:rPr>
          <w:sz w:val="20"/>
          <w:szCs w:val="20"/>
          <w:color w:val="auto"/>
        </w:rPr>
      </w:pPr>
      <w:r>
        <w:rPr>
          <w:rFonts w:ascii="Times New Roman" w:cs="Times New Roman" w:eastAsia="Times New Roman" w:hAnsi="Times New Roman"/>
          <w:sz w:val="20"/>
          <w:szCs w:val="20"/>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w:t>
      </w:r>
    </w:p>
    <w:p>
      <w:pPr>
        <w:spacing w:after="0" w:line="200"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800"/>
          </w:cols>
          <w:pgMar w:left="720" w:top="930" w:right="720" w:bottom="0" w:gutter="0" w:footer="0" w:header="0"/>
          <w:type w:val="continuous"/>
        </w:sectPr>
      </w:pPr>
    </w:p>
    <w:bookmarkStart w:id="76" w:name="page77"/>
    <w:bookmarkEnd w:id="76"/>
    <w:p>
      <w:pPr>
        <w:ind w:right="40" w:firstLine="979"/>
        <w:spacing w:after="0" w:line="241" w:lineRule="auto"/>
        <w:rPr>
          <w:sz w:val="20"/>
          <w:szCs w:val="20"/>
          <w:color w:val="auto"/>
        </w:rPr>
      </w:pPr>
      <w:r>
        <w:rPr>
          <w:rFonts w:ascii="Times New Roman" w:cs="Times New Roman" w:eastAsia="Times New Roman" w:hAnsi="Times New Roman"/>
          <w:sz w:val="20"/>
          <w:szCs w:val="20"/>
          <w:color w:val="auto"/>
        </w:rPr>
        <w:t>We regularly have employees that work remotely. 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In addition, our reliance on third-party collaborators, consultants, contractors, suppliers, and service providers could introduce new cybersecurity risks and vulnerabilities, including supply-chain attacks, and other threats to our business operations. We rely on third parties and technologies to operate critical business systems to process sensitive data in a variety of contexts, including, without limitation, contract research organizations, employee email, and other functions. We also rely on third parties to provide other products, services, parts, or otherwise to operate our business.</w:t>
      </w:r>
    </w:p>
    <w:p>
      <w:pPr>
        <w:spacing w:after="0" w:line="197" w:lineRule="exact"/>
        <w:rPr>
          <w:sz w:val="20"/>
          <w:szCs w:val="20"/>
          <w:color w:val="auto"/>
        </w:rPr>
      </w:pPr>
    </w:p>
    <w:p>
      <w:pPr>
        <w:ind w:right="280" w:firstLine="979"/>
        <w:spacing w:after="0" w:line="242" w:lineRule="auto"/>
        <w:rPr>
          <w:sz w:val="20"/>
          <w:szCs w:val="20"/>
          <w:color w:val="auto"/>
        </w:rPr>
      </w:pPr>
      <w:r>
        <w:rPr>
          <w:rFonts w:ascii="Times New Roman" w:cs="Times New Roman" w:eastAsia="Times New Roman" w:hAnsi="Times New Roman"/>
          <w:sz w:val="20"/>
          <w:szCs w:val="20"/>
          <w:color w:val="auto"/>
        </w:rPr>
        <w:t>Our ability to monitor these third parties’ information security practices is limited, and these third parties may not have adequate information security measures in place. If our third parties experience a security incident or other interruption, we could experience adverse consequences. While we may be entitled to damages if the third parties on which we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00"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200" w:lineRule="exact"/>
        <w:rPr>
          <w:sz w:val="20"/>
          <w:szCs w:val="20"/>
          <w:color w:val="auto"/>
        </w:rPr>
      </w:pPr>
    </w:p>
    <w:p>
      <w:pPr>
        <w:ind w:right="60" w:firstLine="979"/>
        <w:spacing w:after="0" w:line="241" w:lineRule="auto"/>
        <w:rPr>
          <w:sz w:val="20"/>
          <w:szCs w:val="20"/>
          <w:color w:val="auto"/>
        </w:rPr>
      </w:pPr>
      <w:r>
        <w:rPr>
          <w:rFonts w:ascii="Times New Roman" w:cs="Times New Roman" w:eastAsia="Times New Roman" w:hAnsi="Times New Roman"/>
          <w:sz w:val="20"/>
          <w:szCs w:val="20"/>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on which we rely. A security incident or other interruption could disrupt our ability (and that of third parties on which we rely) to provide our products.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w:t>
      </w:r>
    </w:p>
    <w:p>
      <w:pPr>
        <w:spacing w:after="0" w:line="200" w:lineRule="exact"/>
        <w:rPr>
          <w:sz w:val="20"/>
          <w:szCs w:val="20"/>
          <w:color w:val="auto"/>
        </w:rPr>
      </w:pPr>
    </w:p>
    <w:p>
      <w:pPr>
        <w:ind w:right="200" w:firstLine="979"/>
        <w:spacing w:after="0" w:line="247" w:lineRule="auto"/>
        <w:rPr>
          <w:sz w:val="20"/>
          <w:szCs w:val="20"/>
          <w:color w:val="auto"/>
        </w:rPr>
      </w:pPr>
      <w:r>
        <w:rPr>
          <w:rFonts w:ascii="Times New Roman" w:cs="Times New Roman" w:eastAsia="Times New Roman" w:hAnsi="Times New Roman"/>
          <w:sz w:val="20"/>
          <w:szCs w:val="20"/>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data.</w:t>
      </w:r>
    </w:p>
    <w:p>
      <w:pPr>
        <w:spacing w:after="0" w:line="194" w:lineRule="exact"/>
        <w:rPr>
          <w:sz w:val="20"/>
          <w:szCs w:val="20"/>
          <w:color w:val="auto"/>
        </w:rPr>
      </w:pPr>
    </w:p>
    <w:p>
      <w:pPr>
        <w:ind w:right="20" w:firstLine="979"/>
        <w:spacing w:after="0" w:line="253" w:lineRule="auto"/>
        <w:rPr>
          <w:sz w:val="20"/>
          <w:szCs w:val="20"/>
          <w:color w:val="auto"/>
        </w:rPr>
      </w:pPr>
      <w:r>
        <w:rPr>
          <w:rFonts w:ascii="Times New Roman" w:cs="Times New Roman" w:eastAsia="Times New Roman" w:hAnsi="Times New Roman"/>
          <w:sz w:val="20"/>
          <w:szCs w:val="20"/>
          <w:color w:val="auto"/>
        </w:rPr>
        <w:t>Applicable data privacy and security obligations may require us to notify relevant stakeholders, including affected individuals, customers, regulators, and investors, of security incidents. Such disclosures are costly, and the disclosures or the failure to comply with such requirements could lead to adverse consequences.</w:t>
      </w:r>
    </w:p>
    <w:p>
      <w:pPr>
        <w:spacing w:after="0" w:line="188" w:lineRule="exact"/>
        <w:rPr>
          <w:sz w:val="20"/>
          <w:szCs w:val="20"/>
          <w:color w:val="auto"/>
        </w:rPr>
      </w:pPr>
    </w:p>
    <w:p>
      <w:pPr>
        <w:ind w:right="20" w:firstLine="979"/>
        <w:spacing w:after="0" w:line="241" w:lineRule="auto"/>
        <w:rPr>
          <w:sz w:val="20"/>
          <w:szCs w:val="20"/>
          <w:color w:val="auto"/>
        </w:rPr>
      </w:pPr>
      <w:r>
        <w:rPr>
          <w:rFonts w:ascii="Times New Roman" w:cs="Times New Roman" w:eastAsia="Times New Roman" w:hAnsi="Times New Roman"/>
          <w:sz w:val="20"/>
          <w:szCs w:val="20"/>
          <w:color w:val="auto"/>
        </w:rPr>
        <w:t>If we (or a third party on which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w:t>
      </w:r>
    </w:p>
    <w:p>
      <w:pPr>
        <w:spacing w:after="0" w:line="200" w:lineRule="exact"/>
        <w:rPr>
          <w:sz w:val="20"/>
          <w:szCs w:val="20"/>
          <w:color w:val="auto"/>
        </w:rPr>
      </w:pPr>
    </w:p>
    <w:p>
      <w:pPr>
        <w:ind w:right="180" w:firstLine="979"/>
        <w:spacing w:after="0" w:line="241"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such coverage will continue to be available on commercially reasonable terms or at all, or that such coverage will pay future claims. 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ectPr>
          <w:pgSz w:w="12240" w:h="15840" w:orient="portrait"/>
          <w:cols w:equalWidth="0" w:num="1">
            <w:col w:w="10780"/>
          </w:cols>
          <w:pgMar w:left="720" w:top="926" w:right="74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780"/>
          </w:cols>
          <w:pgMar w:left="720" w:top="926" w:right="7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commercial success may depend in part on our ability to build and maintain our intellectual property portfolio.</w:t>
      </w:r>
    </w:p>
    <w:p>
      <w:pPr>
        <w:spacing w:after="0" w:line="240"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97" w:lineRule="exact"/>
        <w:rPr>
          <w:sz w:val="20"/>
          <w:szCs w:val="20"/>
          <w:color w:val="auto"/>
        </w:rPr>
      </w:pPr>
    </w:p>
    <w:p>
      <w:pPr>
        <w:ind w:right="200" w:firstLine="979"/>
        <w:spacing w:after="0" w:line="252" w:lineRule="auto"/>
        <w:rPr>
          <w:sz w:val="20"/>
          <w:szCs w:val="20"/>
          <w:color w:val="auto"/>
        </w:rPr>
      </w:pPr>
      <w:r>
        <w:rPr>
          <w:rFonts w:ascii="Times New Roman" w:cs="Times New Roman" w:eastAsia="Times New Roman" w:hAnsi="Times New Roman"/>
          <w:sz w:val="20"/>
          <w:szCs w:val="20"/>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94" w:lineRule="exact"/>
        <w:rPr>
          <w:sz w:val="20"/>
          <w:szCs w:val="20"/>
          <w:color w:val="auto"/>
        </w:rPr>
      </w:pPr>
    </w:p>
    <w:p>
      <w:pPr>
        <w:ind w:firstLine="979"/>
        <w:spacing w:after="0" w:line="258" w:lineRule="auto"/>
        <w:rPr>
          <w:sz w:val="20"/>
          <w:szCs w:val="20"/>
          <w:color w:val="auto"/>
        </w:rPr>
      </w:pPr>
      <w:r>
        <w:rPr>
          <w:rFonts w:ascii="Times New Roman" w:cs="Times New Roman" w:eastAsia="Times New Roman" w:hAnsi="Times New Roman"/>
          <w:sz w:val="20"/>
          <w:szCs w:val="20"/>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88" w:lineRule="exact"/>
        <w:rPr>
          <w:sz w:val="20"/>
          <w:szCs w:val="20"/>
          <w:color w:val="auto"/>
        </w:rPr>
      </w:pPr>
    </w:p>
    <w:p>
      <w:pPr>
        <w:ind w:right="140" w:firstLine="979"/>
        <w:spacing w:after="0" w:line="277" w:lineRule="auto"/>
        <w:rPr>
          <w:sz w:val="20"/>
          <w:szCs w:val="20"/>
          <w:color w:val="auto"/>
        </w:rPr>
      </w:pPr>
      <w:r>
        <w:rPr>
          <w:rFonts w:ascii="Times New Roman" w:cs="Times New Roman" w:eastAsia="Times New Roman" w:hAnsi="Times New Roman"/>
          <w:sz w:val="20"/>
          <w:szCs w:val="20"/>
          <w:color w:val="auto"/>
        </w:rPr>
        <w:t>The following ways in which our intellectual property portfolio may be limited represent risks to our capability to reduce competition and thus risks to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sufficient patent coverage.</w:t>
      </w:r>
    </w:p>
    <w:p>
      <w:pPr>
        <w:spacing w:after="0" w:line="240" w:lineRule="exact"/>
        <w:rPr>
          <w:sz w:val="20"/>
          <w:szCs w:val="20"/>
          <w:color w:val="auto"/>
        </w:rPr>
      </w:pPr>
    </w:p>
    <w:p>
      <w:pPr>
        <w:ind w:right="60" w:firstLine="979"/>
        <w:spacing w:after="0" w:line="247" w:lineRule="auto"/>
        <w:rPr>
          <w:sz w:val="20"/>
          <w:szCs w:val="20"/>
          <w:color w:val="auto"/>
        </w:rPr>
      </w:pPr>
      <w:r>
        <w:rPr>
          <w:rFonts w:ascii="Times New Roman" w:cs="Times New Roman" w:eastAsia="Times New Roman" w:hAnsi="Times New Roman"/>
          <w:sz w:val="20"/>
          <w:szCs w:val="20"/>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200"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200" w:lineRule="exact"/>
        <w:rPr>
          <w:sz w:val="20"/>
          <w:szCs w:val="20"/>
          <w:color w:val="auto"/>
        </w:rPr>
      </w:pPr>
    </w:p>
    <w:p>
      <w:pPr>
        <w:ind w:firstLine="979"/>
        <w:spacing w:after="0" w:line="243" w:lineRule="auto"/>
        <w:rPr>
          <w:sz w:val="20"/>
          <w:szCs w:val="20"/>
          <w:color w:val="auto"/>
        </w:rPr>
      </w:pPr>
      <w:r>
        <w:rPr>
          <w:rFonts w:ascii="Times New Roman" w:cs="Times New Roman" w:eastAsia="Times New Roman" w:hAnsi="Times New Roman"/>
          <w:sz w:val="20"/>
          <w:szCs w:val="20"/>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203" w:lineRule="exact"/>
        <w:rPr>
          <w:sz w:val="20"/>
          <w:szCs w:val="20"/>
          <w:color w:val="auto"/>
        </w:rPr>
      </w:pPr>
    </w:p>
    <w:p>
      <w:pPr>
        <w:ind w:right="160" w:firstLine="979"/>
        <w:spacing w:after="0" w:line="249" w:lineRule="auto"/>
        <w:rPr>
          <w:sz w:val="20"/>
          <w:szCs w:val="20"/>
          <w:color w:val="auto"/>
        </w:rPr>
      </w:pPr>
      <w:r>
        <w:rPr>
          <w:rFonts w:ascii="Times New Roman" w:cs="Times New Roman" w:eastAsia="Times New Roman" w:hAnsi="Times New Roman"/>
          <w:sz w:val="20"/>
          <w:szCs w:val="20"/>
          <w:color w:val="auto"/>
        </w:rPr>
        <w:t>We may also inadvertently lose patent assets by failing to follow agency procedures. The U.S. Patent and Trademark Office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800"/>
          </w:cols>
          <w:pgMar w:left="720" w:top="926" w:right="720" w:bottom="0" w:gutter="0" w:footer="0" w:header="0"/>
          <w:type w:val="continuous"/>
        </w:sectPr>
      </w:pPr>
    </w:p>
    <w:bookmarkStart w:id="78" w:name="page79"/>
    <w:bookmarkEnd w:id="78"/>
    <w:p>
      <w:pPr>
        <w:ind w:right="20" w:firstLine="979"/>
        <w:spacing w:after="0" w:line="242" w:lineRule="auto"/>
        <w:rPr>
          <w:sz w:val="20"/>
          <w:szCs w:val="20"/>
          <w:color w:val="auto"/>
        </w:rPr>
      </w:pPr>
      <w:r>
        <w:rPr>
          <w:rFonts w:ascii="Times New Roman" w:cs="Times New Roman" w:eastAsia="Times New Roman" w:hAnsi="Times New Roman"/>
          <w:sz w:val="20"/>
          <w:szCs w:val="20"/>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211" w:lineRule="exact"/>
        <w:rPr>
          <w:sz w:val="20"/>
          <w:szCs w:val="20"/>
          <w:color w:val="auto"/>
        </w:rPr>
      </w:pPr>
    </w:p>
    <w:p>
      <w:pPr>
        <w:ind w:right="60" w:firstLine="979"/>
        <w:spacing w:after="0" w:line="247" w:lineRule="auto"/>
        <w:rPr>
          <w:sz w:val="20"/>
          <w:szCs w:val="20"/>
          <w:color w:val="auto"/>
        </w:rPr>
      </w:pPr>
      <w:r>
        <w:rPr>
          <w:rFonts w:ascii="Times New Roman" w:cs="Times New Roman" w:eastAsia="Times New Roman" w:hAnsi="Times New Roman"/>
          <w:sz w:val="20"/>
          <w:szCs w:val="20"/>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sufficient brand protection.</w:t>
      </w:r>
    </w:p>
    <w:p>
      <w:pPr>
        <w:spacing w:after="0" w:line="240"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94" w:lineRule="exact"/>
        <w:rPr>
          <w:sz w:val="20"/>
          <w:szCs w:val="20"/>
          <w:color w:val="auto"/>
        </w:rPr>
      </w:pPr>
    </w:p>
    <w:p>
      <w:pPr>
        <w:ind w:right="120" w:firstLine="979"/>
        <w:spacing w:after="0" w:line="246" w:lineRule="auto"/>
        <w:rPr>
          <w:sz w:val="20"/>
          <w:szCs w:val="20"/>
          <w:color w:val="auto"/>
        </w:rPr>
      </w:pPr>
      <w:r>
        <w:rPr>
          <w:rFonts w:ascii="Times New Roman" w:cs="Times New Roman" w:eastAsia="Times New Roman" w:hAnsi="Times New Roman"/>
          <w:sz w:val="20"/>
          <w:szCs w:val="20"/>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200" w:lineRule="exact"/>
        <w:rPr>
          <w:sz w:val="20"/>
          <w:szCs w:val="20"/>
          <w:color w:val="auto"/>
        </w:rPr>
      </w:pPr>
    </w:p>
    <w:p>
      <w:pPr>
        <w:ind w:right="60" w:firstLine="979"/>
        <w:spacing w:after="0" w:line="247" w:lineRule="auto"/>
        <w:rPr>
          <w:sz w:val="20"/>
          <w:szCs w:val="20"/>
          <w:color w:val="auto"/>
        </w:rPr>
      </w:pPr>
      <w:r>
        <w:rPr>
          <w:rFonts w:ascii="Times New Roman" w:cs="Times New Roman" w:eastAsia="Times New Roman" w:hAnsi="Times New Roman"/>
          <w:sz w:val="20"/>
          <w:szCs w:val="20"/>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200" w:lineRule="exact"/>
        <w:rPr>
          <w:sz w:val="20"/>
          <w:szCs w:val="20"/>
          <w:color w:val="auto"/>
        </w:rPr>
      </w:pPr>
    </w:p>
    <w:p>
      <w:pPr>
        <w:ind w:right="100" w:firstLine="979"/>
        <w:spacing w:after="0" w:line="277" w:lineRule="auto"/>
        <w:rPr>
          <w:sz w:val="20"/>
          <w:szCs w:val="20"/>
          <w:color w:val="auto"/>
        </w:rPr>
      </w:pPr>
      <w:r>
        <w:rPr>
          <w:rFonts w:ascii="Times New Roman" w:cs="Times New Roman" w:eastAsia="Times New Roman" w:hAnsi="Times New Roman"/>
          <w:sz w:val="20"/>
          <w:szCs w:val="20"/>
          <w:color w:val="auto"/>
        </w:rPr>
        <w:t>In addition, our competitors may infringe or otherwise violate our trademarks and we may not have adequate resources to enforce our trademarks.</w:t>
      </w:r>
    </w:p>
    <w:p>
      <w:pPr>
        <w:spacing w:after="0" w:line="169" w:lineRule="exact"/>
        <w:rPr>
          <w:sz w:val="20"/>
          <w:szCs w:val="20"/>
          <w:color w:val="auto"/>
        </w:rPr>
      </w:pPr>
    </w:p>
    <w:p>
      <w:pPr>
        <w:ind w:right="60" w:firstLine="979"/>
        <w:spacing w:after="0" w:line="246" w:lineRule="auto"/>
        <w:rPr>
          <w:sz w:val="20"/>
          <w:szCs w:val="20"/>
          <w:color w:val="auto"/>
        </w:rPr>
      </w:pPr>
      <w:r>
        <w:rPr>
          <w:rFonts w:ascii="Times New Roman" w:cs="Times New Roman" w:eastAsia="Times New Roman" w:hAnsi="Times New Roman"/>
          <w:sz w:val="20"/>
          <w:szCs w:val="20"/>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200" w:lineRule="exact"/>
        <w:rPr>
          <w:sz w:val="20"/>
          <w:szCs w:val="20"/>
          <w:color w:val="auto"/>
        </w:rPr>
      </w:pPr>
    </w:p>
    <w:p>
      <w:pPr>
        <w:ind w:right="360" w:firstLine="979"/>
        <w:spacing w:after="0" w:line="277" w:lineRule="auto"/>
        <w:rPr>
          <w:sz w:val="20"/>
          <w:szCs w:val="20"/>
          <w:color w:val="auto"/>
        </w:rPr>
      </w:pPr>
      <w:r>
        <w:rPr>
          <w:rFonts w:ascii="Times New Roman" w:cs="Times New Roman" w:eastAsia="Times New Roman" w:hAnsi="Times New Roman"/>
          <w:sz w:val="20"/>
          <w:szCs w:val="20"/>
          <w:color w:val="auto"/>
        </w:rPr>
        <w:t>Trademarks and domain names are intended, and in some cases required, to be used by their owners. In the absence of meaningful use, we may be forced to forfeit various ones of our trademarks and domain names.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800"/>
          </w:cols>
          <w:pgMar w:left="720" w:top="930" w:right="72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law and regulation could affect the value of our intellectual property portfolio.</w:t>
      </w:r>
    </w:p>
    <w:p>
      <w:pPr>
        <w:spacing w:after="0" w:line="240" w:lineRule="exact"/>
        <w:rPr>
          <w:sz w:val="20"/>
          <w:szCs w:val="20"/>
          <w:color w:val="auto"/>
        </w:rPr>
      </w:pPr>
    </w:p>
    <w:p>
      <w:pPr>
        <w:ind w:right="20" w:firstLine="979"/>
        <w:spacing w:after="0" w:line="252" w:lineRule="auto"/>
        <w:rPr>
          <w:sz w:val="20"/>
          <w:szCs w:val="20"/>
          <w:color w:val="auto"/>
        </w:rPr>
      </w:pPr>
      <w:r>
        <w:rPr>
          <w:rFonts w:ascii="Times New Roman" w:cs="Times New Roman" w:eastAsia="Times New Roman" w:hAnsi="Times New Roman"/>
          <w:sz w:val="20"/>
          <w:szCs w:val="20"/>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94" w:lineRule="exact"/>
        <w:rPr>
          <w:sz w:val="20"/>
          <w:szCs w:val="20"/>
          <w:color w:val="auto"/>
        </w:rPr>
      </w:pPr>
    </w:p>
    <w:p>
      <w:pPr>
        <w:ind w:right="20" w:firstLine="979"/>
        <w:spacing w:after="0" w:line="243" w:lineRule="auto"/>
        <w:rPr>
          <w:sz w:val="20"/>
          <w:szCs w:val="20"/>
          <w:color w:val="auto"/>
        </w:rPr>
      </w:pPr>
      <w:r>
        <w:rPr>
          <w:rFonts w:ascii="Times New Roman" w:cs="Times New Roman" w:eastAsia="Times New Roman" w:hAnsi="Times New Roman"/>
          <w:sz w:val="20"/>
          <w:szCs w:val="20"/>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206" w:lineRule="exact"/>
        <w:rPr>
          <w:sz w:val="20"/>
          <w:szCs w:val="20"/>
          <w:color w:val="auto"/>
        </w:rPr>
      </w:pPr>
    </w:p>
    <w:p>
      <w:pPr>
        <w:ind w:right="80" w:firstLine="979"/>
        <w:spacing w:after="0" w:line="247" w:lineRule="auto"/>
        <w:rPr>
          <w:sz w:val="20"/>
          <w:szCs w:val="20"/>
          <w:color w:val="auto"/>
        </w:rPr>
      </w:pPr>
      <w:r>
        <w:rPr>
          <w:rFonts w:ascii="Times New Roman" w:cs="Times New Roman" w:eastAsia="Times New Roman" w:hAnsi="Times New Roman"/>
          <w:sz w:val="20"/>
          <w:szCs w:val="20"/>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200" w:lineRule="exact"/>
        <w:rPr>
          <w:sz w:val="20"/>
          <w:szCs w:val="20"/>
          <w:color w:val="auto"/>
        </w:rPr>
      </w:pPr>
    </w:p>
    <w:p>
      <w:pPr>
        <w:jc w:val="both"/>
        <w:ind w:right="40" w:firstLine="979"/>
        <w:spacing w:after="0" w:line="258" w:lineRule="auto"/>
        <w:rPr>
          <w:sz w:val="20"/>
          <w:szCs w:val="20"/>
          <w:color w:val="auto"/>
        </w:rPr>
      </w:pPr>
      <w:r>
        <w:rPr>
          <w:rFonts w:ascii="Times New Roman" w:cs="Times New Roman" w:eastAsia="Times New Roman" w:hAnsi="Times New Roman"/>
          <w:sz w:val="20"/>
          <w:szCs w:val="20"/>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provide complete protection for our business activities.</w:t>
      </w:r>
    </w:p>
    <w:p>
      <w:pPr>
        <w:spacing w:after="0" w:line="240" w:lineRule="exact"/>
        <w:rPr>
          <w:sz w:val="20"/>
          <w:szCs w:val="20"/>
          <w:color w:val="auto"/>
        </w:rPr>
      </w:pPr>
    </w:p>
    <w:p>
      <w:pPr>
        <w:ind w:right="220" w:firstLine="979"/>
        <w:spacing w:after="0" w:line="252" w:lineRule="auto"/>
        <w:rPr>
          <w:sz w:val="20"/>
          <w:szCs w:val="20"/>
          <w:color w:val="auto"/>
        </w:rPr>
      </w:pPr>
      <w:r>
        <w:rPr>
          <w:rFonts w:ascii="Times New Roman" w:cs="Times New Roman" w:eastAsia="Times New Roman" w:hAnsi="Times New Roman"/>
          <w:sz w:val="20"/>
          <w:szCs w:val="20"/>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commercialize our products prior to patent expiration.</w:t>
      </w:r>
    </w:p>
    <w:p>
      <w:pPr>
        <w:spacing w:after="0" w:line="240"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United States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intellectual property rights may not be effective against certain competitive products.</w:t>
      </w:r>
    </w:p>
    <w:p>
      <w:pPr>
        <w:spacing w:after="0" w:line="240"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800"/>
          </w:cols>
          <w:pgMar w:left="720" w:top="930" w:right="720" w:bottom="0" w:gutter="0" w:footer="0" w:header="0"/>
          <w:type w:val="continuous"/>
        </w:sectPr>
      </w:pPr>
    </w:p>
    <w:bookmarkStart w:id="80" w:name="page81"/>
    <w:bookmarkEnd w:id="80"/>
    <w:p>
      <w:pPr>
        <w:ind w:right="620" w:firstLine="979"/>
        <w:spacing w:after="0" w:line="258" w:lineRule="auto"/>
        <w:rPr>
          <w:sz w:val="20"/>
          <w:szCs w:val="20"/>
          <w:color w:val="auto"/>
        </w:rPr>
      </w:pPr>
      <w:r>
        <w:rPr>
          <w:rFonts w:ascii="Times New Roman" w:cs="Times New Roman" w:eastAsia="Times New Roman" w:hAnsi="Times New Roman"/>
          <w:sz w:val="20"/>
          <w:szCs w:val="20"/>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8" w:lineRule="exact"/>
        <w:rPr>
          <w:sz w:val="20"/>
          <w:szCs w:val="20"/>
          <w:color w:val="auto"/>
        </w:rPr>
      </w:pPr>
    </w:p>
    <w:p>
      <w:pPr>
        <w:ind w:right="60" w:firstLine="979"/>
        <w:spacing w:after="0" w:line="249" w:lineRule="auto"/>
        <w:rPr>
          <w:sz w:val="20"/>
          <w:szCs w:val="20"/>
          <w:color w:val="auto"/>
        </w:rPr>
      </w:pPr>
      <w:r>
        <w:rPr>
          <w:rFonts w:ascii="Times New Roman" w:cs="Times New Roman" w:eastAsia="Times New Roman" w:hAnsi="Times New Roman"/>
          <w:sz w:val="20"/>
          <w:szCs w:val="20"/>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97" w:lineRule="exact"/>
        <w:rPr>
          <w:sz w:val="20"/>
          <w:szCs w:val="20"/>
          <w:color w:val="auto"/>
        </w:rPr>
      </w:pPr>
    </w:p>
    <w:p>
      <w:pPr>
        <w:ind w:right="100" w:firstLine="979"/>
        <w:spacing w:after="0" w:line="247" w:lineRule="auto"/>
        <w:rPr>
          <w:sz w:val="20"/>
          <w:szCs w:val="20"/>
          <w:color w:val="auto"/>
        </w:rPr>
      </w:pPr>
      <w:r>
        <w:rPr>
          <w:rFonts w:ascii="Times New Roman" w:cs="Times New Roman" w:eastAsia="Times New Roman" w:hAnsi="Times New Roman"/>
          <w:sz w:val="20"/>
          <w:szCs w:val="20"/>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 parties may hold intellectual property rights that cover our product candidates.</w:t>
      </w:r>
    </w:p>
    <w:p>
      <w:pPr>
        <w:spacing w:after="0" w:line="240"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202" w:lineRule="exact"/>
        <w:rPr>
          <w:sz w:val="20"/>
          <w:szCs w:val="20"/>
          <w:color w:val="auto"/>
        </w:rPr>
      </w:pPr>
    </w:p>
    <w:p>
      <w:pPr>
        <w:jc w:val="both"/>
        <w:ind w:right="680" w:firstLine="979"/>
        <w:spacing w:after="0" w:line="258" w:lineRule="auto"/>
        <w:rPr>
          <w:sz w:val="20"/>
          <w:szCs w:val="20"/>
          <w:color w:val="auto"/>
        </w:rPr>
      </w:pPr>
      <w:r>
        <w:rPr>
          <w:rFonts w:ascii="Times New Roman" w:cs="Times New Roman" w:eastAsia="Times New Roman" w:hAnsi="Times New Roman"/>
          <w:sz w:val="20"/>
          <w:szCs w:val="20"/>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8"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We are presently reliant upon an in-license with InCube Labs, LLC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97" w:lineRule="exact"/>
        <w:rPr>
          <w:sz w:val="20"/>
          <w:szCs w:val="20"/>
          <w:color w:val="auto"/>
        </w:rPr>
      </w:pPr>
    </w:p>
    <w:p>
      <w:pPr>
        <w:ind w:right="80" w:firstLine="979"/>
        <w:spacing w:after="0" w:line="245" w:lineRule="auto"/>
        <w:rPr>
          <w:sz w:val="20"/>
          <w:szCs w:val="20"/>
          <w:color w:val="auto"/>
        </w:rPr>
      </w:pPr>
      <w:r>
        <w:rPr>
          <w:rFonts w:ascii="Times New Roman" w:cs="Times New Roman" w:eastAsia="Times New Roman" w:hAnsi="Times New Roman"/>
          <w:sz w:val="20"/>
          <w:szCs w:val="20"/>
          <w:color w:val="auto"/>
        </w:rPr>
        <w:t>Further, we are presently party to a Service Agreement with ICL effective January 1, 2021, as amended in March 2022 and March 2024 (as amended, the "Rani LLC-ICL Service Agreement"), pursuant to which Rani LLC and ICL agreed to provide personnel services to the other upon requests, and Rani LLC occupies certain facilities leased by ICL. Pursuant to the Rani LLC-ICL Service Agreement, we may engage ICL to perform development work on behalf of our company. We will wholly own intellectual property resulting from such development work only if it relates to the oral delivery of a biotherapeutic agent or sensor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202"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200" w:lineRule="exact"/>
        <w:rPr>
          <w:sz w:val="20"/>
          <w:szCs w:val="20"/>
          <w:color w:val="auto"/>
        </w:rPr>
      </w:pPr>
    </w:p>
    <w:p>
      <w:pPr>
        <w:ind w:right="80" w:firstLine="979"/>
        <w:spacing w:after="0" w:line="258" w:lineRule="auto"/>
        <w:rPr>
          <w:sz w:val="20"/>
          <w:szCs w:val="20"/>
          <w:color w:val="auto"/>
        </w:rPr>
      </w:pPr>
      <w:r>
        <w:rPr>
          <w:rFonts w:ascii="Times New Roman" w:cs="Times New Roman" w:eastAsia="Times New Roman" w:hAnsi="Times New Roman"/>
          <w:sz w:val="20"/>
          <w:szCs w:val="20"/>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800"/>
          </w:cols>
          <w:pgMar w:left="720" w:top="930" w:right="720" w:bottom="0" w:gutter="0" w:footer="0" w:header="0"/>
          <w:type w:val="continuous"/>
        </w:sectPr>
      </w:pPr>
    </w:p>
    <w:bookmarkStart w:id="81" w:name="page82"/>
    <w:bookmarkEnd w:id="81"/>
    <w:p>
      <w:pPr>
        <w:ind w:right="280" w:firstLine="979"/>
        <w:spacing w:after="0" w:line="258" w:lineRule="auto"/>
        <w:rPr>
          <w:sz w:val="20"/>
          <w:szCs w:val="20"/>
          <w:color w:val="auto"/>
        </w:rPr>
      </w:pPr>
      <w:r>
        <w:rPr>
          <w:rFonts w:ascii="Times New Roman" w:cs="Times New Roman" w:eastAsia="Times New Roman" w:hAnsi="Times New Roman"/>
          <w:sz w:val="20"/>
          <w:szCs w:val="20"/>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69"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Others may challenge our intellectual property in administrative proceedings.</w:t>
      </w:r>
    </w:p>
    <w:p>
      <w:pPr>
        <w:spacing w:after="0" w:line="240"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97"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European patents are presently being challenged in Europe, and if one or more of such challenges is successful it could encourage such party or other parties to challenge additional patents of ours in Europe or other jurisdictions.</w:t>
      </w:r>
    </w:p>
    <w:p>
      <w:pPr>
        <w:spacing w:after="0" w:line="169" w:lineRule="exact"/>
        <w:rPr>
          <w:sz w:val="20"/>
          <w:szCs w:val="20"/>
          <w:color w:val="auto"/>
        </w:rPr>
      </w:pPr>
    </w:p>
    <w:p>
      <w:pPr>
        <w:ind w:right="40" w:firstLine="979"/>
        <w:spacing w:after="0" w:line="252" w:lineRule="auto"/>
        <w:rPr>
          <w:sz w:val="20"/>
          <w:szCs w:val="20"/>
          <w:color w:val="auto"/>
        </w:rPr>
      </w:pPr>
      <w:r>
        <w:rPr>
          <w:rFonts w:ascii="Times New Roman" w:cs="Times New Roman" w:eastAsia="Times New Roman" w:hAnsi="Times New Roman"/>
          <w:sz w:val="20"/>
          <w:szCs w:val="20"/>
          <w:color w:val="auto"/>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involved in opposition proceedings involving four of our European patents at the EPO, all of which opposition proceedings were asserted against us by Novo Nordisk A/S.</w:t>
      </w:r>
    </w:p>
    <w:p>
      <w:pPr>
        <w:spacing w:after="0" w:line="194" w:lineRule="exact"/>
        <w:rPr>
          <w:sz w:val="20"/>
          <w:szCs w:val="20"/>
          <w:color w:val="auto"/>
        </w:rPr>
      </w:pPr>
    </w:p>
    <w:p>
      <w:pPr>
        <w:jc w:val="both"/>
        <w:ind w:right="540" w:firstLine="979"/>
        <w:spacing w:after="0" w:line="258" w:lineRule="auto"/>
        <w:rPr>
          <w:sz w:val="20"/>
          <w:szCs w:val="20"/>
          <w:color w:val="auto"/>
        </w:rPr>
      </w:pPr>
      <w:r>
        <w:rPr>
          <w:rFonts w:ascii="Times New Roman" w:cs="Times New Roman" w:eastAsia="Times New Roman" w:hAnsi="Times New Roman"/>
          <w:sz w:val="20"/>
          <w:szCs w:val="20"/>
          <w:color w:val="auto"/>
        </w:rPr>
        <w:t>The first opposition proceeding involves European Patent No. 2515992, which is generally directed to an ingestible device. In July 2021, the EPO Opposition Division issued a decision resulting in an amendment to the claims of the patent. Both parties subsequently filed a notice of appeal with the EPO Appeal Board and we are awaiting a final decision.</w:t>
      </w:r>
    </w:p>
    <w:p>
      <w:pPr>
        <w:spacing w:after="0" w:line="188" w:lineRule="exact"/>
        <w:rPr>
          <w:sz w:val="20"/>
          <w:szCs w:val="20"/>
          <w:color w:val="auto"/>
        </w:rPr>
      </w:pPr>
    </w:p>
    <w:p>
      <w:pPr>
        <w:ind w:right="340" w:firstLine="979"/>
        <w:spacing w:after="0" w:line="258" w:lineRule="auto"/>
        <w:rPr>
          <w:sz w:val="20"/>
          <w:szCs w:val="20"/>
          <w:color w:val="auto"/>
        </w:rPr>
      </w:pPr>
      <w:r>
        <w:rPr>
          <w:rFonts w:ascii="Times New Roman" w:cs="Times New Roman" w:eastAsia="Times New Roman" w:hAnsi="Times New Roman"/>
          <w:sz w:val="20"/>
          <w:szCs w:val="20"/>
          <w:color w:val="auto"/>
        </w:rPr>
        <w:t>The second opposition proceeding involves European Patent No. 2544668, which is generally directed to a therapeutic agent preparation. In December 2021, the EPO Opposition Division issued a decision resulting in revocation of the patent. Both parties subsequently filed a notice of appeal with the EPO Appeal Board and we are awaiting a final decision.</w:t>
      </w:r>
    </w:p>
    <w:p>
      <w:pPr>
        <w:spacing w:after="0" w:line="188" w:lineRule="exact"/>
        <w:rPr>
          <w:sz w:val="20"/>
          <w:szCs w:val="20"/>
          <w:color w:val="auto"/>
        </w:rPr>
      </w:pPr>
    </w:p>
    <w:p>
      <w:pPr>
        <w:jc w:val="both"/>
        <w:ind w:right="180" w:firstLine="979"/>
        <w:spacing w:after="0" w:line="278" w:lineRule="auto"/>
        <w:rPr>
          <w:sz w:val="20"/>
          <w:szCs w:val="20"/>
          <w:color w:val="auto"/>
        </w:rPr>
      </w:pPr>
      <w:r>
        <w:rPr>
          <w:rFonts w:ascii="Times New Roman" w:cs="Times New Roman" w:eastAsia="Times New Roman" w:hAnsi="Times New Roman"/>
          <w:sz w:val="19"/>
          <w:szCs w:val="19"/>
          <w:color w:val="auto"/>
        </w:rPr>
        <w:t>The third opposition proceeding involves European Patent No. 3461478, which is in the same family as European Patent No. 2515992 noted above. In April 2022, the EPO Opposition Division issued a decision resulting in an amendment to the claims of the patent. Both parties subsequently filed a notice of appeal with the EPO Appeal Board and we are awaiting a final decision.</w:t>
      </w:r>
    </w:p>
    <w:p>
      <w:pPr>
        <w:spacing w:after="0" w:line="171" w:lineRule="exact"/>
        <w:rPr>
          <w:sz w:val="20"/>
          <w:szCs w:val="20"/>
          <w:color w:val="auto"/>
        </w:rPr>
      </w:pPr>
    </w:p>
    <w:p>
      <w:pPr>
        <w:jc w:val="both"/>
        <w:ind w:right="220" w:firstLine="979"/>
        <w:spacing w:after="0" w:line="258" w:lineRule="auto"/>
        <w:rPr>
          <w:sz w:val="20"/>
          <w:szCs w:val="20"/>
          <w:color w:val="auto"/>
        </w:rPr>
      </w:pPr>
      <w:r>
        <w:rPr>
          <w:rFonts w:ascii="Times New Roman" w:cs="Times New Roman" w:eastAsia="Times New Roman" w:hAnsi="Times New Roman"/>
          <w:sz w:val="20"/>
          <w:szCs w:val="20"/>
          <w:color w:val="auto"/>
        </w:rPr>
        <w:t>The fourth opposition proceeding involves European Patent No. 3653223, which is generally directed to a swallowable device. In October 2023, the EPO Opposition Division issued a decision resulting in an amendment to the claims of the patent. Both parties subsequently filed a notice of appeal with the EPO Appeal Board and we are awaiting a final decision.</w:t>
      </w:r>
    </w:p>
    <w:p>
      <w:pPr>
        <w:spacing w:after="0" w:line="188" w:lineRule="exact"/>
        <w:rPr>
          <w:sz w:val="20"/>
          <w:szCs w:val="20"/>
          <w:color w:val="auto"/>
        </w:rPr>
      </w:pPr>
    </w:p>
    <w:p>
      <w:pPr>
        <w:ind w:right="160" w:firstLine="979"/>
        <w:spacing w:after="0" w:line="243" w:lineRule="auto"/>
        <w:rPr>
          <w:sz w:val="20"/>
          <w:szCs w:val="20"/>
          <w:color w:val="auto"/>
        </w:rPr>
      </w:pPr>
      <w:r>
        <w:rPr>
          <w:rFonts w:ascii="Times New Roman" w:cs="Times New Roman" w:eastAsia="Times New Roman" w:hAnsi="Times New Roman"/>
          <w:sz w:val="20"/>
          <w:szCs w:val="20"/>
          <w:color w:val="auto"/>
        </w:rPr>
        <w:t>While we own numerous issued European patents and pending European patent applications, including several in the same patent families as the four patents noted above and which are not currently the subject of opposition proceedings, there is a risk that one or more of our issued European patents will be revoked, or have its claims amended, through an opposition process. If this were to happen to one of our European patents, the corresponding national patent in each European country in which the European patent was validated would similarly be revoked or have its claims amended. We believe that our current patent portfolio provides us with meaningful protection of the RaniPill technology in Europe even apart from the four European patents which are the subject of the current opposition proceedings. However, if any of the current oppositions results in a revocation or reduction in our patent protection, it could encourage Novo Nordisk A/S or other parties to seek to invalidate or reduce additional patents in Europe or other jurisdictions. If current or future opposition proceedings result in the revocation or amendment of one or more of our patents that cover important aspects of our technology, it could have a material adverse impact on our ability to commercialize and/or our ability to defend against potential competitors in Europe or the applicable jurisdiction(s).</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There is a risk that we may face additional oppositions in Europe as additional European patents are granted.</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800"/>
          </w:cols>
          <w:pgMar w:left="720" w:top="930" w:right="72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auto"/>
        </w:rPr>
        <w:t>We may assert challenges against others of infringement of our intellectual property.</w:t>
      </w:r>
    </w:p>
    <w:p>
      <w:pPr>
        <w:spacing w:after="0" w:line="240"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200" w:lineRule="exact"/>
        <w:rPr>
          <w:sz w:val="20"/>
          <w:szCs w:val="20"/>
          <w:color w:val="auto"/>
        </w:rPr>
      </w:pPr>
    </w:p>
    <w:p>
      <w:pPr>
        <w:ind w:right="60" w:firstLine="979"/>
        <w:spacing w:after="0" w:line="242" w:lineRule="auto"/>
        <w:rPr>
          <w:sz w:val="20"/>
          <w:szCs w:val="20"/>
          <w:color w:val="auto"/>
        </w:rPr>
      </w:pPr>
      <w:r>
        <w:rPr>
          <w:rFonts w:ascii="Times New Roman" w:cs="Times New Roman" w:eastAsia="Times New Roman" w:hAnsi="Times New Roman"/>
          <w:sz w:val="20"/>
          <w:szCs w:val="20"/>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213"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200" w:lineRule="exact"/>
        <w:rPr>
          <w:sz w:val="20"/>
          <w:szCs w:val="20"/>
          <w:color w:val="auto"/>
        </w:rPr>
      </w:pPr>
    </w:p>
    <w:p>
      <w:pPr>
        <w:ind w:right="60" w:firstLine="979"/>
        <w:spacing w:after="0" w:line="277"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69" w:lineRule="exact"/>
        <w:rPr>
          <w:sz w:val="20"/>
          <w:szCs w:val="20"/>
          <w:color w:val="auto"/>
        </w:rPr>
      </w:pPr>
    </w:p>
    <w:p>
      <w:pPr>
        <w:ind w:right="340" w:firstLine="979"/>
        <w:spacing w:after="0" w:line="258" w:lineRule="auto"/>
        <w:rPr>
          <w:sz w:val="20"/>
          <w:szCs w:val="20"/>
          <w:color w:val="auto"/>
        </w:rPr>
      </w:pPr>
      <w:r>
        <w:rPr>
          <w:rFonts w:ascii="Times New Roman" w:cs="Times New Roman" w:eastAsia="Times New Roman" w:hAnsi="Times New Roman"/>
          <w:sz w:val="20"/>
          <w:szCs w:val="20"/>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challenges asserting infringement of intellectual property of a third party.</w:t>
      </w:r>
    </w:p>
    <w:p>
      <w:pPr>
        <w:spacing w:after="0" w:line="240" w:lineRule="exact"/>
        <w:rPr>
          <w:sz w:val="20"/>
          <w:szCs w:val="20"/>
          <w:color w:val="auto"/>
        </w:rPr>
      </w:pPr>
    </w:p>
    <w:p>
      <w:pPr>
        <w:ind w:right="120" w:firstLine="979"/>
        <w:spacing w:after="0" w:line="277" w:lineRule="auto"/>
        <w:rPr>
          <w:sz w:val="20"/>
          <w:szCs w:val="20"/>
          <w:color w:val="auto"/>
        </w:rPr>
      </w:pPr>
      <w:r>
        <w:rPr>
          <w:rFonts w:ascii="Times New Roman" w:cs="Times New Roman" w:eastAsia="Times New Roman" w:hAnsi="Times New Roman"/>
          <w:sz w:val="20"/>
          <w:szCs w:val="20"/>
          <w:color w:val="auto"/>
        </w:rPr>
        <w:t>Our commercial success depends, in part, upon our ability to develop, manufacture, market and sell our products and use our proprietary technologies without infringing the intellectual property rights of third parties.</w:t>
      </w:r>
    </w:p>
    <w:p>
      <w:pPr>
        <w:spacing w:after="0" w:line="169" w:lineRule="exact"/>
        <w:rPr>
          <w:sz w:val="20"/>
          <w:szCs w:val="20"/>
          <w:color w:val="auto"/>
        </w:rPr>
      </w:pPr>
    </w:p>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 party’s patent or trademark or of misappropriating a third party’s trade secret.</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780"/>
          </w:cols>
          <w:pgMar w:left="720" w:top="930" w:right="740" w:bottom="0" w:gutter="0" w:footer="0" w:header="0"/>
          <w:type w:val="continuous"/>
        </w:sectPr>
      </w:pPr>
    </w:p>
    <w:bookmarkStart w:id="83" w:name="page84"/>
    <w:bookmarkEnd w:id="83"/>
    <w:p>
      <w:pPr>
        <w:ind w:right="60" w:firstLine="979"/>
        <w:spacing w:after="0" w:line="246" w:lineRule="auto"/>
        <w:rPr>
          <w:sz w:val="20"/>
          <w:szCs w:val="20"/>
          <w:color w:val="auto"/>
        </w:rPr>
      </w:pPr>
      <w:r>
        <w:rPr>
          <w:rFonts w:ascii="Times New Roman" w:cs="Times New Roman" w:eastAsia="Times New Roman" w:hAnsi="Times New Roman"/>
          <w:sz w:val="20"/>
          <w:szCs w:val="20"/>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200" w:lineRule="exact"/>
        <w:rPr>
          <w:sz w:val="20"/>
          <w:szCs w:val="20"/>
          <w:color w:val="auto"/>
        </w:rPr>
      </w:pPr>
    </w:p>
    <w:p>
      <w:pPr>
        <w:ind w:right="60" w:firstLine="979"/>
        <w:spacing w:after="0" w:line="249" w:lineRule="auto"/>
        <w:rPr>
          <w:sz w:val="20"/>
          <w:szCs w:val="20"/>
          <w:color w:val="auto"/>
        </w:rPr>
      </w:pPr>
      <w:r>
        <w:rPr>
          <w:rFonts w:ascii="Times New Roman" w:cs="Times New Roman" w:eastAsia="Times New Roman" w:hAnsi="Times New Roman"/>
          <w:sz w:val="20"/>
          <w:szCs w:val="20"/>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97" w:lineRule="exact"/>
        <w:rPr>
          <w:sz w:val="20"/>
          <w:szCs w:val="20"/>
          <w:color w:val="auto"/>
        </w:rPr>
      </w:pPr>
    </w:p>
    <w:p>
      <w:pPr>
        <w:jc w:val="both"/>
        <w:ind w:right="100" w:firstLine="979"/>
        <w:spacing w:after="0" w:line="249" w:lineRule="auto"/>
        <w:rPr>
          <w:sz w:val="20"/>
          <w:szCs w:val="20"/>
          <w:color w:val="auto"/>
        </w:rPr>
      </w:pPr>
      <w:r>
        <w:rPr>
          <w:rFonts w:ascii="Times New Roman" w:cs="Times New Roman" w:eastAsia="Times New Roman" w:hAnsi="Times New Roman"/>
          <w:sz w:val="20"/>
          <w:szCs w:val="20"/>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97" w:lineRule="exact"/>
        <w:rPr>
          <w:sz w:val="20"/>
          <w:szCs w:val="20"/>
          <w:color w:val="auto"/>
        </w:rPr>
      </w:pPr>
    </w:p>
    <w:p>
      <w:pPr>
        <w:ind w:right="340" w:firstLine="979"/>
        <w:spacing w:after="0" w:line="258" w:lineRule="auto"/>
        <w:rPr>
          <w:sz w:val="20"/>
          <w:szCs w:val="20"/>
          <w:color w:val="auto"/>
        </w:rPr>
      </w:pPr>
      <w:r>
        <w:rPr>
          <w:rFonts w:ascii="Times New Roman" w:cs="Times New Roman" w:eastAsia="Times New Roman" w:hAnsi="Times New Roman"/>
          <w:sz w:val="20"/>
          <w:szCs w:val="20"/>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challenges asserting misappropriation of intellectual property of a third party.</w:t>
      </w:r>
    </w:p>
    <w:p>
      <w:pPr>
        <w:spacing w:after="0" w:line="240"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200" w:lineRule="exact"/>
        <w:rPr>
          <w:sz w:val="20"/>
          <w:szCs w:val="20"/>
          <w:color w:val="auto"/>
        </w:rPr>
      </w:pPr>
    </w:p>
    <w:p>
      <w:pPr>
        <w:ind w:right="120" w:firstLine="979"/>
        <w:spacing w:after="0" w:line="252" w:lineRule="auto"/>
        <w:rPr>
          <w:sz w:val="20"/>
          <w:szCs w:val="20"/>
          <w:color w:val="auto"/>
        </w:rPr>
      </w:pPr>
      <w:r>
        <w:rPr>
          <w:rFonts w:ascii="Times New Roman" w:cs="Times New Roman" w:eastAsia="Times New Roman" w:hAnsi="Times New Roman"/>
          <w:sz w:val="20"/>
          <w:szCs w:val="20"/>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challenges to the inventorship or ownership of our intellectual property.</w:t>
      </w:r>
    </w:p>
    <w:p>
      <w:pPr>
        <w:spacing w:after="0" w:line="240" w:lineRule="exact"/>
        <w:rPr>
          <w:sz w:val="20"/>
          <w:szCs w:val="20"/>
          <w:color w:val="auto"/>
        </w:rPr>
      </w:pPr>
    </w:p>
    <w:p>
      <w:pPr>
        <w:ind w:right="60" w:firstLine="979"/>
        <w:spacing w:after="0" w:line="245" w:lineRule="auto"/>
        <w:rPr>
          <w:sz w:val="20"/>
          <w:szCs w:val="20"/>
          <w:color w:val="auto"/>
        </w:rPr>
      </w:pPr>
      <w:r>
        <w:rPr>
          <w:rFonts w:ascii="Times New Roman" w:cs="Times New Roman" w:eastAsia="Times New Roman" w:hAnsi="Times New Roman"/>
          <w:sz w:val="20"/>
          <w:szCs w:val="20"/>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us regarding inventions related to our business,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202"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800"/>
          </w:cols>
          <w:pgMar w:left="720" w:top="930" w:right="72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auto"/>
        </w:rPr>
        <w:t>Third parties may obtain our proprietary information, which could harm our business and competitive position.</w:t>
      </w:r>
    </w:p>
    <w:p>
      <w:pPr>
        <w:spacing w:after="0" w:line="240" w:lineRule="exact"/>
        <w:rPr>
          <w:sz w:val="20"/>
          <w:szCs w:val="20"/>
          <w:color w:val="auto"/>
        </w:rPr>
      </w:pPr>
    </w:p>
    <w:p>
      <w:pPr>
        <w:ind w:right="40" w:firstLine="979"/>
        <w:spacing w:after="0" w:line="258" w:lineRule="auto"/>
        <w:rPr>
          <w:sz w:val="20"/>
          <w:szCs w:val="20"/>
          <w:color w:val="auto"/>
        </w:rPr>
      </w:pPr>
      <w:r>
        <w:rPr>
          <w:rFonts w:ascii="Times New Roman" w:cs="Times New Roman" w:eastAsia="Times New Roman" w:hAnsi="Times New Roman"/>
          <w:sz w:val="20"/>
          <w:szCs w:val="20"/>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8" w:lineRule="exact"/>
        <w:rPr>
          <w:sz w:val="20"/>
          <w:szCs w:val="20"/>
          <w:color w:val="auto"/>
        </w:rPr>
      </w:pPr>
    </w:p>
    <w:p>
      <w:pPr>
        <w:ind w:right="80" w:firstLine="979"/>
        <w:spacing w:after="0" w:line="245" w:lineRule="auto"/>
        <w:rPr>
          <w:sz w:val="20"/>
          <w:szCs w:val="20"/>
          <w:color w:val="auto"/>
        </w:rPr>
      </w:pPr>
      <w:r>
        <w:rPr>
          <w:rFonts w:ascii="Times New Roman" w:cs="Times New Roman" w:eastAsia="Times New Roman" w:hAnsi="Times New Roman"/>
          <w:sz w:val="20"/>
          <w:szCs w:val="20"/>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202" w:lineRule="exact"/>
        <w:rPr>
          <w:sz w:val="20"/>
          <w:szCs w:val="20"/>
          <w:color w:val="auto"/>
        </w:rPr>
      </w:pPr>
    </w:p>
    <w:p>
      <w:pPr>
        <w:ind w:right="180" w:firstLine="979"/>
        <w:spacing w:after="0" w:line="258" w:lineRule="auto"/>
        <w:rPr>
          <w:sz w:val="20"/>
          <w:szCs w:val="20"/>
          <w:color w:val="auto"/>
        </w:rPr>
      </w:pPr>
      <w:r>
        <w:rPr>
          <w:rFonts w:ascii="Times New Roman" w:cs="Times New Roman" w:eastAsia="Times New Roman" w:hAnsi="Times New Roman"/>
          <w:sz w:val="20"/>
          <w:szCs w:val="20"/>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88" w:lineRule="exact"/>
        <w:rPr>
          <w:sz w:val="20"/>
          <w:szCs w:val="20"/>
          <w:color w:val="auto"/>
        </w:rPr>
      </w:pPr>
    </w:p>
    <w:p>
      <w:pPr>
        <w:ind w:right="200" w:firstLine="979"/>
        <w:spacing w:after="0" w:line="252" w:lineRule="auto"/>
        <w:rPr>
          <w:sz w:val="20"/>
          <w:szCs w:val="20"/>
          <w:color w:val="auto"/>
        </w:rPr>
      </w:pPr>
      <w:r>
        <w:rPr>
          <w:rFonts w:ascii="Times New Roman" w:cs="Times New Roman" w:eastAsia="Times New Roman" w:hAnsi="Times New Roman"/>
          <w:sz w:val="20"/>
          <w:szCs w:val="20"/>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4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principal asset is our interest in Rani LLC. Accordingly, we will depend on distributions from Rani LLC to pay our taxes, expenses (including payments under the Tax Receivable Agreement) and dividends. Rani’s ability to make such distributions may be subject to various limitations and restrictions.</w:t>
      </w:r>
    </w:p>
    <w:p>
      <w:pPr>
        <w:spacing w:after="0" w:line="188" w:lineRule="exact"/>
        <w:rPr>
          <w:sz w:val="20"/>
          <w:szCs w:val="20"/>
          <w:color w:val="auto"/>
        </w:rPr>
      </w:pPr>
    </w:p>
    <w:p>
      <w:pPr>
        <w:ind w:right="20" w:firstLine="979"/>
        <w:spacing w:after="0" w:line="244" w:lineRule="auto"/>
        <w:rPr>
          <w:sz w:val="20"/>
          <w:szCs w:val="20"/>
          <w:color w:val="auto"/>
        </w:rPr>
      </w:pPr>
      <w:r>
        <w:rPr>
          <w:rFonts w:ascii="Times New Roman" w:cs="Times New Roman" w:eastAsia="Times New Roman" w:hAnsi="Times New Roman"/>
          <w:sz w:val="20"/>
          <w:szCs w:val="20"/>
          <w:color w:val="auto"/>
        </w:rPr>
        <w:t>We are a holding company and have no material assets other than our ownership of LLC Interests of Rani LLC. As such, we have no independent means of generating net sales or cash flow, and our ability to pay our taxes and operating expenses or declare and pay dividends in the future, if any, is dependent upon the financial results and cash flows of Rani LLC and distributions we receive from Rani LLC. Rani LLC may not generate sufficient cash flow to distribute funds to us and applicable state law and contractual restrictions, including negative covenants in our debt instruments, may not permit such distributions. In August 2021, in connection with the IPO and Organizational Transactions, we entered into a Tax Receivable Agreement with certain of the Continuing LLC Owners. See the risk factor below entitled “The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206"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Accordingly, we will incur income taxes on our allocable share of any net taxable income of Rani LLC and will also incur expenses related to our operations, including payments under the Tax Receivable Agreement, which we expect could be significant. Furthermore, our allocable share of Rani LLC’s net taxable income will increase over time as the Continuing LLC Owners redeem or exchange their LLC Interests for shares of our Class A common stock.</w:t>
      </w:r>
    </w:p>
    <w:p>
      <w:pPr>
        <w:spacing w:after="0" w:line="200" w:lineRule="exact"/>
        <w:rPr>
          <w:sz w:val="20"/>
          <w:szCs w:val="20"/>
          <w:color w:val="auto"/>
        </w:rPr>
      </w:pPr>
    </w:p>
    <w:p>
      <w:pPr>
        <w:ind w:right="100" w:firstLine="979"/>
        <w:spacing w:after="0" w:line="244" w:lineRule="auto"/>
        <w:rPr>
          <w:sz w:val="20"/>
          <w:szCs w:val="20"/>
          <w:color w:val="auto"/>
        </w:rPr>
      </w:pPr>
      <w:r>
        <w:rPr>
          <w:rFonts w:ascii="Times New Roman" w:cs="Times New Roman" w:eastAsia="Times New Roman" w:hAnsi="Times New Roman"/>
          <w:sz w:val="20"/>
          <w:szCs w:val="20"/>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800"/>
          </w:cols>
          <w:pgMar w:left="720" w:top="930" w:right="720" w:bottom="0" w:gutter="0" w:footer="0" w:header="0"/>
          <w:type w:val="continuous"/>
        </w:sectPr>
      </w:pPr>
    </w:p>
    <w:bookmarkStart w:id="85" w:name="page86"/>
    <w:bookmarkEnd w:id="85"/>
    <w:p>
      <w:pPr>
        <w:ind w:firstLine="979"/>
        <w:spacing w:after="0" w:line="246" w:lineRule="auto"/>
        <w:rPr>
          <w:sz w:val="20"/>
          <w:szCs w:val="20"/>
          <w:color w:val="auto"/>
        </w:rPr>
      </w:pPr>
      <w:r>
        <w:rPr>
          <w:rFonts w:ascii="Times New Roman" w:cs="Times New Roman" w:eastAsia="Times New Roman" w:hAnsi="Times New Roman"/>
          <w:sz w:val="20"/>
          <w:szCs w:val="20"/>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Rani LLC does not have sufficient funds to make distributions, our ability to declare and pay cash dividends will also be restricted or impaired.</w:t>
      </w:r>
    </w:p>
    <w:p>
      <w:pPr>
        <w:spacing w:after="0" w:line="20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197" w:lineRule="exact"/>
        <w:rPr>
          <w:sz w:val="20"/>
          <w:szCs w:val="20"/>
          <w:color w:val="auto"/>
        </w:rPr>
      </w:pPr>
    </w:p>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operating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208" w:lineRule="exact"/>
        <w:rPr>
          <w:sz w:val="20"/>
          <w:szCs w:val="20"/>
          <w:color w:val="auto"/>
        </w:rPr>
      </w:pPr>
    </w:p>
    <w:p>
      <w:pPr>
        <w:ind w:right="20" w:firstLine="979"/>
        <w:spacing w:after="0" w:line="245" w:lineRule="auto"/>
        <w:rPr>
          <w:sz w:val="20"/>
          <w:szCs w:val="20"/>
          <w:color w:val="auto"/>
        </w:rPr>
      </w:pPr>
      <w:r>
        <w:rPr>
          <w:rFonts w:ascii="Times New Roman" w:cs="Times New Roman" w:eastAsia="Times New Roman" w:hAnsi="Times New Roman"/>
          <w:sz w:val="20"/>
          <w:szCs w:val="20"/>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w:t>
      </w:r>
    </w:p>
    <w:p>
      <w:pPr>
        <w:spacing w:after="0" w:line="20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8" w:lineRule="exact"/>
        <w:rPr>
          <w:sz w:val="20"/>
          <w:szCs w:val="20"/>
          <w:color w:val="auto"/>
        </w:rPr>
      </w:pPr>
    </w:p>
    <w:p>
      <w:pPr>
        <w:ind w:right="20" w:firstLine="979"/>
        <w:spacing w:after="0" w:line="243" w:lineRule="auto"/>
        <w:rPr>
          <w:sz w:val="20"/>
          <w:szCs w:val="20"/>
          <w:color w:val="auto"/>
        </w:rPr>
      </w:pPr>
      <w:r>
        <w:rPr>
          <w:rFonts w:ascii="Times New Roman" w:cs="Times New Roman" w:eastAsia="Times New Roman" w:hAnsi="Times New Roman"/>
          <w:sz w:val="20"/>
          <w:szCs w:val="20"/>
          <w:color w:val="auto"/>
        </w:rPr>
        <w:t>We are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 (a) any future redemptions or exchanges of LLC Interests and (b) payments under the Tax Receivable Agreement and (ii) certain other tax benefits arising from payments under the 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 certain of the Continuing LLC Owners could be significant. See the section titled “</w:t>
      </w:r>
      <w:r>
        <w:rPr>
          <w:rFonts w:ascii="Times New Roman" w:cs="Times New Roman" w:eastAsia="Times New Roman" w:hAnsi="Times New Roman"/>
          <w:sz w:val="20"/>
          <w:szCs w:val="20"/>
          <w:i w:val="1"/>
          <w:iCs w:val="1"/>
          <w:color w:val="auto"/>
        </w:rPr>
        <w:t>Management’s Discussion and Analysis of Financial Condition and Results of Operations—Liquidity and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Resources—Source of Liquidity</w:t>
      </w:r>
      <w:r>
        <w:rPr>
          <w:rFonts w:ascii="Times New Roman" w:cs="Times New Roman" w:eastAsia="Times New Roman" w:hAnsi="Times New Roman"/>
          <w:sz w:val="20"/>
          <w:szCs w:val="20"/>
          <w:color w:val="auto"/>
        </w:rPr>
        <w:t>” for further information.</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800"/>
          </w:cols>
          <w:pgMar w:left="720" w:top="930" w:right="720" w:bottom="0" w:gutter="0" w:footer="0" w:header="0"/>
          <w:type w:val="continuous"/>
        </w:sectPr>
      </w:pPr>
    </w:p>
    <w:bookmarkStart w:id="86" w:name="page87"/>
    <w:bookmarkEnd w:id="86"/>
    <w:p>
      <w:pPr>
        <w:ind w:right="20" w:firstLine="979"/>
        <w:spacing w:after="0" w:line="242"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w:t>
      </w:r>
    </w:p>
    <w:p>
      <w:pPr>
        <w:spacing w:after="0" w:line="213" w:lineRule="exact"/>
        <w:rPr>
          <w:sz w:val="20"/>
          <w:szCs w:val="20"/>
          <w:color w:val="auto"/>
        </w:rPr>
      </w:pPr>
    </w:p>
    <w:p>
      <w:pPr>
        <w:ind w:right="120" w:firstLine="979"/>
        <w:spacing w:after="0" w:line="245" w:lineRule="auto"/>
        <w:rPr>
          <w:sz w:val="20"/>
          <w:szCs w:val="20"/>
          <w:color w:val="auto"/>
        </w:rPr>
      </w:pPr>
      <w:r>
        <w:rPr>
          <w:rFonts w:ascii="Times New Roman" w:cs="Times New Roman" w:eastAsia="Times New Roman" w:hAnsi="Times New Roman"/>
          <w:sz w:val="20"/>
          <w:szCs w:val="20"/>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20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88"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United States government securities and cash items) on an unconsolidated basis. We do not believe that we are an “investment company,” as such term is defined in either of those sections of the 1940 Act.</w:t>
      </w:r>
    </w:p>
    <w:p>
      <w:pPr>
        <w:spacing w:after="0" w:line="200" w:lineRule="exact"/>
        <w:rPr>
          <w:sz w:val="20"/>
          <w:szCs w:val="20"/>
          <w:color w:val="auto"/>
        </w:rPr>
      </w:pPr>
    </w:p>
    <w:p>
      <w:pPr>
        <w:ind w:right="20" w:firstLine="979"/>
        <w:spacing w:after="0" w:line="258" w:lineRule="auto"/>
        <w:rPr>
          <w:sz w:val="20"/>
          <w:szCs w:val="20"/>
          <w:color w:val="auto"/>
        </w:rPr>
      </w:pPr>
      <w:r>
        <w:rPr>
          <w:rFonts w:ascii="Times New Roman" w:cs="Times New Roman" w:eastAsia="Times New Roman" w:hAnsi="Times New Roman"/>
          <w:sz w:val="20"/>
          <w:szCs w:val="20"/>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88"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19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ICL currently supports certain of our general and administrative corporate functions and we occupy space within facilities owned or leased by ICL pursuant to service agreements. If we were required to replicate or replace these services sooner than planned or if one or both of the service agreements is terminated, our operations could be adversely affected.</w:t>
      </w:r>
    </w:p>
    <w:p>
      <w:pPr>
        <w:spacing w:after="0" w:line="188" w:lineRule="exact"/>
        <w:rPr>
          <w:sz w:val="20"/>
          <w:szCs w:val="20"/>
          <w:color w:val="auto"/>
        </w:rPr>
      </w:pPr>
    </w:p>
    <w:p>
      <w:pPr>
        <w:ind w:right="160" w:firstLine="979"/>
        <w:spacing w:after="0" w:line="245" w:lineRule="auto"/>
        <w:rPr>
          <w:sz w:val="20"/>
          <w:szCs w:val="20"/>
          <w:color w:val="auto"/>
        </w:rPr>
      </w:pPr>
      <w:r>
        <w:rPr>
          <w:rFonts w:ascii="Times New Roman" w:cs="Times New Roman" w:eastAsia="Times New Roman" w:hAnsi="Times New Roman"/>
          <w:sz w:val="20"/>
          <w:szCs w:val="20"/>
          <w:color w:val="auto"/>
        </w:rPr>
        <w:t>Pursuant to the Rani LLC-ICL Service Agreement, ICL provides us certain general and administrative corporate support services. In addition, pursuant to the Rani LLC-ICL Service Agreement and a separate service agreement dated January 1, 2021 originally between RMS and ICL but which was assigned by RMS to Rani LLC in April 2022 and amended in March 2024 (the “RMS-ICL Service Agreement”), we sublease from ICL the office, laboratory and manufacturing space used for our operations (“Occupancy Services”). In March 2024, we entered into an amendment to the RMS-ICL Service Agreement to increase the Occupancy Services from 23,000 square feet to 24,000 square feet. In March 2024, we also entered into an amendment to the Rani LLC-ICL Service Agreement to extend the term of the Occupancy Services in Milpitas, California from February 2024 to August 2024 and to increase the payment for such Occupancy Services during the extension period.</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780"/>
          </w:cols>
          <w:pgMar w:left="720" w:top="930" w:right="740" w:bottom="0" w:gutter="0" w:footer="0" w:header="0"/>
          <w:type w:val="continuous"/>
        </w:sectPr>
      </w:pPr>
    </w:p>
    <w:bookmarkStart w:id="87" w:name="page88"/>
    <w:bookmarkEnd w:id="87"/>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Pursuant to the Rani LLC-ICL Service Agreement, we will wholly own intellectual property resulting from ICL’s development work that relates only to the oral delivery of sensors, small molecule drugs or biologic drugs and was developed by our team and using our resources. ICL has agreed to exclusively license certain intellectual property to us for use solely within the field of oral delivery of sensors, small molecule drugs and biologic drugs, but we may not obtain a license on favorable terms.</w:t>
      </w:r>
    </w:p>
    <w:p>
      <w:pPr>
        <w:spacing w:after="0" w:line="194" w:lineRule="exact"/>
        <w:rPr>
          <w:sz w:val="20"/>
          <w:szCs w:val="20"/>
          <w:color w:val="auto"/>
        </w:rPr>
      </w:pPr>
    </w:p>
    <w:p>
      <w:pPr>
        <w:ind w:right="20" w:firstLine="979"/>
        <w:spacing w:after="0" w:line="244" w:lineRule="auto"/>
        <w:rPr>
          <w:sz w:val="20"/>
          <w:szCs w:val="20"/>
          <w:color w:val="auto"/>
        </w:rPr>
      </w:pPr>
      <w:r>
        <w:rPr>
          <w:rFonts w:ascii="Times New Roman" w:cs="Times New Roman" w:eastAsia="Times New Roman" w:hAnsi="Times New Roman"/>
          <w:sz w:val="20"/>
          <w:szCs w:val="20"/>
          <w:color w:val="auto"/>
        </w:rPr>
        <w:t>The Rani LLC-ICL Service Agreement will automatically renew for successive one-year terms unless sooner terminated by either party. Termination of individual services under the Rani LLC-ICL Service Agreement or RMS-ICL Service Agreement requires 60 days’ notice, and termination of Occupancy Services under the Rani LLC-ICL Service Agreement or RMS-ICL Service Agreement requires six months’ notice; except that the Occupancy Services in Milpitas, California will expire in August 2024, following the amendment entered into in March 2024. In the event the Rani LLC-ICL Service Agreement or RMS-ICL Service Agreement is terminated by us or ICL, we will need to replicate or replace certain functions, systems, equipment or facilities to which we will no longer have the same access. Such changes may be costly to implement and disruptive to our business. In February 2024, we began to occupy a facility in Fremont, California. We intend to transition certain of our operations to that facility so that we will no longer need the Occupancy Services in Milpitas, California.</w:t>
      </w:r>
    </w:p>
    <w:p>
      <w:pPr>
        <w:spacing w:after="0" w:line="206"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In addition, we may not be able to replace these services, systems, equipment or facilities or enter into appropriate third-party agreements therefor on terms and conditions, including cost, comparable to those that we receive from ICL under the Rani LLC-ICL Service Agreement or RMS-ICL Service Agreement, or in a time period that minimizes disruption to our operations. The loss of services or the use of systems, equipment or facilities under the Rani LLC-ICL Service Agreement or RMS-ICL Service Agreement or our inability to replace such services, systems, equipment or facilities in a timely or cost-effective manner could have an adverse effect on our operations and financial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controlled by certain of the Continuing LLC Owners, whose interests may differ from those of our public stockholders.</w:t>
      </w:r>
    </w:p>
    <w:p>
      <w:pPr>
        <w:spacing w:after="0" w:line="240" w:lineRule="exact"/>
        <w:rPr>
          <w:sz w:val="20"/>
          <w:szCs w:val="20"/>
          <w:color w:val="auto"/>
        </w:rPr>
      </w:pPr>
    </w:p>
    <w:p>
      <w:pPr>
        <w:ind w:right="40" w:firstLine="979"/>
        <w:spacing w:after="0" w:line="242" w:lineRule="auto"/>
        <w:rPr>
          <w:sz w:val="20"/>
          <w:szCs w:val="20"/>
          <w:color w:val="auto"/>
        </w:rPr>
      </w:pPr>
      <w:r>
        <w:rPr>
          <w:rFonts w:ascii="Times New Roman" w:cs="Times New Roman" w:eastAsia="Times New Roman" w:hAnsi="Times New Roman"/>
          <w:sz w:val="20"/>
          <w:szCs w:val="20"/>
          <w:color w:val="auto"/>
        </w:rPr>
        <w:t>As of March 10, 2024, certain of the Continuing LLC Owners controlled more than 80%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 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multi-class structure of our common stock may adversely affect the trading price or liquidity of our Class A common stock.</w:t>
      </w:r>
    </w:p>
    <w:p>
      <w:pPr>
        <w:spacing w:after="0" w:line="240"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800"/>
          </w:cols>
          <w:pgMar w:left="720" w:top="930" w:right="720" w:bottom="0" w:gutter="0" w:footer="0" w:header="0"/>
          <w:type w:val="continuous"/>
        </w:sectPr>
      </w:pPr>
    </w:p>
    <w:bookmarkStart w:id="88" w:name="page89"/>
    <w:bookmarkEnd w:id="88"/>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169" w:lineRule="exact"/>
        <w:rPr>
          <w:sz w:val="20"/>
          <w:szCs w:val="20"/>
          <w:color w:val="auto"/>
        </w:rPr>
      </w:pPr>
    </w:p>
    <w:p>
      <w:pPr>
        <w:ind w:right="80" w:firstLine="979"/>
        <w:spacing w:after="0" w:line="243" w:lineRule="auto"/>
        <w:rPr>
          <w:sz w:val="20"/>
          <w:szCs w:val="20"/>
          <w:color w:val="auto"/>
        </w:rPr>
      </w:pPr>
      <w:r>
        <w:rPr>
          <w:rFonts w:ascii="Times New Roman" w:cs="Times New Roman" w:eastAsia="Times New Roman" w:hAnsi="Times New Roman"/>
          <w:sz w:val="20"/>
          <w:szCs w:val="20"/>
          <w:color w:val="auto"/>
        </w:rPr>
        <w:t>Our Class B common stock has ten votes per share, our Class A common stock has one vote per share and Class C common stock has no voting rights, except as required by law. As of March 10, 2024, holders of our outstanding Class B common stock collectively held more than 80% of the voting power of our outstanding capital stock.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208" w:lineRule="exact"/>
        <w:rPr>
          <w:sz w:val="20"/>
          <w:szCs w:val="20"/>
          <w:color w:val="auto"/>
        </w:rPr>
      </w:pPr>
    </w:p>
    <w:p>
      <w:pPr>
        <w:ind w:firstLine="979"/>
        <w:spacing w:after="0" w:line="263" w:lineRule="auto"/>
        <w:rPr>
          <w:sz w:val="20"/>
          <w:szCs w:val="20"/>
          <w:color w:val="auto"/>
        </w:rPr>
      </w:pPr>
      <w:r>
        <w:rPr>
          <w:rFonts w:ascii="Times New Roman" w:cs="Times New Roman" w:eastAsia="Times New Roman" w:hAnsi="Times New Roman"/>
          <w:sz w:val="19"/>
          <w:szCs w:val="19"/>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Class A Common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know whether an active, liquid and orderly trading market will develop for our common stock.</w:t>
      </w:r>
    </w:p>
    <w:p>
      <w:pPr>
        <w:spacing w:after="0" w:line="240"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There is limited history regarding the trading of our Class A common stock. An active trading market for our Class A common stock may not develop or be sustained. The lack of an active market may impair stockholders’ ability to sell their shares at the time or price they wish to sell them. In addition, as described further in these “Risk Factors,” a substantial percentage of our Class A common stock will continue to be held by our executive officers and pre-IPO investors. As a result of these and other factors, stockholders may be unable to resell their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may be volatile and the value of our Class A common stock may decline.</w:t>
      </w:r>
    </w:p>
    <w:p>
      <w:pPr>
        <w:spacing w:after="0" w:line="240" w:lineRule="exact"/>
        <w:rPr>
          <w:sz w:val="20"/>
          <w:szCs w:val="20"/>
          <w:color w:val="auto"/>
        </w:rPr>
      </w:pPr>
    </w:p>
    <w:p>
      <w:pPr>
        <w:ind w:right="420" w:firstLine="979"/>
        <w:spacing w:after="0" w:line="258" w:lineRule="auto"/>
        <w:rPr>
          <w:sz w:val="20"/>
          <w:szCs w:val="20"/>
          <w:color w:val="auto"/>
        </w:rPr>
      </w:pPr>
      <w:r>
        <w:rPr>
          <w:rFonts w:ascii="Times New Roman" w:cs="Times New Roman" w:eastAsia="Times New Roman" w:hAnsi="Times New Roman"/>
          <w:sz w:val="20"/>
          <w:szCs w:val="20"/>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Annual Report on Form 10-K, these factors including:</w:t>
      </w:r>
    </w:p>
    <w:p>
      <w:pPr>
        <w:spacing w:after="0" w:line="203" w:lineRule="exact"/>
        <w:rPr>
          <w:sz w:val="20"/>
          <w:szCs w:val="20"/>
          <w:color w:val="auto"/>
        </w:rPr>
      </w:pPr>
    </w:p>
    <w:p>
      <w:pPr>
        <w:ind w:left="1340" w:hanging="361"/>
        <w:spacing w:after="0"/>
        <w:tabs>
          <w:tab w:leader="none" w:pos="134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regulatory approvals for our current or any of our future product candidates;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regulations applicable to our current or any of our future product candidates;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concerning any of our third-party collaborators and suppliers;</w:t>
      </w:r>
    </w:p>
    <w:p>
      <w:pPr>
        <w:spacing w:after="0" w:line="253" w:lineRule="exact"/>
        <w:rPr>
          <w:rFonts w:ascii="Arial" w:cs="Arial" w:eastAsia="Arial" w:hAnsi="Arial"/>
          <w:sz w:val="20"/>
          <w:szCs w:val="20"/>
          <w:color w:val="auto"/>
        </w:rPr>
      </w:pPr>
    </w:p>
    <w:p>
      <w:pPr>
        <w:ind w:left="1340" w:right="40" w:hanging="361"/>
        <w:spacing w:after="0" w:line="252" w:lineRule="auto"/>
        <w:tabs>
          <w:tab w:leader="none" w:pos="134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207" w:lineRule="exact"/>
        <w:rPr>
          <w:rFonts w:ascii="Arial" w:cs="Arial" w:eastAsia="Arial" w:hAnsi="Arial"/>
          <w:sz w:val="20"/>
          <w:szCs w:val="20"/>
          <w:color w:val="auto"/>
        </w:rPr>
      </w:pPr>
    </w:p>
    <w:p>
      <w:pPr>
        <w:ind w:left="1340" w:hanging="361"/>
        <w:spacing w:after="0"/>
        <w:tabs>
          <w:tab w:leader="none" w:pos="134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the degree and rate of physician and market adoption of our current or any of our future product candidates;</w:t>
      </w:r>
    </w:p>
    <w:p>
      <w:pPr>
        <w:spacing w:after="0" w:line="253" w:lineRule="exact"/>
        <w:rPr>
          <w:rFonts w:ascii="Arial" w:cs="Arial" w:eastAsia="Arial" w:hAnsi="Arial"/>
          <w:sz w:val="20"/>
          <w:szCs w:val="20"/>
          <w:color w:val="auto"/>
        </w:rPr>
      </w:pPr>
    </w:p>
    <w:p>
      <w:pPr>
        <w:ind w:left="1340" w:hanging="361"/>
        <w:spacing w:after="0" w:line="276" w:lineRule="auto"/>
        <w:tabs>
          <w:tab w:leader="none" w:pos="134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our competitors of significant business developments, new technologies, acquisitions, or new offerings;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negative publicity associated with issues related to our technology or our product candidates;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780"/>
          </w:cols>
          <w:pgMar w:left="720" w:top="930" w:right="740" w:bottom="0" w:gutter="0" w:footer="0" w:header="0"/>
          <w:type w:val="continuous"/>
        </w:sectPr>
      </w:pPr>
    </w:p>
    <w:bookmarkStart w:id="89" w:name="page90"/>
    <w:bookmarkEnd w:id="89"/>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establish collaborations, if needed;</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future sales of our Class A common stock or other securities, by us or our stockholders;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senior management or key personnel;</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the trading volume of our Class A common stock;</w:t>
      </w:r>
    </w:p>
    <w:p>
      <w:pPr>
        <w:spacing w:after="0" w:line="253" w:lineRule="exact"/>
        <w:rPr>
          <w:rFonts w:ascii="Arial" w:cs="Arial" w:eastAsia="Arial" w:hAnsi="Arial"/>
          <w:sz w:val="20"/>
          <w:szCs w:val="20"/>
          <w:color w:val="auto"/>
        </w:rPr>
      </w:pPr>
    </w:p>
    <w:p>
      <w:pPr>
        <w:ind w:left="1340" w:right="320" w:hanging="361"/>
        <w:spacing w:after="0" w:line="258" w:lineRule="auto"/>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regulatory and market conditions, including economic recessions or slowdowns;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253" w:lineRule="exact"/>
        <w:rPr>
          <w:rFonts w:ascii="Arial" w:cs="Arial" w:eastAsia="Arial" w:hAnsi="Arial"/>
          <w:sz w:val="20"/>
          <w:szCs w:val="20"/>
          <w:color w:val="auto"/>
        </w:rPr>
      </w:pPr>
    </w:p>
    <w:p>
      <w:pPr>
        <w:ind w:left="1340" w:right="840" w:hanging="361"/>
        <w:spacing w:after="0" w:line="276" w:lineRule="auto"/>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fluctuations in our financial condition and results of operations, including as a result of anticipated or unanticipated demand based on seasonal factors;</w:t>
      </w:r>
    </w:p>
    <w:p>
      <w:pPr>
        <w:spacing w:after="0" w:line="184"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variance in our financial performance from expectations of securities analysts or investors;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projected operating and financial results;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253" w:lineRule="exact"/>
        <w:rPr>
          <w:rFonts w:ascii="Arial" w:cs="Arial" w:eastAsia="Arial" w:hAnsi="Arial"/>
          <w:sz w:val="20"/>
          <w:szCs w:val="20"/>
          <w:color w:val="auto"/>
        </w:rPr>
      </w:pPr>
    </w:p>
    <w:p>
      <w:pPr>
        <w:ind w:left="1340" w:right="500" w:hanging="361"/>
        <w:spacing w:after="0" w:line="304" w:lineRule="auto"/>
        <w:tabs>
          <w:tab w:leader="none" w:pos="134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general political and economic conditions, including war, terrorism and other international conflicts, such as the conflict between Ukraine and Russia, and public health issues including health epidemics or pandemics; and</w:t>
      </w:r>
    </w:p>
    <w:p>
      <w:pPr>
        <w:spacing w:after="0" w:line="159" w:lineRule="exact"/>
        <w:rPr>
          <w:rFonts w:ascii="Arial" w:cs="Arial" w:eastAsia="Arial" w:hAnsi="Arial"/>
          <w:sz w:val="19"/>
          <w:szCs w:val="19"/>
          <w:color w:val="auto"/>
        </w:rPr>
      </w:pPr>
    </w:p>
    <w:p>
      <w:pPr>
        <w:ind w:left="1340" w:hanging="361"/>
        <w:spacing w:after="0"/>
        <w:tabs>
          <w:tab w:leader="none" w:pos="134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239" w:lineRule="exact"/>
        <w:rPr>
          <w:sz w:val="20"/>
          <w:szCs w:val="20"/>
          <w:color w:val="auto"/>
        </w:rPr>
      </w:pPr>
    </w:p>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Broad market and industry fluctuations, as well as general economic, pandemic, political, regulatory, and market conditions, may negatively impact the market price of our Class A common stock. In addition, given the relatively small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8"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As of March 10, 2024, our Chairman, Mir Imran beneficially owned more than 80% of the combined voting power of our Class A and Class B common stock.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211" w:lineRule="exact"/>
        <w:rPr>
          <w:sz w:val="20"/>
          <w:szCs w:val="20"/>
          <w:color w:val="auto"/>
        </w:rPr>
      </w:pPr>
    </w:p>
    <w:p>
      <w:pPr>
        <w:ind w:left="1340" w:hanging="361"/>
        <w:spacing w:after="0"/>
        <w:tabs>
          <w:tab w:leader="none" w:pos="134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 board that is composed of a majority of “independent directors,” as defined under the Nasdaq rules;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 compensation committee that is composed entirely of independent directors; and</w:t>
      </w:r>
    </w:p>
    <w:p>
      <w:pPr>
        <w:spacing w:after="0" w:line="253" w:lineRule="exact"/>
        <w:rPr>
          <w:rFonts w:ascii="Arial" w:cs="Arial" w:eastAsia="Arial" w:hAnsi="Arial"/>
          <w:sz w:val="20"/>
          <w:szCs w:val="20"/>
          <w:color w:val="auto"/>
        </w:rPr>
      </w:pPr>
    </w:p>
    <w:p>
      <w:pPr>
        <w:ind w:left="1340" w:right="360" w:hanging="361"/>
        <w:spacing w:after="0" w:line="276" w:lineRule="auto"/>
        <w:tabs>
          <w:tab w:leader="none" w:pos="134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director nominations be made, or recommended to the full board of directors, by its independent directors, or by a nominations/governance committee that is composed entirely of independent directors.</w:t>
      </w:r>
    </w:p>
    <w:p>
      <w:pPr>
        <w:sectPr>
          <w:pgSz w:w="12240" w:h="15840" w:orient="portrait"/>
          <w:cols w:equalWidth="0" w:num="1">
            <w:col w:w="10800"/>
          </w:cols>
          <w:pgMar w:left="720" w:top="94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800"/>
          </w:cols>
          <w:pgMar w:left="720" w:top="944" w:right="720" w:bottom="0" w:gutter="0" w:footer="0" w:header="0"/>
          <w:type w:val="continuous"/>
        </w:sectPr>
      </w:pPr>
    </w:p>
    <w:bookmarkStart w:id="90" w:name="page91"/>
    <w:bookmarkEnd w:id="90"/>
    <w:p>
      <w:pPr>
        <w:ind w:right="320" w:firstLine="979"/>
        <w:spacing w:after="0" w:line="247" w:lineRule="auto"/>
        <w:rPr>
          <w:sz w:val="20"/>
          <w:szCs w:val="20"/>
          <w:color w:val="auto"/>
        </w:rPr>
      </w:pPr>
      <w:r>
        <w:rPr>
          <w:rFonts w:ascii="Times New Roman" w:cs="Times New Roman" w:eastAsia="Times New Roman" w:hAnsi="Times New Roman"/>
          <w:sz w:val="20"/>
          <w:szCs w:val="20"/>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200"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69" w:lineRule="exact"/>
        <w:rPr>
          <w:sz w:val="20"/>
          <w:szCs w:val="20"/>
          <w:color w:val="auto"/>
        </w:rPr>
      </w:pPr>
    </w:p>
    <w:p>
      <w:pPr>
        <w:ind w:right="420" w:firstLine="979"/>
        <w:spacing w:after="0" w:line="258" w:lineRule="auto"/>
        <w:rPr>
          <w:sz w:val="20"/>
          <w:szCs w:val="20"/>
          <w:color w:val="auto"/>
        </w:rPr>
      </w:pPr>
      <w:r>
        <w:rPr>
          <w:rFonts w:ascii="Times New Roman" w:cs="Times New Roman" w:eastAsia="Times New Roman" w:hAnsi="Times New Roman"/>
          <w:sz w:val="20"/>
          <w:szCs w:val="20"/>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203" w:lineRule="exact"/>
        <w:rPr>
          <w:sz w:val="20"/>
          <w:szCs w:val="20"/>
          <w:color w:val="auto"/>
        </w:rPr>
      </w:pPr>
    </w:p>
    <w:p>
      <w:pPr>
        <w:ind w:left="1340" w:hanging="361"/>
        <w:spacing w:after="0"/>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volatility with respect to the financial reporting related to such arrangements;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assumption of indebtedness or contingent liabilities;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our equity securities which would result in dilution to our stockholders;</w:t>
      </w:r>
    </w:p>
    <w:p>
      <w:pPr>
        <w:spacing w:after="0" w:line="253" w:lineRule="exact"/>
        <w:rPr>
          <w:rFonts w:ascii="Arial" w:cs="Arial" w:eastAsia="Arial" w:hAnsi="Arial"/>
          <w:sz w:val="20"/>
          <w:szCs w:val="20"/>
          <w:color w:val="auto"/>
        </w:rPr>
      </w:pPr>
    </w:p>
    <w:p>
      <w:pPr>
        <w:ind w:left="1340" w:right="100" w:hanging="361"/>
        <w:spacing w:after="0" w:line="276" w:lineRule="auto"/>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assimilation of operations, intellectual property, products, and product candidates of an acquired company, including difficulties associated with integrating new personnel;</w:t>
      </w:r>
    </w:p>
    <w:p>
      <w:pPr>
        <w:spacing w:after="0" w:line="184" w:lineRule="exact"/>
        <w:rPr>
          <w:rFonts w:ascii="Arial" w:cs="Arial" w:eastAsia="Arial" w:hAnsi="Arial"/>
          <w:sz w:val="20"/>
          <w:szCs w:val="20"/>
          <w:color w:val="auto"/>
        </w:rPr>
      </w:pPr>
    </w:p>
    <w:p>
      <w:pPr>
        <w:ind w:left="1340" w:right="500" w:hanging="361"/>
        <w:spacing w:after="0" w:line="276" w:lineRule="auto"/>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our management’s attention from our existing product programs and initiatives in pursuing such an acquisition or strategic partnership;</w:t>
      </w:r>
    </w:p>
    <w:p>
      <w:pPr>
        <w:spacing w:after="0" w:line="184" w:lineRule="exact"/>
        <w:rPr>
          <w:rFonts w:ascii="Arial" w:cs="Arial" w:eastAsia="Arial" w:hAnsi="Arial"/>
          <w:sz w:val="20"/>
          <w:szCs w:val="20"/>
          <w:color w:val="auto"/>
        </w:rPr>
      </w:pPr>
    </w:p>
    <w:p>
      <w:pPr>
        <w:ind w:left="1340" w:right="620" w:hanging="361"/>
        <w:spacing w:after="0" w:line="276" w:lineRule="auto"/>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retention of key employees, the loss of key personnel, and uncertainties in our ability to maintain key business relationships;</w:t>
      </w:r>
    </w:p>
    <w:p>
      <w:pPr>
        <w:spacing w:after="0" w:line="184" w:lineRule="exact"/>
        <w:rPr>
          <w:rFonts w:ascii="Arial" w:cs="Arial" w:eastAsia="Arial" w:hAnsi="Arial"/>
          <w:sz w:val="20"/>
          <w:szCs w:val="20"/>
          <w:color w:val="auto"/>
        </w:rPr>
      </w:pPr>
    </w:p>
    <w:p>
      <w:pPr>
        <w:ind w:left="1340" w:right="140" w:hanging="361"/>
        <w:spacing w:after="0" w:line="276" w:lineRule="auto"/>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products or product candidates and regulatory approvals; and</w:t>
      </w:r>
    </w:p>
    <w:p>
      <w:pPr>
        <w:spacing w:after="0" w:line="184" w:lineRule="exact"/>
        <w:rPr>
          <w:rFonts w:ascii="Arial" w:cs="Arial" w:eastAsia="Arial" w:hAnsi="Arial"/>
          <w:sz w:val="20"/>
          <w:szCs w:val="20"/>
          <w:color w:val="auto"/>
        </w:rPr>
      </w:pPr>
    </w:p>
    <w:p>
      <w:pPr>
        <w:ind w:left="1340" w:right="200" w:hanging="361"/>
        <w:spacing w:after="0" w:line="276" w:lineRule="auto"/>
        <w:tabs>
          <w:tab w:leader="none" w:pos="134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right="240" w:firstLine="979"/>
        <w:spacing w:after="0" w:line="277" w:lineRule="auto"/>
        <w:rPr>
          <w:sz w:val="20"/>
          <w:szCs w:val="20"/>
          <w:color w:val="auto"/>
        </w:rPr>
      </w:pPr>
      <w:r>
        <w:rPr>
          <w:rFonts w:ascii="Times New Roman" w:cs="Times New Roman" w:eastAsia="Times New Roman" w:hAnsi="Times New Roman"/>
          <w:sz w:val="20"/>
          <w:szCs w:val="20"/>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69"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Class A common stock in the public market could cause the market price of our Class A common stock to decline.</w:t>
      </w:r>
    </w:p>
    <w:p>
      <w:pPr>
        <w:spacing w:after="0" w:line="169"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Sales and issuances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94" w:lineRule="exact"/>
        <w:rPr>
          <w:sz w:val="20"/>
          <w:szCs w:val="20"/>
          <w:color w:val="auto"/>
        </w:rPr>
      </w:pPr>
    </w:p>
    <w:p>
      <w:pPr>
        <w:ind w:right="120" w:firstLine="979"/>
        <w:spacing w:after="0" w:line="252" w:lineRule="auto"/>
        <w:rPr>
          <w:sz w:val="20"/>
          <w:szCs w:val="20"/>
          <w:color w:val="auto"/>
        </w:rPr>
      </w:pPr>
      <w:r>
        <w:rPr>
          <w:rFonts w:ascii="Times New Roman" w:cs="Times New Roman" w:eastAsia="Times New Roman" w:hAnsi="Times New Roman"/>
          <w:sz w:val="20"/>
          <w:szCs w:val="20"/>
          <w:color w:val="auto"/>
        </w:rPr>
        <w:t>We have registered all of the shares of Class A common stock currently issuable upon exercise of outstanding stock options, and upon exercise or settlement of any options or other equity incentives and we intend to register all shares or such Class A common stock that we may grant in the future, for public resale under the Securities Act. Accordingly, these shares will be able to be freely sold in the public market upon issuance as permitted by any applicable vesting requirements.</w:t>
      </w:r>
    </w:p>
    <w:p>
      <w:pPr>
        <w:spacing w:after="0" w:line="194"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Continuing LLC Owners are entitled to rights with respect to the registration of their shares under the Securities Act. Registration of these shares under the Securities Act would result in the shares becoming freely tradable without restriction under the Securities Act. As a result of certain stockholders requesting such registration, in December 2022 we filed a registration statement on Form S-3 to register 6,009,542 shares of our Class A common stock held by certain of our stockholders. Accordingly, these shares are freely tradeable without restriction under the Securities Act.</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780"/>
          </w:cols>
          <w:pgMar w:left="720" w:top="930" w:right="740" w:bottom="0" w:gutter="0" w:footer="0" w:header="0"/>
          <w:type w:val="continuous"/>
        </w:sectPr>
      </w:pPr>
    </w:p>
    <w:bookmarkStart w:id="91" w:name="page92"/>
    <w:bookmarkEnd w:id="91"/>
    <w:p>
      <w:pPr>
        <w:ind w:right="140" w:firstLine="979"/>
        <w:spacing w:after="0" w:line="277" w:lineRule="auto"/>
        <w:rPr>
          <w:sz w:val="20"/>
          <w:szCs w:val="20"/>
          <w:color w:val="auto"/>
        </w:rPr>
      </w:pPr>
      <w:r>
        <w:rPr>
          <w:rFonts w:ascii="Times New Roman" w:cs="Times New Roman" w:eastAsia="Times New Roman" w:hAnsi="Times New Roman"/>
          <w:sz w:val="20"/>
          <w:szCs w:val="20"/>
          <w:color w:val="auto"/>
        </w:rPr>
        <w:t>Any sales of securities by the foregoing or other stockholders could have a material adverse effect on the trading price of our Class A common stock.</w:t>
      </w:r>
    </w:p>
    <w:p>
      <w:pPr>
        <w:spacing w:after="0" w:line="169"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145"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As of March 10, 2024, our named executive officers, directors, holders of 5% or more of our capital stock and their respective affiliates beneficially held outstanding stock representing over 80% of our voting power. Therefore, these stockholders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200" w:lineRule="exact"/>
        <w:rPr>
          <w:sz w:val="20"/>
          <w:szCs w:val="20"/>
          <w:color w:val="auto"/>
        </w:rPr>
      </w:pPr>
    </w:p>
    <w:p>
      <w:pPr>
        <w:ind w:right="180" w:firstLine="979"/>
        <w:spacing w:after="0" w:line="258" w:lineRule="auto"/>
        <w:rPr>
          <w:sz w:val="20"/>
          <w:szCs w:val="20"/>
          <w:color w:val="auto"/>
        </w:rPr>
      </w:pPr>
      <w:r>
        <w:rPr>
          <w:rFonts w:ascii="Times New Roman" w:cs="Times New Roman" w:eastAsia="Times New Roman" w:hAnsi="Times New Roman"/>
          <w:sz w:val="20"/>
          <w:szCs w:val="20"/>
          <w:color w:val="auto"/>
        </w:rPr>
        <w:t>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69" w:lineRule="exact"/>
        <w:rPr>
          <w:sz w:val="20"/>
          <w:szCs w:val="20"/>
          <w:color w:val="auto"/>
        </w:rPr>
      </w:pPr>
    </w:p>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stockholders must rely on sales of their Class A common stock after price appreciation, which may never occur, as the only way to realize any future gains on their investments.</w:t>
      </w:r>
    </w:p>
    <w:p>
      <w:pPr>
        <w:spacing w:after="0" w:line="19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69" w:lineRule="exact"/>
        <w:rPr>
          <w:sz w:val="20"/>
          <w:szCs w:val="20"/>
          <w:color w:val="auto"/>
        </w:rPr>
      </w:pPr>
    </w:p>
    <w:p>
      <w:pPr>
        <w:ind w:right="20" w:firstLine="979"/>
        <w:spacing w:after="0" w:line="243" w:lineRule="auto"/>
        <w:rPr>
          <w:sz w:val="20"/>
          <w:szCs w:val="20"/>
          <w:color w:val="auto"/>
        </w:rPr>
      </w:pPr>
      <w:r>
        <w:rPr>
          <w:rFonts w:ascii="Times New Roman" w:cs="Times New Roman" w:eastAsia="Times New Roman" w:hAnsi="Times New Roman"/>
          <w:sz w:val="20"/>
          <w:szCs w:val="20"/>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devote a substantial amount of time to ensure that we comply with all of these requirements, and we may need to hire additional accounting and financial staff with appropriate public company reporting experience and technical accounting knowledge. Moreover, the reporting requirements, rules and regulations increase our legal and financial compliance costs and make some activities more time consuming and costly. Any changes we make to comply with these obligations may not be sufficient to allow us to continue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06" w:lineRule="exact"/>
        <w:rPr>
          <w:sz w:val="20"/>
          <w:szCs w:val="20"/>
          <w:color w:val="auto"/>
        </w:rPr>
      </w:pPr>
    </w:p>
    <w:p>
      <w:pPr>
        <w:ind w:right="60" w:firstLine="979"/>
        <w:spacing w:after="0" w:line="243" w:lineRule="auto"/>
        <w:rPr>
          <w:sz w:val="20"/>
          <w:szCs w:val="20"/>
          <w:color w:val="auto"/>
        </w:rPr>
      </w:pPr>
      <w:r>
        <w:rPr>
          <w:rFonts w:ascii="Times New Roman" w:cs="Times New Roman" w:eastAsia="Times New Roman" w:hAnsi="Times New Roman"/>
          <w:sz w:val="20"/>
          <w:szCs w:val="20"/>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Furthermore, the senior members of our management team do not have significant experience with operating a public company. As a result,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800"/>
          </w:cols>
          <w:pgMar w:left="720" w:top="930" w:right="720" w:bottom="0" w:gutter="0" w:footer="0" w:header="0"/>
          <w:type w:val="continuous"/>
        </w:sectPr>
      </w:pPr>
    </w:p>
    <w:bookmarkStart w:id="92" w:name="page93"/>
    <w:bookmarkEnd w:id="92"/>
    <w:p>
      <w:pPr>
        <w:ind w:right="60"/>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69"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Under our amended and restated certificate of incorporation,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w:t>
      </w:r>
    </w:p>
    <w:p>
      <w:pPr>
        <w:spacing w:after="0" w:line="200" w:lineRule="exact"/>
        <w:rPr>
          <w:sz w:val="20"/>
          <w:szCs w:val="20"/>
          <w:color w:val="auto"/>
        </w:rPr>
      </w:pPr>
    </w:p>
    <w:p>
      <w:pPr>
        <w:jc w:val="both"/>
        <w:ind w:right="5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88" w:lineRule="exact"/>
        <w:rPr>
          <w:sz w:val="20"/>
          <w:szCs w:val="20"/>
          <w:color w:val="auto"/>
        </w:rPr>
      </w:pPr>
    </w:p>
    <w:p>
      <w:pPr>
        <w:ind w:right="140" w:firstLine="979"/>
        <w:spacing w:after="0" w:line="242"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200" w:lineRule="exact"/>
        <w:rPr>
          <w:sz w:val="20"/>
          <w:szCs w:val="20"/>
          <w:color w:val="auto"/>
        </w:rPr>
      </w:pPr>
    </w:p>
    <w:p>
      <w:pPr>
        <w:ind w:right="100" w:firstLine="979"/>
        <w:spacing w:after="0" w:line="242" w:lineRule="auto"/>
        <w:rPr>
          <w:sz w:val="20"/>
          <w:szCs w:val="20"/>
          <w:color w:val="auto"/>
        </w:rPr>
      </w:pPr>
      <w:r>
        <w:rPr>
          <w:rFonts w:ascii="Times New Roman" w:cs="Times New Roman" w:eastAsia="Times New Roman" w:hAnsi="Times New Roman"/>
          <w:sz w:val="20"/>
          <w:szCs w:val="20"/>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ind w:right="100" w:firstLine="979"/>
        <w:spacing w:after="0" w:line="253" w:lineRule="auto"/>
        <w:rPr>
          <w:sz w:val="20"/>
          <w:szCs w:val="20"/>
          <w:color w:val="auto"/>
        </w:rPr>
      </w:pPr>
      <w:r>
        <w:rPr>
          <w:rFonts w:ascii="Times New Roman" w:cs="Times New Roman" w:eastAsia="Times New Roman" w:hAnsi="Times New Roman"/>
          <w:sz w:val="20"/>
          <w:szCs w:val="20"/>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88" w:lineRule="exact"/>
        <w:rPr>
          <w:sz w:val="20"/>
          <w:szCs w:val="20"/>
          <w:color w:val="auto"/>
        </w:rPr>
      </w:pPr>
    </w:p>
    <w:p>
      <w:pPr>
        <w:ind w:right="420" w:firstLine="979"/>
        <w:spacing w:after="0" w:line="253"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203" w:lineRule="exact"/>
        <w:rPr>
          <w:sz w:val="20"/>
          <w:szCs w:val="20"/>
          <w:color w:val="auto"/>
        </w:rPr>
      </w:pPr>
    </w:p>
    <w:p>
      <w:pPr>
        <w:ind w:left="1340" w:right="80" w:hanging="361"/>
        <w:spacing w:after="0" w:line="253" w:lineRule="auto"/>
        <w:tabs>
          <w:tab w:leader="none" w:pos="13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requirements for stockholder proposals and nominations for election to our board of directors;</w:t>
      </w:r>
    </w:p>
    <w:p>
      <w:pPr>
        <w:spacing w:after="0" w:line="248" w:lineRule="exact"/>
        <w:rPr>
          <w:rFonts w:ascii="Arial" w:cs="Arial" w:eastAsia="Arial" w:hAnsi="Arial"/>
          <w:sz w:val="20"/>
          <w:szCs w:val="20"/>
          <w:color w:val="auto"/>
        </w:rPr>
      </w:pPr>
    </w:p>
    <w:p>
      <w:pPr>
        <w:ind w:left="1340" w:right="220" w:hanging="361"/>
        <w:spacing w:after="0" w:line="253" w:lineRule="auto"/>
        <w:tabs>
          <w:tab w:leader="none" w:pos="13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201" w:lineRule="exact"/>
        <w:rPr>
          <w:rFonts w:ascii="Arial" w:cs="Arial" w:eastAsia="Arial" w:hAnsi="Arial"/>
          <w:sz w:val="20"/>
          <w:szCs w:val="20"/>
          <w:color w:val="auto"/>
        </w:rPr>
      </w:pPr>
    </w:p>
    <w:p>
      <w:pPr>
        <w:ind w:left="1340" w:right="300" w:hanging="361"/>
        <w:spacing w:after="0" w:line="247" w:lineRule="auto"/>
        <w:tabs>
          <w:tab w:leader="none" w:pos="13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207" w:lineRule="exact"/>
        <w:rPr>
          <w:rFonts w:ascii="Arial" w:cs="Arial" w:eastAsia="Arial" w:hAnsi="Arial"/>
          <w:sz w:val="20"/>
          <w:szCs w:val="20"/>
          <w:color w:val="auto"/>
        </w:rPr>
      </w:pPr>
    </w:p>
    <w:p>
      <w:pPr>
        <w:ind w:left="1340" w:right="180" w:hanging="361"/>
        <w:spacing w:after="0" w:line="253" w:lineRule="auto"/>
        <w:tabs>
          <w:tab w:leader="none" w:pos="13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201" w:lineRule="exact"/>
        <w:rPr>
          <w:rFonts w:ascii="Arial" w:cs="Arial" w:eastAsia="Arial" w:hAnsi="Arial"/>
          <w:sz w:val="20"/>
          <w:szCs w:val="20"/>
          <w:color w:val="auto"/>
        </w:rPr>
      </w:pPr>
    </w:p>
    <w:p>
      <w:pPr>
        <w:ind w:left="1340" w:hanging="361"/>
        <w:spacing w:after="0"/>
        <w:tabs>
          <w:tab w:leader="none" w:pos="13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authorization of three classes of common stock as described above.</w:t>
      </w:r>
    </w:p>
    <w:p>
      <w:pPr>
        <w:sectPr>
          <w:pgSz w:w="12240" w:h="15840" w:orient="portrait"/>
          <w:cols w:equalWidth="0" w:num="1">
            <w:col w:w="10800"/>
          </w:cols>
          <w:pgMar w:left="720" w:top="926" w:right="720"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800"/>
          </w:cols>
          <w:pgMar w:left="720" w:top="926" w:right="720" w:bottom="0" w:gutter="0" w:footer="0" w:header="0"/>
          <w:type w:val="continuous"/>
        </w:sectPr>
      </w:pPr>
    </w:p>
    <w:bookmarkStart w:id="93" w:name="page94"/>
    <w:bookmarkEnd w:id="93"/>
    <w:p>
      <w:pPr>
        <w:ind w:right="20" w:firstLine="979"/>
        <w:spacing w:after="0" w:line="245" w:lineRule="auto"/>
        <w:rPr>
          <w:sz w:val="20"/>
          <w:szCs w:val="20"/>
          <w:color w:val="auto"/>
        </w:rPr>
      </w:pPr>
      <w:r>
        <w:rPr>
          <w:rFonts w:ascii="Times New Roman" w:cs="Times New Roman" w:eastAsia="Times New Roman" w:hAnsi="Times New Roman"/>
          <w:sz w:val="20"/>
          <w:szCs w:val="20"/>
          <w:color w:val="auto"/>
        </w:rPr>
        <w:t>Under our amended and restated certificate of incorporation,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94" w:lineRule="exact"/>
        <w:rPr>
          <w:sz w:val="20"/>
          <w:szCs w:val="20"/>
          <w:color w:val="auto"/>
        </w:rPr>
      </w:pPr>
    </w:p>
    <w:p>
      <w:pPr>
        <w:ind w:right="20" w:firstLine="979"/>
        <w:spacing w:after="0" w:line="243"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208" w:lineRule="exact"/>
        <w:rPr>
          <w:sz w:val="20"/>
          <w:szCs w:val="20"/>
          <w:color w:val="auto"/>
        </w:rPr>
      </w:pPr>
    </w:p>
    <w:p>
      <w:pPr>
        <w:ind w:right="20" w:firstLine="979"/>
        <w:spacing w:after="0" w:line="242" w:lineRule="auto"/>
        <w:rPr>
          <w:sz w:val="20"/>
          <w:szCs w:val="20"/>
          <w:color w:val="auto"/>
        </w:rPr>
      </w:pPr>
      <w:r>
        <w:rPr>
          <w:rFonts w:ascii="Times New Roman" w:cs="Times New Roman" w:eastAsia="Times New Roman" w:hAnsi="Times New Roman"/>
          <w:sz w:val="20"/>
          <w:szCs w:val="20"/>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213" w:lineRule="exact"/>
        <w:rPr>
          <w:sz w:val="20"/>
          <w:szCs w:val="20"/>
          <w:color w:val="auto"/>
        </w:rPr>
      </w:pPr>
    </w:p>
    <w:p>
      <w:pPr>
        <w:ind w:right="60" w:firstLine="979"/>
        <w:spacing w:after="0" w:line="246" w:lineRule="auto"/>
        <w:rPr>
          <w:sz w:val="20"/>
          <w:szCs w:val="20"/>
          <w:color w:val="auto"/>
        </w:rPr>
      </w:pPr>
      <w:r>
        <w:rPr>
          <w:rFonts w:ascii="Times New Roman" w:cs="Times New Roman" w:eastAsia="Times New Roman" w:hAnsi="Times New Roman"/>
          <w:sz w:val="20"/>
          <w:szCs w:val="20"/>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800"/>
          </w:cols>
          <w:pgMar w:left="720" w:top="930" w:right="72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8" w:lineRule="exact"/>
        <w:rPr>
          <w:sz w:val="20"/>
          <w:szCs w:val="20"/>
          <w:color w:val="auto"/>
        </w:rPr>
      </w:pPr>
    </w:p>
    <w:p>
      <w:pPr>
        <w:ind w:right="420" w:firstLine="979"/>
        <w:spacing w:after="0" w:line="247" w:lineRule="auto"/>
        <w:rPr>
          <w:sz w:val="20"/>
          <w:szCs w:val="20"/>
          <w:color w:val="auto"/>
        </w:rPr>
      </w:pPr>
      <w:r>
        <w:rPr>
          <w:rFonts w:ascii="Times New Roman" w:cs="Times New Roman" w:eastAsia="Times New Roman" w:hAnsi="Times New Roman"/>
          <w:sz w:val="20"/>
          <w:szCs w:val="20"/>
          <w:color w:val="auto"/>
        </w:rPr>
        <w:t>We are required, pursuant to Section 404 of the Sarbanes-Oxley Act of 2002, to furnish a report by management on, among other things, the effectiveness of our internal control over financial reporting on an annual basis. This assessment needs to include disclosure of any material weaknesses identified by our management in our internal control over financial reporting. In addition, we will be required to obtain attestation as to the effectiveness of our internal control over financial reporting by an independent registered public accounting firm in our first annual report required to be filed with the SEC following the date we become an accelerated filer.</w:t>
      </w:r>
    </w:p>
    <w:p>
      <w:pPr>
        <w:spacing w:after="0" w:line="200"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8"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disruptions could seriously harm our business, financial condition, and results of operations.</w:t>
      </w:r>
    </w:p>
    <w:p>
      <w:pPr>
        <w:spacing w:after="0" w:line="240" w:lineRule="exact"/>
        <w:rPr>
          <w:sz w:val="20"/>
          <w:szCs w:val="20"/>
          <w:color w:val="auto"/>
        </w:rPr>
      </w:pPr>
    </w:p>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Our operations, and those of our CROs, suppliers and other contractors and consultants, could be subject to earthquakes, power shortages, telecommunications failures, water shortages, floods, hurricanes, typhoons, fires, extreme weather conditions, public health pandemics or epidemics, geopolitical events, including civil or political unrest (such as the ongoing conflict between Ukraine and Russia), terrorism, insurrection or war, recent and potential future disruptions in access to bank deposits or lending commitments due to bank failures,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200" w:lineRule="exact"/>
        <w:rPr>
          <w:sz w:val="20"/>
          <w:szCs w:val="20"/>
          <w:color w:val="auto"/>
        </w:rPr>
      </w:pPr>
    </w:p>
    <w:p>
      <w:pPr>
        <w:ind w:right="20" w:firstLine="979"/>
        <w:spacing w:after="0" w:line="243" w:lineRule="auto"/>
        <w:rPr>
          <w:sz w:val="20"/>
          <w:szCs w:val="20"/>
          <w:color w:val="auto"/>
        </w:rPr>
      </w:pPr>
      <w:r>
        <w:rPr>
          <w:rFonts w:ascii="Times New Roman" w:cs="Times New Roman" w:eastAsia="Times New Roman" w:hAnsi="Times New Roman"/>
          <w:sz w:val="20"/>
          <w:szCs w:val="20"/>
          <w:color w:val="auto"/>
        </w:rPr>
        <w:t>Our business and the business of our suppliers of APIs or drug substances and the raw materials or components for our RaniPill capsule could be materially and adversely affected by the risks, or the public perception of the risks, related to a pandemic or other health crisis. A significant outbreak of contagious diseases in the human population could result in a widespread health crisis that could adversely affect our planned operations. Such events could result in the complete or partial closure of one or more manufacturing facilities which could impact our supply of APIs, drug substances, and critical materials for manufacturing our RaniPill capsules. In addition, an outbreak or other business disruption near where our clinical trials occur could impact our ability to recruit subjects, delay our clinical trial, and could affect our ability to complete our clinical trials within the planned time periods. In addition, business disruptions of the kind noted above, including geopolitical events like the ongoing conflict between Ukraine and Russia or disruptions to bank deposits and lending commitments due to bank failures, could impact economies and financial markets, resulting in economic worsening and/or inflation that could impact our ability to raise capital, increase the costs of goods and services, cause us to have to de-prioritize or stop certain business activities, diminish potential partnering opportunities, and have an adverse effect on our results of operations.</w:t>
      </w:r>
    </w:p>
    <w:p>
      <w:pPr>
        <w:sectPr>
          <w:pgSz w:w="12240" w:h="15840" w:orient="portrait"/>
          <w:cols w:equalWidth="0" w:num="1">
            <w:col w:w="10780"/>
          </w:cols>
          <w:pgMar w:left="720" w:top="92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780"/>
          </w:cols>
          <w:pgMar w:left="720" w:top="926" w:right="740" w:bottom="0" w:gutter="0" w:footer="0" w:header="0"/>
          <w:type w:val="continuous"/>
        </w:sectPr>
      </w:pPr>
    </w:p>
    <w:bookmarkStart w:id="95" w:name="page96"/>
    <w:bookmarkEnd w:id="95"/>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69" w:lineRule="exact"/>
        <w:rPr>
          <w:sz w:val="20"/>
          <w:szCs w:val="20"/>
          <w:color w:val="auto"/>
        </w:rPr>
      </w:pPr>
    </w:p>
    <w:p>
      <w:pPr>
        <w:jc w:val="both"/>
        <w:ind w:firstLine="979"/>
        <w:spacing w:after="0" w:line="258" w:lineRule="auto"/>
        <w:rPr>
          <w:sz w:val="20"/>
          <w:szCs w:val="20"/>
          <w:color w:val="auto"/>
        </w:rPr>
      </w:pPr>
      <w:r>
        <w:rPr>
          <w:rFonts w:ascii="Times New Roman" w:cs="Times New Roman" w:eastAsia="Times New Roman" w:hAnsi="Times New Roman"/>
          <w:sz w:val="20"/>
          <w:szCs w:val="20"/>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203" w:lineRule="exact"/>
        <w:rPr>
          <w:sz w:val="20"/>
          <w:szCs w:val="20"/>
          <w:color w:val="auto"/>
        </w:rPr>
      </w:pPr>
    </w:p>
    <w:p>
      <w:pPr>
        <w:ind w:left="1340" w:hanging="361"/>
        <w:spacing w:after="0"/>
        <w:tabs>
          <w:tab w:leader="none" w:pos="13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expected timing and amount of the release of any tax valuation allowances;</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tax effects of stock-based compensation;</w:t>
      </w:r>
    </w:p>
    <w:p>
      <w:pPr>
        <w:spacing w:after="0" w:line="253" w:lineRule="exact"/>
        <w:rPr>
          <w:rFonts w:ascii="Arial" w:cs="Arial" w:eastAsia="Arial" w:hAnsi="Arial"/>
          <w:sz w:val="20"/>
          <w:szCs w:val="20"/>
          <w:color w:val="auto"/>
        </w:rPr>
      </w:pPr>
    </w:p>
    <w:p>
      <w:pPr>
        <w:ind w:left="1340" w:hanging="361"/>
        <w:spacing w:after="0"/>
        <w:tabs>
          <w:tab w:leader="none" w:pos="13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tax laws, regulations or interpretations thereof; or</w:t>
      </w:r>
    </w:p>
    <w:p>
      <w:pPr>
        <w:spacing w:after="0" w:line="253" w:lineRule="exact"/>
        <w:rPr>
          <w:rFonts w:ascii="Arial" w:cs="Arial" w:eastAsia="Arial" w:hAnsi="Arial"/>
          <w:sz w:val="20"/>
          <w:szCs w:val="20"/>
          <w:color w:val="auto"/>
        </w:rPr>
      </w:pPr>
    </w:p>
    <w:p>
      <w:pPr>
        <w:ind w:left="1340" w:right="400" w:hanging="361"/>
        <w:spacing w:after="0" w:line="276" w:lineRule="auto"/>
        <w:tabs>
          <w:tab w:leader="none" w:pos="13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right="200" w:firstLine="979"/>
        <w:spacing w:after="0" w:line="258" w:lineRule="auto"/>
        <w:rPr>
          <w:sz w:val="20"/>
          <w:szCs w:val="20"/>
          <w:color w:val="auto"/>
        </w:rPr>
      </w:pPr>
      <w:r>
        <w:rPr>
          <w:rFonts w:ascii="Times New Roman" w:cs="Times New Roman" w:eastAsia="Times New Roman" w:hAnsi="Times New Roman"/>
          <w:sz w:val="20"/>
          <w:szCs w:val="20"/>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meet Nasdaq’s continued listing requirements could result in a delisting of our Class A common stock.</w:t>
      </w:r>
    </w:p>
    <w:p>
      <w:pPr>
        <w:spacing w:after="0" w:line="240"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a stockholder's ability to sell or purchase our Class A common stock when they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88" w:lineRule="exact"/>
        <w:rPr>
          <w:sz w:val="20"/>
          <w:szCs w:val="20"/>
          <w:color w:val="auto"/>
        </w:rPr>
      </w:pPr>
    </w:p>
    <w:p>
      <w:pPr>
        <w:ind w:right="20" w:firstLine="979"/>
        <w:spacing w:after="0" w:line="241" w:lineRule="auto"/>
        <w:rPr>
          <w:sz w:val="20"/>
          <w:szCs w:val="20"/>
          <w:color w:val="auto"/>
        </w:rPr>
      </w:pPr>
      <w:r>
        <w:rPr>
          <w:rFonts w:ascii="Times New Roman" w:cs="Times New Roman" w:eastAsia="Times New Roman" w:hAnsi="Times New Roman"/>
          <w:sz w:val="20"/>
          <w:szCs w:val="20"/>
          <w:color w:val="auto"/>
        </w:rPr>
        <w:t>We are subject to export control and import laws and regulations, including the United States Export Administration Regulations, United States Customs regulations, and various economic and trade sanctions regulations administered by the United States Treasury Department’s Office of Foreign Assets Controls, and anti-corruption and anti-money laundering laws and regulations, including the Foreign Corrupt Practices Act (“FCPA”), the United States domestic bribery statute contained in 18 U.S.C. § 201, the United States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 Responding to any enforcement action or related investigation may result in a significant diversion of management’s attention and resources and significant defense costs and other professional fees.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780"/>
          </w:cols>
          <w:pgMar w:left="720" w:top="930" w:right="740" w:bottom="0" w:gutter="0" w:footer="0" w:header="0"/>
          <w:type w:val="continuous"/>
        </w:sectPr>
      </w:pPr>
    </w:p>
    <w:bookmarkStart w:id="96" w:name="page97"/>
    <w:bookmarkEnd w:id="96"/>
    <w:p>
      <w:pPr>
        <w:ind w:right="3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69" w:lineRule="exact"/>
        <w:rPr>
          <w:sz w:val="20"/>
          <w:szCs w:val="20"/>
          <w:color w:val="auto"/>
        </w:rPr>
      </w:pPr>
    </w:p>
    <w:p>
      <w:pPr>
        <w:ind w:right="300" w:firstLine="979"/>
        <w:spacing w:after="0" w:line="242" w:lineRule="auto"/>
        <w:rPr>
          <w:sz w:val="20"/>
          <w:szCs w:val="20"/>
          <w:color w:val="auto"/>
        </w:rPr>
      </w:pPr>
      <w:r>
        <w:rPr>
          <w:rFonts w:ascii="Times New Roman" w:cs="Times New Roman" w:eastAsia="Times New Roman" w:hAnsi="Times New Roman"/>
          <w:sz w:val="20"/>
          <w:szCs w:val="20"/>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94" w:lineRule="exact"/>
        <w:rPr>
          <w:sz w:val="20"/>
          <w:szCs w:val="20"/>
          <w:color w:val="auto"/>
        </w:rPr>
      </w:pPr>
    </w:p>
    <w:p>
      <w:pPr>
        <w:ind w:right="100" w:firstLine="979"/>
        <w:spacing w:after="0" w:line="236" w:lineRule="auto"/>
        <w:rPr>
          <w:sz w:val="20"/>
          <w:szCs w:val="20"/>
          <w:color w:val="auto"/>
        </w:rPr>
      </w:pPr>
      <w:r>
        <w:rPr>
          <w:rFonts w:ascii="Times New Roman" w:cs="Times New Roman" w:eastAsia="Times New Roman" w:hAnsi="Times New Roman"/>
          <w:sz w:val="20"/>
          <w:szCs w:val="20"/>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200" w:lineRule="exact"/>
        <w:rPr>
          <w:sz w:val="20"/>
          <w:szCs w:val="20"/>
          <w:color w:val="auto"/>
        </w:rPr>
      </w:pPr>
    </w:p>
    <w:p>
      <w:pPr>
        <w:jc w:val="both"/>
        <w:ind w:right="40" w:firstLine="979"/>
        <w:spacing w:after="0" w:line="242" w:lineRule="auto"/>
        <w:rPr>
          <w:sz w:val="20"/>
          <w:szCs w:val="20"/>
          <w:color w:val="auto"/>
        </w:rPr>
      </w:pPr>
      <w:r>
        <w:rPr>
          <w:rFonts w:ascii="Times New Roman" w:cs="Times New Roman" w:eastAsia="Times New Roman" w:hAnsi="Times New Roman"/>
          <w:sz w:val="20"/>
          <w:szCs w:val="20"/>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34" w:lineRule="exact"/>
        <w:rPr>
          <w:sz w:val="20"/>
          <w:szCs w:val="20"/>
          <w:color w:val="auto"/>
        </w:rPr>
      </w:pPr>
    </w:p>
    <w:p>
      <w:pPr>
        <w:ind w:right="220" w:firstLine="979"/>
        <w:spacing w:after="0" w:line="242"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and other trial participant data (“Information Systems and Data”).</w:t>
      </w:r>
    </w:p>
    <w:p>
      <w:pPr>
        <w:spacing w:after="0" w:line="194" w:lineRule="exact"/>
        <w:rPr>
          <w:sz w:val="20"/>
          <w:szCs w:val="20"/>
          <w:color w:val="auto"/>
        </w:rPr>
      </w:pPr>
    </w:p>
    <w:p>
      <w:pPr>
        <w:ind w:firstLine="979"/>
        <w:spacing w:after="0" w:line="237" w:lineRule="auto"/>
        <w:rPr>
          <w:sz w:val="20"/>
          <w:szCs w:val="20"/>
          <w:color w:val="auto"/>
        </w:rPr>
      </w:pPr>
      <w:r>
        <w:rPr>
          <w:rFonts w:ascii="Times New Roman" w:cs="Times New Roman" w:eastAsia="Times New Roman" w:hAnsi="Times New Roman"/>
          <w:sz w:val="20"/>
          <w:szCs w:val="20"/>
          <w:color w:val="auto"/>
        </w:rPr>
        <w:t>The head of our information security team (Svai Sanford, Chief Financial Officer (“CFO”)), our information security team and our legal team help identify, assess and manage our cybersecurity threats and risks. This group works to identify and assess risks from cybersecurity threats by monitoring and evaluating our threat environment using various methods including, for example deploying certain automated tools, subscribing to reports and services that identify certain cybersecurity threats, conducting scans of certain threat environments, evaluating certain threats reported to us, using external intelligence feeds, and conducting vulnerability assessments in certain environments and systems to identify vulnerabilities.</w:t>
      </w:r>
    </w:p>
    <w:p>
      <w:pPr>
        <w:spacing w:after="0" w:line="200" w:lineRule="exact"/>
        <w:rPr>
          <w:sz w:val="20"/>
          <w:szCs w:val="20"/>
          <w:color w:val="auto"/>
        </w:rPr>
      </w:pPr>
    </w:p>
    <w:p>
      <w:pPr>
        <w:ind w:right="20" w:firstLine="979"/>
        <w:spacing w:after="0" w:line="239" w:lineRule="auto"/>
        <w:rPr>
          <w:sz w:val="20"/>
          <w:szCs w:val="20"/>
          <w:color w:val="auto"/>
        </w:rPr>
      </w:pPr>
      <w:r>
        <w:rPr>
          <w:rFonts w:ascii="Times New Roman" w:cs="Times New Roman" w:eastAsia="Times New Roman" w:hAnsi="Times New Roman"/>
          <w:sz w:val="20"/>
          <w:szCs w:val="20"/>
          <w:color w:val="auto"/>
        </w:rPr>
        <w:t>Depending on the environment and system, we implement and maintain various technical, physical, and organizational measures, and processes designed to manage and mitigate material risks from cybersecurity threats to our Information Systems and Data, including, for example: incident detection and response processes, disaster recovery and business continuity plans, encryption of certain data, network security controls and access controls in certain environments and systems, monitoring certain systems, physical security of certain assets, asset management, employee training, and cybersecurity insurance.</w:t>
      </w:r>
    </w:p>
    <w:p>
      <w:pPr>
        <w:spacing w:after="0" w:line="197" w:lineRule="exact"/>
        <w:rPr>
          <w:sz w:val="20"/>
          <w:szCs w:val="20"/>
          <w:color w:val="auto"/>
        </w:rPr>
      </w:pPr>
    </w:p>
    <w:p>
      <w:pPr>
        <w:ind w:right="640" w:firstLine="979"/>
        <w:spacing w:after="0" w:line="248" w:lineRule="auto"/>
        <w:rPr>
          <w:sz w:val="20"/>
          <w:szCs w:val="20"/>
          <w:color w:val="auto"/>
        </w:rPr>
      </w:pPr>
      <w:r>
        <w:rPr>
          <w:rFonts w:ascii="Times New Roman" w:cs="Times New Roman" w:eastAsia="Times New Roman" w:hAnsi="Times New Roman"/>
          <w:sz w:val="20"/>
          <w:szCs w:val="20"/>
          <w:color w:val="auto"/>
        </w:rPr>
        <w:t>Our assessment and management of material risks from cybersecurity threats are integrated into our overall risk management processes. For example, the information security team works with management to prioritize our risk management processes and mitigate cybersecurity threats that are more likely to lead to a material impact to our business.</w:t>
      </w:r>
    </w:p>
    <w:p>
      <w:pPr>
        <w:spacing w:after="0" w:line="188" w:lineRule="exact"/>
        <w:rPr>
          <w:sz w:val="20"/>
          <w:szCs w:val="20"/>
          <w:color w:val="auto"/>
        </w:rPr>
      </w:pPr>
    </w:p>
    <w:p>
      <w:pPr>
        <w:ind w:right="400" w:firstLine="979"/>
        <w:spacing w:after="0" w:line="267" w:lineRule="auto"/>
        <w:rPr>
          <w:sz w:val="20"/>
          <w:szCs w:val="20"/>
          <w:color w:val="auto"/>
        </w:rPr>
      </w:pPr>
      <w:r>
        <w:rPr>
          <w:rFonts w:ascii="Times New Roman" w:cs="Times New Roman" w:eastAsia="Times New Roman" w:hAnsi="Times New Roman"/>
          <w:sz w:val="20"/>
          <w:szCs w:val="20"/>
          <w:color w:val="auto"/>
        </w:rPr>
        <w:t>We use third-party service providers to assist us from time to time to identify, assess, and manage material risks from cybersecurity threats, including for example threat intelligence service providers and dark web monitoring services.</w:t>
      </w:r>
    </w:p>
    <w:p>
      <w:pPr>
        <w:spacing w:after="0" w:line="169" w:lineRule="exact"/>
        <w:rPr>
          <w:sz w:val="20"/>
          <w:szCs w:val="20"/>
          <w:color w:val="auto"/>
        </w:rPr>
      </w:pPr>
    </w:p>
    <w:p>
      <w:pPr>
        <w:ind w:right="20" w:firstLine="979"/>
        <w:spacing w:after="0" w:line="236"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such as application providers, hosting companies, and clinical data management and processing service providers. We have a vendor management program to manage cybersecurity risks associated with our use of certain of these providers. The program includes a review of certain information security measures of certain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ectPr>
          <w:pgSz w:w="12240" w:h="15840" w:orient="portrait"/>
          <w:cols w:equalWidth="0" w:num="1">
            <w:col w:w="10780"/>
          </w:cols>
          <w:pgMar w:left="720" w:top="922" w:right="74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780"/>
          </w:cols>
          <w:pgMar w:left="720" w:top="922" w:right="740" w:bottom="0" w:gutter="0" w:footer="0" w:header="0"/>
          <w:type w:val="continuous"/>
        </w:sectPr>
      </w:pPr>
    </w:p>
    <w:bookmarkStart w:id="97" w:name="page98"/>
    <w:bookmarkEnd w:id="97"/>
    <w:p>
      <w:pPr>
        <w:ind w:firstLine="979"/>
        <w:spacing w:after="0" w:line="247" w:lineRule="auto"/>
        <w:rPr>
          <w:sz w:val="20"/>
          <w:szCs w:val="20"/>
          <w:color w:val="auto"/>
        </w:rPr>
      </w:pPr>
      <w:r>
        <w:rPr>
          <w:rFonts w:ascii="Times New Roman" w:cs="Times New Roman" w:eastAsia="Times New Roman" w:hAnsi="Times New Roman"/>
          <w:sz w:val="20"/>
          <w:szCs w:val="20"/>
          <w:color w:val="auto"/>
        </w:rPr>
        <w:t>For a description of the risks from cybersecurity threats that may materially affect us and how they may do so, see our risk factors under Part 1. Item 1A. Risk Factors in this Annual Report on Form 10-K, including “If our internal technology systems or sensitive information, or those used by our third-party collaborators, vendors, contractors or consultants,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44" w:lineRule="exact"/>
        <w:rPr>
          <w:sz w:val="20"/>
          <w:szCs w:val="20"/>
          <w:color w:val="auto"/>
        </w:rPr>
      </w:pPr>
    </w:p>
    <w:p>
      <w:pPr>
        <w:ind w:right="20" w:firstLine="979"/>
        <w:spacing w:after="0" w:line="258" w:lineRule="auto"/>
        <w:rPr>
          <w:sz w:val="20"/>
          <w:szCs w:val="20"/>
          <w:color w:val="auto"/>
        </w:rPr>
      </w:pPr>
      <w:r>
        <w:rPr>
          <w:rFonts w:ascii="Times New Roman" w:cs="Times New Roman" w:eastAsia="Times New Roman" w:hAnsi="Times New Roman"/>
          <w:sz w:val="20"/>
          <w:szCs w:val="20"/>
          <w:color w:val="auto"/>
        </w:rPr>
        <w:t>Our board of directors addresses our cybersecurity risk management as part of its general oversight function. The board of directors’ is responsible for overseeing our cybersecurity risk management processes, including oversight of mitigation of risks from cybersecurity threats.</w:t>
      </w:r>
    </w:p>
    <w:p>
      <w:pPr>
        <w:spacing w:after="0" w:line="188" w:lineRule="exact"/>
        <w:rPr>
          <w:sz w:val="20"/>
          <w:szCs w:val="20"/>
          <w:color w:val="auto"/>
        </w:rPr>
      </w:pPr>
    </w:p>
    <w:p>
      <w:pPr>
        <w:ind w:right="380" w:firstLine="979"/>
        <w:spacing w:after="0" w:line="258"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of our management, including our CFO, who oversees our information security team and has over 2 years of experience overseeing such function.</w:t>
      </w:r>
    </w:p>
    <w:p>
      <w:pPr>
        <w:spacing w:after="0" w:line="188"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Our CFO is responsible for hiring appropriate personnel, helping to integrate cybersecurity risk considerations into our overall risk management strategy, and communicating key priorities to relevant personnel. Our CFO is also responsible for approving budgets, helping prepare for cybersecurity incidents, approving cybersecurity processes, and reviewing security assessments and other security-related reports. Our cybersecurity incident response processes are designed to escalate certain cybersecurity incidents to members of management depending on the circumstances. The incident management team helps us mitigate and remediate cybersecurity incidents of which they are notified. In addition, our incident response processes include reporting to the board of directors for certain cybersecurity incidents. The board receives periodic reports from management concerning the Company’s significant cybersecurity threats and risk and the processes the Company has implemented to address them. The board also receives various reports, summaries or presentations related to cybersecurity threats, risk and mitigation.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ind w:right="100" w:firstLine="979"/>
        <w:spacing w:after="0" w:line="243" w:lineRule="auto"/>
        <w:rPr>
          <w:sz w:val="20"/>
          <w:szCs w:val="20"/>
          <w:color w:val="auto"/>
        </w:rPr>
      </w:pPr>
      <w:r>
        <w:rPr>
          <w:rFonts w:ascii="Times New Roman" w:cs="Times New Roman" w:eastAsia="Times New Roman" w:hAnsi="Times New Roman"/>
          <w:sz w:val="20"/>
          <w:szCs w:val="20"/>
          <w:color w:val="auto"/>
        </w:rPr>
        <w:t>Our corporate headquarters are currently located in San Jose, California. We lease approximately 88,000 square feet of office, research and development, production and manufacturing, and laboratory space for our business. In February 2024, we began occupying approximately 33,000 square feet in Fremont, California under a lease with a third party. The term of the lease is 63 months. Subject to certain conditions, we have an option to renew the lease for one additional 5-year term at the then-prevailing market rate. We also lease approximately 55,0000 square feet in San Jose and Milpitas, California and San Antonio, Texas, pursuant to service agreements with ICL, a related party. The lease for the San Jose facility has a twelve month term that renews automatically on January 1st of each year for a successive twelve month period, subject to termination by either party upon a six months’ notice. In March 2024, we amended our lease for the San Jose facility to increase our use from 23,000 square feet to 24,000 square feet. In March 2024, we also extended the term of our lease for the Milpitas facility from February 2024 to August 2024. We intend to transition certain of our operations to the Fremont facility so that we will no longer need the space in Milpitas, California. Our San Antonio lease will continue until terminated by either party upon six months’ notice. We provided to ICL notice of termination of the San Antonio lease in December 2023. The lease will terminate in June 2024. If required, we believe that suitable additional or alternative space would be available in the future on commercially reasonable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4" w:lineRule="exact"/>
        <w:rPr>
          <w:sz w:val="20"/>
          <w:szCs w:val="20"/>
          <w:color w:val="auto"/>
        </w:rPr>
      </w:pPr>
    </w:p>
    <w:p>
      <w:pPr>
        <w:ind w:right="40" w:firstLine="979"/>
        <w:spacing w:after="0" w:line="252" w:lineRule="auto"/>
        <w:rPr>
          <w:sz w:val="20"/>
          <w:szCs w:val="20"/>
          <w:color w:val="auto"/>
        </w:rPr>
      </w:pPr>
      <w:r>
        <w:rPr>
          <w:rFonts w:ascii="Times New Roman" w:cs="Times New Roman" w:eastAsia="Times New Roman" w:hAnsi="Times New Roman"/>
          <w:sz w:val="20"/>
          <w:szCs w:val="20"/>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780"/>
          </w:cols>
          <w:pgMar w:left="720" w:top="930" w:right="740"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ind w:right="500"/>
        <w:spacing w:after="0" w:line="492"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Our Class A common stock is traded on the Nasdaq Stock Market LLC under the symbol “RANI.”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4" w:lineRule="exact"/>
        <w:rPr>
          <w:sz w:val="20"/>
          <w:szCs w:val="20"/>
          <w:color w:val="auto"/>
        </w:rPr>
      </w:pPr>
    </w:p>
    <w:p>
      <w:pPr>
        <w:ind w:right="120" w:firstLine="979"/>
        <w:spacing w:after="0" w:line="246" w:lineRule="auto"/>
        <w:rPr>
          <w:sz w:val="20"/>
          <w:szCs w:val="20"/>
          <w:color w:val="auto"/>
        </w:rPr>
      </w:pPr>
      <w:r>
        <w:rPr>
          <w:rFonts w:ascii="Times New Roman" w:cs="Times New Roman" w:eastAsia="Times New Roman" w:hAnsi="Times New Roman"/>
          <w:sz w:val="20"/>
          <w:szCs w:val="20"/>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of directors, subject to applicable laws, and will depend upon, among other factors, our results of operations, financial condition, contractual restrictions, capital requirements general business conditions and other factors that our board of directors may deem relevant. Our future ability to pay cash dividends on our capital stock is limited by the terms of the Loan Agreement and may also be limited by the terms of any future debt or preferred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244"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As of March 14, 2024, we had 140 holders of record of our Class A common stock and 18 holders of record of our Class B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Shares of our Class B common stock are paired with LLC Units of Rani LLC and are held by Continuing LLC Owners. Shares of Class B common stock are not transferable independent of the LLC Units. Upon exchange of the LLC Units for Class A common stock, the corresponding shares of Class B common stock paired with such LLC Units are cancelled.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800"/>
          </w:cols>
          <w:pgMar w:left="720" w:top="926" w:right="72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6" w:lineRule="exact"/>
        <w:rPr>
          <w:sz w:val="20"/>
          <w:szCs w:val="20"/>
          <w:color w:val="auto"/>
        </w:rPr>
      </w:pPr>
    </w:p>
    <w:p>
      <w:pPr>
        <w:ind w:right="220" w:firstLine="979"/>
        <w:spacing w:after="0" w:line="247" w:lineRule="auto"/>
        <w:rPr>
          <w:sz w:val="20"/>
          <w:szCs w:val="20"/>
          <w:color w:val="auto"/>
        </w:rPr>
      </w:pPr>
      <w:r>
        <w:rPr>
          <w:rFonts w:ascii="Times New Roman" w:cs="Times New Roman" w:eastAsia="Times New Roman" w:hAnsi="Times New Roman"/>
          <w:sz w:val="20"/>
          <w:szCs w:val="20"/>
          <w:i w:val="1"/>
          <w:iCs w:val="1"/>
          <w:color w:val="auto"/>
        </w:rPr>
        <w:t>The following management’s discussion and analysis of our consolidated financial condition and results of operations should be read in conjunction with, and is qualified in its entirety by reference to, our consolidated financial statements and the related notes and other information included elsewhere in this Annual Report on Form 10-K.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“Special Note Regarding Forward-Looking Statements,” “Risk Factors” and in Part I and elsewhere in this Annual Report on Form 10-K.</w:t>
      </w:r>
    </w:p>
    <w:p>
      <w:pPr>
        <w:spacing w:after="0" w:line="200" w:lineRule="exact"/>
        <w:rPr>
          <w:sz w:val="20"/>
          <w:szCs w:val="20"/>
          <w:color w:val="auto"/>
        </w:rPr>
      </w:pPr>
    </w:p>
    <w:p>
      <w:pPr>
        <w:ind w:right="600" w:firstLine="979"/>
        <w:spacing w:after="0" w:line="275" w:lineRule="auto"/>
        <w:rPr>
          <w:sz w:val="20"/>
          <w:szCs w:val="20"/>
          <w:color w:val="auto"/>
        </w:rPr>
      </w:pPr>
      <w:r>
        <w:rPr>
          <w:rFonts w:ascii="Times New Roman" w:cs="Times New Roman" w:eastAsia="Times New Roman" w:hAnsi="Times New Roman"/>
          <w:sz w:val="20"/>
          <w:szCs w:val="20"/>
          <w:i w:val="1"/>
          <w:iCs w:val="1"/>
          <w:color w:val="auto"/>
        </w:rPr>
        <w:t>Unless we state otherwise or the context otherwise requires, the terms “we,” “us,” “our,” and “Rani” and similar references refer to Rani Therapeutics Holdings, Inc. and its consolidated subsidiaries.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ind w:right="180" w:firstLine="979"/>
        <w:spacing w:after="0" w:line="252" w:lineRule="auto"/>
        <w:rPr>
          <w:sz w:val="20"/>
          <w:szCs w:val="20"/>
          <w:color w:val="auto"/>
        </w:rPr>
      </w:pPr>
      <w:r>
        <w:rPr>
          <w:rFonts w:ascii="Times New Roman" w:cs="Times New Roman" w:eastAsia="Times New Roman" w:hAnsi="Times New Roman"/>
          <w:sz w:val="20"/>
          <w:szCs w:val="20"/>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94" w:lineRule="exact"/>
        <w:rPr>
          <w:sz w:val="20"/>
          <w:szCs w:val="20"/>
          <w:color w:val="auto"/>
        </w:rPr>
      </w:pPr>
    </w:p>
    <w:p>
      <w:pPr>
        <w:ind w:right="60" w:firstLine="979"/>
        <w:spacing w:after="0" w:line="246" w:lineRule="auto"/>
        <w:rPr>
          <w:sz w:val="20"/>
          <w:szCs w:val="20"/>
          <w:color w:val="auto"/>
        </w:rPr>
      </w:pPr>
      <w:r>
        <w:rPr>
          <w:rFonts w:ascii="Times New Roman" w:cs="Times New Roman" w:eastAsia="Times New Roman" w:hAnsi="Times New Roman"/>
          <w:sz w:val="20"/>
          <w:szCs w:val="20"/>
          <w:color w:val="auto"/>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200μL in liquid form with high bioavailability. We have tested preclinically the RaniPill HC with multiple therapeutics, including antibodies and a peptide. We intend to initiate clinical testing of the RaniPill HC in 2024.</w:t>
      </w:r>
    </w:p>
    <w:p>
      <w:pPr>
        <w:spacing w:after="0" w:line="200" w:lineRule="exact"/>
        <w:rPr>
          <w:sz w:val="20"/>
          <w:szCs w:val="20"/>
          <w:color w:val="auto"/>
        </w:rPr>
      </w:pPr>
    </w:p>
    <w:p>
      <w:pPr>
        <w:ind w:right="400" w:firstLine="979"/>
        <w:spacing w:after="0" w:line="277" w:lineRule="auto"/>
        <w:rPr>
          <w:sz w:val="20"/>
          <w:szCs w:val="20"/>
          <w:color w:val="auto"/>
        </w:rPr>
      </w:pPr>
      <w:r>
        <w:rPr>
          <w:rFonts w:ascii="Times New Roman" w:cs="Times New Roman" w:eastAsia="Times New Roman" w:hAnsi="Times New Roman"/>
          <w:sz w:val="20"/>
          <w:szCs w:val="20"/>
          <w:color w:val="auto"/>
        </w:rPr>
        <w:t>We believe that, together, the RaniPill GO and RaniPill HC could enable us to deliver most biologics currently on the market with convenient, oral dosing.</w:t>
      </w:r>
    </w:p>
    <w:p>
      <w:pPr>
        <w:spacing w:after="0" w:line="169"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As of December 31, 2023, our cash, cash equivalents and marketable securities totaled $48.5 million. 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initial public offering in 2021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206" w:lineRule="exact"/>
        <w:rPr>
          <w:sz w:val="20"/>
          <w:szCs w:val="20"/>
          <w:color w:val="auto"/>
        </w:rPr>
      </w:pPr>
    </w:p>
    <w:p>
      <w:pPr>
        <w:ind w:right="120" w:firstLine="979"/>
        <w:spacing w:after="0" w:line="258" w:lineRule="auto"/>
        <w:rPr>
          <w:sz w:val="20"/>
          <w:szCs w:val="20"/>
          <w:color w:val="auto"/>
        </w:rPr>
      </w:pPr>
      <w:r>
        <w:rPr>
          <w:rFonts w:ascii="Times New Roman" w:cs="Times New Roman" w:eastAsia="Times New Roman" w:hAnsi="Times New Roman"/>
          <w:sz w:val="20"/>
          <w:szCs w:val="20"/>
          <w:color w:val="auto"/>
        </w:rPr>
        <w:t>If we are unable to continue as a going concern, we may have to cease operations and liquidate our assets. We may receive less than the value at which those assets are carried on our audited financial statements, and investors may lose all or a part of their investment.</w:t>
      </w:r>
    </w:p>
    <w:p>
      <w:pPr>
        <w:spacing w:after="0" w:line="188"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In November 2023, we underwent a reduction in our workforce and paused or discontinued certain programs to reduce our expenses and focus our financial resources on key priorities. If we are unable to obtain funding on a timely basis, or to generate sufficient revenues, if at all, from collaboration arrangements or product sales, we may be required to significantly curtail, delay or discontinue one or more of our research or development programs, the development of our oral delivery technology, including the RaniPill HC, the commercialization of any product candidates or cease operations altogether, seek collaborators for one or more of our product candidates at an earlier stage than otherwise would be desirable or on terms that are less favorable than might otherwise be available; relinquish or license on unfavorable terms our rights to technologies or product candidates that we otherwise would seek to develop or commercialize ourselves; or forego expansion of our operations or refrain from pursuing business opportunities; any of which could have a material adverse effect on our business, financial condition and results of operations.</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800"/>
          </w:cols>
          <w:pgMar w:left="720" w:top="926" w:right="720" w:bottom="0" w:gutter="0" w:footer="0" w:header="0"/>
          <w:type w:val="continuous"/>
        </w:sectPr>
      </w:pPr>
    </w:p>
    <w:bookmarkStart w:id="100" w:name="page101"/>
    <w:bookmarkEnd w:id="100"/>
    <w:p>
      <w:pPr>
        <w:ind w:firstLine="979"/>
        <w:spacing w:after="0" w:line="245" w:lineRule="auto"/>
        <w:rPr>
          <w:sz w:val="20"/>
          <w:szCs w:val="20"/>
          <w:color w:val="auto"/>
        </w:rPr>
      </w:pPr>
      <w:r>
        <w:rPr>
          <w:rFonts w:ascii="Times New Roman" w:cs="Times New Roman" w:eastAsia="Times New Roman" w:hAnsi="Times New Roman"/>
          <w:sz w:val="20"/>
          <w:szCs w:val="20"/>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02" w:lineRule="exact"/>
        <w:rPr>
          <w:sz w:val="20"/>
          <w:szCs w:val="20"/>
          <w:color w:val="auto"/>
        </w:rPr>
      </w:pPr>
    </w:p>
    <w:p>
      <w:pPr>
        <w:jc w:val="both"/>
        <w:ind w:right="160" w:firstLine="979"/>
        <w:spacing w:after="0" w:line="249" w:lineRule="auto"/>
        <w:rPr>
          <w:sz w:val="20"/>
          <w:szCs w:val="20"/>
          <w:color w:val="auto"/>
        </w:rPr>
      </w:pPr>
      <w:r>
        <w:rPr>
          <w:rFonts w:ascii="Times New Roman" w:cs="Times New Roman" w:eastAsia="Times New Roman" w:hAnsi="Times New Roman"/>
          <w:sz w:val="20"/>
          <w:szCs w:val="20"/>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w:t>
      </w:r>
    </w:p>
    <w:p>
      <w:pPr>
        <w:spacing w:after="0" w:line="2"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Update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Update</w:t>
      </w:r>
    </w:p>
    <w:p>
      <w:pPr>
        <w:spacing w:after="0" w:line="240" w:lineRule="exact"/>
        <w:rPr>
          <w:sz w:val="20"/>
          <w:szCs w:val="20"/>
          <w:color w:val="auto"/>
        </w:rPr>
      </w:pPr>
    </w:p>
    <w:p>
      <w:pPr>
        <w:ind w:right="120" w:firstLine="979"/>
        <w:spacing w:after="0" w:line="246" w:lineRule="auto"/>
        <w:rPr>
          <w:sz w:val="20"/>
          <w:szCs w:val="20"/>
          <w:color w:val="auto"/>
        </w:rPr>
      </w:pPr>
      <w:r>
        <w:rPr>
          <w:rFonts w:ascii="Times New Roman" w:cs="Times New Roman" w:eastAsia="Times New Roman" w:hAnsi="Times New Roman"/>
          <w:sz w:val="20"/>
          <w:szCs w:val="20"/>
          <w:color w:val="auto"/>
        </w:rPr>
        <w:t>In November 2023, we announced a strategic program prioritization, expansion of manufacturing and plans to streamline business operations to support near-term value drivers and long-term growth of the RaniPill technology platform. The plans include strategic prioritization of its key development programs, RT-102, RT-111 and the RaniPill HC and expansion of its manufacturing footprint to support increased scale and partnerships, and cost reduction initiatives that align with our near-term goals, including a reduction in our workforce by approximately 25%. As part of the strategic focusing of the business, we have paused work on our RT-105 and RT-110 programs and we terminated our RT-101 program, which was the RaniPill capsule containing octreotide. Cost savings are expected to support our operating plans into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Program Updates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RT-111</w:t>
      </w:r>
    </w:p>
    <w:p>
      <w:pPr>
        <w:spacing w:after="0" w:line="240"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In February 2024, we announced positive topline results from a Phase 1 study of RT-111, which is being developed for the potential treatment of inflammatory conditions. The study met all of its endpoints and RT-111 was generally well tolerated with no serious adverse events noted. In the study, RT-111 orally delivered 0.5 mg and 0.75 mg of our proprietary formulation of ustekinumab biosimilar with high bioavailability. There was no meaningful difference in incidence of anti-drug antibodies in the groups receiving RT-111 compared to the group that received STELARA® (ustekinumab) via subcutaneous injection.</w:t>
      </w:r>
    </w:p>
    <w:p>
      <w:pPr>
        <w:spacing w:after="0" w:line="197" w:lineRule="exact"/>
        <w:rPr>
          <w:sz w:val="20"/>
          <w:szCs w:val="20"/>
          <w:color w:val="auto"/>
        </w:rPr>
      </w:pPr>
    </w:p>
    <w:p>
      <w:pPr>
        <w:ind w:right="220" w:firstLine="979"/>
        <w:spacing w:after="0" w:line="249" w:lineRule="auto"/>
        <w:rPr>
          <w:sz w:val="20"/>
          <w:szCs w:val="20"/>
          <w:color w:val="auto"/>
        </w:rPr>
      </w:pPr>
      <w:r>
        <w:rPr>
          <w:rFonts w:ascii="Times New Roman" w:cs="Times New Roman" w:eastAsia="Times New Roman" w:hAnsi="Times New Roman"/>
          <w:sz w:val="20"/>
          <w:szCs w:val="20"/>
          <w:color w:val="auto"/>
        </w:rPr>
        <w:t>In January 2023, we announced entering into a License and Supply Agreement with Celltrion under which we receive a license and supply of Celltrion’s ustekinumab biosimilar for development and commercialization of RT-111 worldwide, subject to a right of first negotiation for Celltrion following completion of a Phase 1 clinical trial that meets its primary endpoint(s). We believe the Phase 1 clinical trial that we completed with RT-111, the topline data of which we announced in February 2024, satisfies the requirements for triggering Celltrion’s right of first negotiation.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RaniPill HC</w:t>
      </w:r>
    </w:p>
    <w:p>
      <w:pPr>
        <w:spacing w:after="0" w:line="240" w:lineRule="exact"/>
        <w:rPr>
          <w:sz w:val="20"/>
          <w:szCs w:val="20"/>
          <w:color w:val="auto"/>
        </w:rPr>
      </w:pPr>
    </w:p>
    <w:p>
      <w:pPr>
        <w:ind w:right="60" w:firstLine="979"/>
        <w:spacing w:after="0" w:line="258" w:lineRule="auto"/>
        <w:rPr>
          <w:sz w:val="20"/>
          <w:szCs w:val="20"/>
          <w:color w:val="auto"/>
        </w:rPr>
      </w:pPr>
      <w:r>
        <w:rPr>
          <w:rFonts w:ascii="Times New Roman" w:cs="Times New Roman" w:eastAsia="Times New Roman" w:hAnsi="Times New Roman"/>
          <w:sz w:val="20"/>
          <w:szCs w:val="20"/>
          <w:color w:val="auto"/>
        </w:rPr>
        <w:t>We continue to develop the RaniPill HC, a high-capacity RaniPill capsule designed to deliver drug payloads up to 200μL, 500%-plus higher than the payload capacity of the RaniPill GO. In September 2023, we announced three positive preclinical studies which support the development of the RaniPill HC device.</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800"/>
          </w:cols>
          <w:pgMar w:left="720" w:top="930" w:right="720" w:bottom="0" w:gutter="0" w:footer="0" w:header="0"/>
          <w:type w:val="continuous"/>
        </w:sectPr>
      </w:pPr>
    </w:p>
    <w:bookmarkStart w:id="101" w:name="page102"/>
    <w:bookmarkEnd w:id="101"/>
    <w:p>
      <w:pPr>
        <w:ind w:right="80" w:firstLine="979"/>
        <w:spacing w:after="0" w:line="245" w:lineRule="auto"/>
        <w:rPr>
          <w:sz w:val="20"/>
          <w:szCs w:val="20"/>
          <w:color w:val="auto"/>
        </w:rPr>
      </w:pPr>
      <w:r>
        <w:rPr>
          <w:rFonts w:ascii="Times New Roman" w:cs="Times New Roman" w:eastAsia="Times New Roman" w:hAnsi="Times New Roman"/>
          <w:sz w:val="20"/>
          <w:szCs w:val="20"/>
          <w:color w:val="auto"/>
        </w:rPr>
        <w:t>In October and November 2023, we announced the completion of two preclinical studies of the RaniPill HC with antibodies, adalimumab and an undisclosed anti-interleukin antibody (“Undisclosed MAB”). In the two studies, the RaniPill HC achieved an oral delivery success rate of 100% (10/10). In one study, we tracked the serum concentrations of adalimumab, following the oral administration of the enteric-coated RaniPill HC capsule containing 11mg of Humira (adalimumab) to four canine models. In the second study, we tracked the serum concentrations of the Undisclosed MAB, following the oral administration of the enteric-coated RaniPill HC capsule containing 16.5mg of Undisclosed MAB to six canine models. In both studies, the RaniPill HC was well tolerated, all animals remained healthy throughout the study period with no clinical findings or adverse events, and all device remnants were excreted normally without sequelae.</w:t>
      </w:r>
    </w:p>
    <w:p>
      <w:pPr>
        <w:spacing w:after="0" w:line="202" w:lineRule="exact"/>
        <w:rPr>
          <w:sz w:val="20"/>
          <w:szCs w:val="20"/>
          <w:color w:val="auto"/>
        </w:rPr>
      </w:pPr>
    </w:p>
    <w:p>
      <w:pPr>
        <w:ind w:firstLine="979"/>
        <w:spacing w:after="0" w:line="258" w:lineRule="auto"/>
        <w:rPr>
          <w:sz w:val="20"/>
          <w:szCs w:val="20"/>
          <w:color w:val="auto"/>
        </w:rPr>
      </w:pPr>
      <w:r>
        <w:rPr>
          <w:rFonts w:ascii="Times New Roman" w:cs="Times New Roman" w:eastAsia="Times New Roman" w:hAnsi="Times New Roman"/>
          <w:sz w:val="20"/>
          <w:szCs w:val="20"/>
          <w:color w:val="auto"/>
        </w:rPr>
        <w:t>Preliminary preclinical testing supports the potential for RaniPill HC to have high reliability, and initial analysis of drug delivery via the RaniPill HC shows a potential for mimicking parenteral (subcutaneous) administration. We intend for the RaniPill HC to be ready for potential Phase 1 clinical trials in the second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RT-102</w:t>
      </w:r>
    </w:p>
    <w:p>
      <w:pPr>
        <w:spacing w:after="0" w:line="240" w:lineRule="exact"/>
        <w:rPr>
          <w:sz w:val="20"/>
          <w:szCs w:val="20"/>
          <w:color w:val="auto"/>
        </w:rPr>
      </w:pPr>
    </w:p>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In January 2023, we announced that we completed a pre-IND meeting with the FDA with respect to RT-102. Following feedback from the meeting, we believe that a 505(b)(2) pathway is suitable for the development of RT-102 in the U.S. In addition, we obtained guidance from the FDA on its preclinical and clinical development plans for RT-102. We intend to initiate a Phase 2 clinical trial of RT-102 in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RT-105</w:t>
      </w:r>
    </w:p>
    <w:p>
      <w:pPr>
        <w:spacing w:after="0" w:line="240" w:lineRule="exact"/>
        <w:rPr>
          <w:sz w:val="20"/>
          <w:szCs w:val="20"/>
          <w:color w:val="auto"/>
        </w:rPr>
      </w:pPr>
    </w:p>
    <w:p>
      <w:pPr>
        <w:ind w:right="60" w:firstLine="979"/>
        <w:spacing w:after="0" w:line="249" w:lineRule="auto"/>
        <w:rPr>
          <w:sz w:val="20"/>
          <w:szCs w:val="20"/>
          <w:color w:val="auto"/>
        </w:rPr>
      </w:pPr>
      <w:r>
        <w:rPr>
          <w:rFonts w:ascii="Times New Roman" w:cs="Times New Roman" w:eastAsia="Times New Roman" w:hAnsi="Times New Roman"/>
          <w:sz w:val="20"/>
          <w:szCs w:val="20"/>
          <w:color w:val="auto"/>
        </w:rPr>
        <w:t>In June 2023, we entered into a License and Supply Agreement with Celltrion under which we receive an exclusive license and supply of Celltrion’s adalimumab biosimilar for development and commercialization of RT-105 worldwide, subject to a right of first negotiation for Celltrion following completion of a Phase 1 clinical trial that meets its primary endpoint(s). RT-105 is the RaniPill capsule containing an adalimumab biosimilar, which is intended for the treatment of inflammatory conditions. In November 2023, we announced the pausing of development of RT-105 as part of a strategic focusing of the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60-Day GLP Study</w:t>
      </w:r>
    </w:p>
    <w:p>
      <w:pPr>
        <w:spacing w:after="0" w:line="240" w:lineRule="exact"/>
        <w:rPr>
          <w:sz w:val="20"/>
          <w:szCs w:val="20"/>
          <w:color w:val="auto"/>
        </w:rPr>
      </w:pPr>
    </w:p>
    <w:p>
      <w:pPr>
        <w:ind w:right="60" w:firstLine="979"/>
        <w:spacing w:after="0" w:line="245" w:lineRule="auto"/>
        <w:rPr>
          <w:sz w:val="20"/>
          <w:szCs w:val="20"/>
          <w:color w:val="auto"/>
        </w:rPr>
      </w:pPr>
      <w:r>
        <w:rPr>
          <w:rFonts w:ascii="Times New Roman" w:cs="Times New Roman" w:eastAsia="Times New Roman" w:hAnsi="Times New Roman"/>
          <w:sz w:val="20"/>
          <w:szCs w:val="20"/>
          <w:color w:val="auto"/>
        </w:rPr>
        <w:t>In October 2023, we announced preclinical data from a 60-day repeat oral administration study of the RaniPill capsule in healthy animals. The preclinical GLP study evaluated the safety and tolerability of the RaniPill drug delivery platform, following 60-day repeat oral administration of the test article, RT-100, in healthy animals. RT-100 is an enteric-coated capsule identical to RT-102, but instead of PTH contained the pharmaceutical excipient mannitol. The control group received a RaniPill capsule (Mock-RP) of similar weight to RT-100 but filled with potato starch. Male and female (1:1) animals were divided into two groups and were administered either Mock-RP (N=12) or RT-100 (N=24) once daily for 60 days, with half of the animals completing an additional 14-day clinical observation and safety evaluation period. RT-100 was well-tolerated with no treatment-related adverse events and all animals remained clinically healthy throughout the study.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Update</w:t>
      </w:r>
    </w:p>
    <w:p>
      <w:pPr>
        <w:spacing w:after="0" w:line="240" w:lineRule="exact"/>
        <w:rPr>
          <w:sz w:val="20"/>
          <w:szCs w:val="20"/>
          <w:color w:val="auto"/>
        </w:rPr>
      </w:pPr>
    </w:p>
    <w:p>
      <w:pPr>
        <w:ind w:right="120" w:firstLine="979"/>
        <w:spacing w:after="0" w:line="246" w:lineRule="auto"/>
        <w:rPr>
          <w:sz w:val="20"/>
          <w:szCs w:val="20"/>
          <w:color w:val="auto"/>
        </w:rPr>
      </w:pPr>
      <w:r>
        <w:rPr>
          <w:rFonts w:ascii="Times New Roman" w:cs="Times New Roman" w:eastAsia="Times New Roman" w:hAnsi="Times New Roman"/>
          <w:sz w:val="20"/>
          <w:szCs w:val="20"/>
          <w:color w:val="auto"/>
        </w:rPr>
        <w:t>In August 2022, we entered into the Loan Agreement with the Lender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December 31, 2023, we were in compliance with all applicable debt covenants under the Loan Agreement and had cash, cash equivalents, and marketable securities totaling $48.5 million.</w:t>
      </w:r>
    </w:p>
    <w:p>
      <w:pPr>
        <w:spacing w:after="0" w:line="200" w:lineRule="exact"/>
        <w:rPr>
          <w:sz w:val="20"/>
          <w:szCs w:val="20"/>
          <w:color w:val="auto"/>
        </w:rPr>
      </w:pPr>
    </w:p>
    <w:p>
      <w:pPr>
        <w:ind w:right="20" w:firstLine="979"/>
        <w:spacing w:after="0" w:line="233" w:lineRule="auto"/>
        <w:rPr>
          <w:sz w:val="20"/>
          <w:szCs w:val="20"/>
          <w:color w:val="auto"/>
        </w:rPr>
      </w:pPr>
      <w:r>
        <w:rPr>
          <w:rFonts w:ascii="Times New Roman" w:cs="Times New Roman" w:eastAsia="Times New Roman" w:hAnsi="Times New Roman"/>
          <w:sz w:val="20"/>
          <w:szCs w:val="20"/>
          <w:color w:val="auto"/>
        </w:rPr>
        <w:t>In addition, in August 2022, we entered into a Controlled Equity</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20"/>
          <w:szCs w:val="20"/>
          <w:color w:val="auto"/>
        </w:rPr>
        <w:t xml:space="preserve"> Sales Agreement (the “Sales Agreement”) with Cantor Fitzgerald &amp; Co. and H.C. Wainwright &amp; Co., LLC (collectively, the “Agents”), pursuant to which we may offer and sell from time to time through the Agents up to $150.0 million of shares of our Class A common stock, in such share amounts as we may specify by notice to the Agents, in accordance with the terms and conditions set forth in the Sales Agreement (“ATM Sales”). As of December 31, 2023, we had not delivered any placement notices to either of the Agents and there had been no ATM Sales.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780"/>
          </w:cols>
          <w:pgMar w:left="720" w:top="930" w:right="74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auto"/>
        </w:rPr>
        <w:t>Reduction in Force</w:t>
      </w:r>
    </w:p>
    <w:p>
      <w:pPr>
        <w:spacing w:after="0" w:line="240" w:lineRule="exact"/>
        <w:rPr>
          <w:sz w:val="20"/>
          <w:szCs w:val="20"/>
          <w:color w:val="auto"/>
        </w:rPr>
      </w:pPr>
    </w:p>
    <w:p>
      <w:pPr>
        <w:jc w:val="both"/>
        <w:ind w:right="180" w:firstLine="979"/>
        <w:spacing w:after="0" w:line="258" w:lineRule="auto"/>
        <w:rPr>
          <w:sz w:val="20"/>
          <w:szCs w:val="20"/>
          <w:color w:val="auto"/>
        </w:rPr>
      </w:pPr>
      <w:r>
        <w:rPr>
          <w:rFonts w:ascii="Times New Roman" w:cs="Times New Roman" w:eastAsia="Times New Roman" w:hAnsi="Times New Roman"/>
          <w:sz w:val="20"/>
          <w:szCs w:val="20"/>
          <w:color w:val="auto"/>
        </w:rPr>
        <w:t>In November 2023, we committed to a plan for strategic prioritization of our programs, expansion of our manufacturing and streamlining of our business operations to support potential near-term value drivers and long-term growth (the “Restructuring”). The Restructuring includes a reduction of our workforce by approximately 25%.</w:t>
      </w:r>
    </w:p>
    <w:p>
      <w:pPr>
        <w:spacing w:after="0" w:line="188" w:lineRule="exact"/>
        <w:rPr>
          <w:sz w:val="20"/>
          <w:szCs w:val="20"/>
          <w:color w:val="auto"/>
        </w:rPr>
      </w:pPr>
    </w:p>
    <w:p>
      <w:pPr>
        <w:jc w:val="both"/>
        <w:ind w:right="40" w:firstLine="979"/>
        <w:spacing w:after="0" w:line="247" w:lineRule="auto"/>
        <w:rPr>
          <w:sz w:val="20"/>
          <w:szCs w:val="20"/>
          <w:color w:val="auto"/>
        </w:rPr>
      </w:pPr>
      <w:r>
        <w:rPr>
          <w:rFonts w:ascii="Times New Roman" w:cs="Times New Roman" w:eastAsia="Times New Roman" w:hAnsi="Times New Roman"/>
          <w:sz w:val="20"/>
          <w:szCs w:val="20"/>
          <w:color w:val="auto"/>
        </w:rPr>
        <w:t>As a result of the Restructuring, we estimate that we will incur approximately $0.3 million in costs of which nearly all are cash expenditures related to severance and half of which was incurred in the fourth quarter of 2023. We expect the Restructuring to be substantially completed by the end of the second quarter of 2024. The estimates of costs that we expect to incur in connection with the Restructuring and the timing thereof are subject to a number of assumptions and actual results may differ materially from estimates.</w:t>
      </w:r>
    </w:p>
    <w:p>
      <w:pPr>
        <w:spacing w:after="0" w:line="1" w:lineRule="exact"/>
        <w:rPr>
          <w:sz w:val="20"/>
          <w:szCs w:val="20"/>
          <w:color w:val="auto"/>
        </w:rPr>
      </w:pPr>
    </w:p>
    <w:p>
      <w:pPr>
        <w:ind w:right="760"/>
        <w:spacing w:after="0" w:line="248" w:lineRule="auto"/>
        <w:rPr>
          <w:sz w:val="20"/>
          <w:szCs w:val="20"/>
          <w:color w:val="auto"/>
        </w:rPr>
      </w:pPr>
      <w:r>
        <w:rPr>
          <w:rFonts w:ascii="Times New Roman" w:cs="Times New Roman" w:eastAsia="Times New Roman" w:hAnsi="Times New Roman"/>
          <w:sz w:val="20"/>
          <w:szCs w:val="20"/>
          <w:color w:val="auto"/>
        </w:rPr>
        <w:t>We may also incur other charges or cash expenditures not currently contemplated in connection with the Restructuring due to unanticipated events that may occur, including in connection with the implementation of the Restructuring.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CEO Compensation Reduction</w:t>
      </w:r>
    </w:p>
    <w:p>
      <w:pPr>
        <w:spacing w:after="0" w:line="240" w:lineRule="exact"/>
        <w:rPr>
          <w:sz w:val="20"/>
          <w:szCs w:val="20"/>
          <w:color w:val="auto"/>
        </w:rPr>
      </w:pPr>
    </w:p>
    <w:p>
      <w:pPr>
        <w:ind w:right="160" w:firstLine="979"/>
        <w:spacing w:after="0" w:line="249" w:lineRule="auto"/>
        <w:rPr>
          <w:sz w:val="20"/>
          <w:szCs w:val="20"/>
          <w:color w:val="auto"/>
        </w:rPr>
      </w:pPr>
      <w:r>
        <w:rPr>
          <w:rFonts w:ascii="Times New Roman" w:cs="Times New Roman" w:eastAsia="Times New Roman" w:hAnsi="Times New Roman"/>
          <w:sz w:val="20"/>
          <w:szCs w:val="20"/>
          <w:color w:val="auto"/>
        </w:rPr>
        <w:t>In November 2023, our Board of Directors (the “Board”) approved a reduction in the annual salary of Talat Imran, our Chief Executive Officer, from $520,000 to $100,000, effective November 1, 2023 through December 31, 2024 or until such time as we receive gross proceeds of $50,000,000 or more, in the aggregate, from equity financing and/or one or more non-dilutive strategic, licensing or partnering transactions. The decreased base salary amends the Amended and Restated Employment Agreement, dated August 31, 2022, by and between Rani LLC and Mr. Imran.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w:t>
      </w:r>
    </w:p>
    <w:p>
      <w:pPr>
        <w:spacing w:after="0" w:line="240" w:lineRule="exact"/>
        <w:rPr>
          <w:sz w:val="20"/>
          <w:szCs w:val="20"/>
          <w:color w:val="auto"/>
        </w:rPr>
      </w:pPr>
    </w:p>
    <w:p>
      <w:pPr>
        <w:ind w:right="140" w:firstLine="979"/>
        <w:spacing w:after="0" w:line="258" w:lineRule="auto"/>
        <w:rPr>
          <w:sz w:val="20"/>
          <w:szCs w:val="20"/>
          <w:color w:val="auto"/>
        </w:rPr>
      </w:pPr>
      <w:r>
        <w:rPr>
          <w:rFonts w:ascii="Times New Roman" w:cs="Times New Roman" w:eastAsia="Times New Roman" w:hAnsi="Times New Roman"/>
          <w:sz w:val="20"/>
          <w:szCs w:val="20"/>
          <w:color w:val="auto"/>
        </w:rPr>
        <w:t>In November 2023, Rani LLC and BKM South Bay 240, LLC (“Landlord”) entered into the Standard Industrial/Commercial Multi-Tenant Lease - Net (the “Lease”). Pursuant to the terms of the Lease, we are leasing 33,340 square feet of space in Fremont, California, which is part of a two-building project (the “Project”).</w:t>
      </w:r>
    </w:p>
    <w:p>
      <w:pPr>
        <w:spacing w:after="0" w:line="188" w:lineRule="exact"/>
        <w:rPr>
          <w:sz w:val="20"/>
          <w:szCs w:val="20"/>
          <w:color w:val="auto"/>
        </w:rPr>
      </w:pPr>
    </w:p>
    <w:p>
      <w:pPr>
        <w:ind w:right="120" w:firstLine="979"/>
        <w:spacing w:after="0" w:line="249" w:lineRule="auto"/>
        <w:rPr>
          <w:sz w:val="20"/>
          <w:szCs w:val="20"/>
          <w:color w:val="auto"/>
        </w:rPr>
      </w:pPr>
      <w:r>
        <w:rPr>
          <w:rFonts w:ascii="Times New Roman" w:cs="Times New Roman" w:eastAsia="Times New Roman" w:hAnsi="Times New Roman"/>
          <w:sz w:val="20"/>
          <w:szCs w:val="20"/>
          <w:color w:val="auto"/>
        </w:rPr>
        <w:t>The initial term of the Lease commenced in February 2024, and the duration of the initial term is 63 months. Subject to certain conditions, we have an option to renew the Lease for one additional 5-year term at the then-prevailing market rate. The monthly base rent for the initial term of the Lease is approximately $95,000 per month, subject to a 4% increase each year. We are also responsible for the payment of additional rent to cover our share of common area operating expenses, including taxes, insurance, utilities, and repair and maintenance of the premises and common areas of the Project.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Organizational Transactions</w:t>
      </w:r>
    </w:p>
    <w:p>
      <w:pPr>
        <w:spacing w:after="0" w:line="244"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The Company was incorporated in April 2021 and formed for the purpose of facilitating an IPO of its Class A common stock, and to facilitate certain organizational transactions (“Organizational Transactions”) and to operate the business of Rani LLC and its consolidated subsidiary at such time, Rani Management Services, Inc. (“RMS”).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conducts all of Rani LLC’s business and the financial results of Rani LLC and RMS (prior to December 15, 2022) are included in the consolidated financial statements of the Company. RMS was dissolved as of December 15, 2022</w:t>
      </w:r>
    </w:p>
    <w:p>
      <w:pPr>
        <w:spacing w:after="0" w:line="202" w:lineRule="exact"/>
        <w:rPr>
          <w:sz w:val="20"/>
          <w:szCs w:val="20"/>
          <w:color w:val="auto"/>
        </w:rPr>
      </w:pPr>
    </w:p>
    <w:p>
      <w:pPr>
        <w:ind w:right="20" w:firstLine="979"/>
        <w:spacing w:after="0" w:line="256" w:lineRule="auto"/>
        <w:rPr>
          <w:sz w:val="20"/>
          <w:szCs w:val="20"/>
          <w:color w:val="auto"/>
        </w:rPr>
      </w:pPr>
      <w:r>
        <w:rPr>
          <w:rFonts w:ascii="Times New Roman" w:cs="Times New Roman" w:eastAsia="Times New Roman" w:hAnsi="Times New Roman"/>
          <w:sz w:val="19"/>
          <w:szCs w:val="19"/>
          <w:color w:val="auto"/>
        </w:rPr>
        <w:t>Rani LLC has been, and after the IPO continues to be, treated as a pass-through entity for U.S. federal and state income tax purposes and accordingly has not been subject to U.S. federal or state income tax. The wholly owned subsidiary of Rani LLC, RMS, which was incorporated in 2019 and dissolved in December 2022, was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800"/>
          </w:cols>
          <w:pgMar w:left="720" w:top="930" w:right="720" w:bottom="0" w:gutter="0" w:footer="0" w:header="0"/>
          <w:type w:val="continuous"/>
        </w:sectPr>
      </w:pPr>
    </w:p>
    <w:bookmarkStart w:id="103" w:name="page104"/>
    <w:bookmarkEnd w:id="103"/>
    <w:p>
      <w:pPr>
        <w:ind w:right="20"/>
        <w:spacing w:after="0" w:line="246" w:lineRule="auto"/>
        <w:rPr>
          <w:sz w:val="20"/>
          <w:szCs w:val="20"/>
          <w:color w:val="auto"/>
        </w:rPr>
      </w:pPr>
      <w:r>
        <w:rPr>
          <w:rFonts w:ascii="Times New Roman" w:cs="Times New Roman" w:eastAsia="Times New Roman" w:hAnsi="Times New Roman"/>
          <w:sz w:val="20"/>
          <w:szCs w:val="20"/>
          <w:color w:val="auto"/>
        </w:rPr>
        <w:t>exchanges may reduce the amount of income tax that the Company would otherwise be required to pay in the future. This tax basis may also decrease the gains (or increase the losses) on future dispositions of certain assets to the extent tax basis is allocated to those 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1,345,067 shares of the Company’s Class A 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Our operating expenses consisted of research and development and general and administrative activities.</w:t>
      </w:r>
    </w:p>
    <w:p>
      <w:pPr>
        <w:spacing w:after="0" w:line="2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238" w:lineRule="exact"/>
        <w:rPr>
          <w:sz w:val="20"/>
          <w:szCs w:val="20"/>
          <w:color w:val="auto"/>
        </w:rPr>
      </w:pPr>
    </w:p>
    <w:p>
      <w:pPr>
        <w:ind w:right="40" w:firstLine="979"/>
        <w:spacing w:after="0" w:line="277" w:lineRule="auto"/>
        <w:rPr>
          <w:sz w:val="20"/>
          <w:szCs w:val="20"/>
          <w:color w:val="auto"/>
        </w:rPr>
      </w:pPr>
      <w:r>
        <w:rPr>
          <w:rFonts w:ascii="Times New Roman" w:cs="Times New Roman" w:eastAsia="Times New Roman" w:hAnsi="Times New Roman"/>
          <w:sz w:val="20"/>
          <w:szCs w:val="20"/>
          <w:color w:val="auto"/>
        </w:rPr>
        <w:t>Research and development expense consists primarily of direct and indirect costs incurred in connection with our research and development activities to develop the RaniPill platform. These expenses include:</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External expenses, consisting of:</w:t>
      </w:r>
    </w:p>
    <w:p>
      <w:pPr>
        <w:spacing w:after="0" w:line="254" w:lineRule="exact"/>
        <w:rPr>
          <w:sz w:val="20"/>
          <w:szCs w:val="20"/>
          <w:color w:val="auto"/>
        </w:rPr>
      </w:pPr>
    </w:p>
    <w:p>
      <w:pPr>
        <w:ind w:left="1580" w:hanging="486"/>
        <w:spacing w:after="0"/>
        <w:tabs>
          <w:tab w:leader="none" w:pos="158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expenses associated with contract research organizations ("CROs,"), for managing and conducting clinical trials;</w:t>
      </w:r>
    </w:p>
    <w:p>
      <w:pPr>
        <w:spacing w:after="0" w:line="253" w:lineRule="exact"/>
        <w:rPr>
          <w:rFonts w:ascii="Arial" w:cs="Arial" w:eastAsia="Arial" w:hAnsi="Arial"/>
          <w:sz w:val="20"/>
          <w:szCs w:val="20"/>
          <w:color w:val="auto"/>
        </w:rPr>
      </w:pPr>
    </w:p>
    <w:p>
      <w:pPr>
        <w:ind w:left="1580" w:right="40" w:hanging="486"/>
        <w:spacing w:after="0" w:line="276" w:lineRule="auto"/>
        <w:tabs>
          <w:tab w:leader="none" w:pos="158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expenses associated with laboratory supplies, drug material for clinical trials, developing and manufacturing of the RaniPill GO, RaniPill HC and other materials;</w:t>
      </w:r>
    </w:p>
    <w:p>
      <w:pPr>
        <w:spacing w:after="0" w:line="184" w:lineRule="exact"/>
        <w:rPr>
          <w:rFonts w:ascii="Arial" w:cs="Arial" w:eastAsia="Arial" w:hAnsi="Arial"/>
          <w:sz w:val="20"/>
          <w:szCs w:val="20"/>
          <w:color w:val="auto"/>
        </w:rPr>
      </w:pPr>
    </w:p>
    <w:p>
      <w:pPr>
        <w:ind w:left="1580" w:hanging="486"/>
        <w:spacing w:after="0"/>
        <w:tabs>
          <w:tab w:leader="none" w:pos="158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expenses associated with preclinical studies performed by third parties;</w:t>
      </w:r>
    </w:p>
    <w:p>
      <w:pPr>
        <w:spacing w:after="0" w:line="253" w:lineRule="exact"/>
        <w:rPr>
          <w:rFonts w:ascii="Arial" w:cs="Arial" w:eastAsia="Arial" w:hAnsi="Arial"/>
          <w:sz w:val="20"/>
          <w:szCs w:val="20"/>
          <w:color w:val="auto"/>
        </w:rPr>
      </w:pPr>
    </w:p>
    <w:p>
      <w:pPr>
        <w:ind w:left="1580" w:hanging="486"/>
        <w:spacing w:after="0"/>
        <w:tabs>
          <w:tab w:leader="none" w:pos="158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expenses associated with consulting, advisors, and other external services; and</w:t>
      </w:r>
    </w:p>
    <w:p>
      <w:pPr>
        <w:spacing w:after="0" w:line="253" w:lineRule="exact"/>
        <w:rPr>
          <w:rFonts w:ascii="Arial" w:cs="Arial" w:eastAsia="Arial" w:hAnsi="Arial"/>
          <w:sz w:val="20"/>
          <w:szCs w:val="20"/>
          <w:color w:val="auto"/>
        </w:rPr>
      </w:pPr>
    </w:p>
    <w:p>
      <w:pPr>
        <w:ind w:left="1580" w:hanging="486"/>
        <w:spacing w:after="0"/>
        <w:tabs>
          <w:tab w:leader="none" w:pos="158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other research and development costs related to compliance with quality and regulatory requirements.</w:t>
      </w:r>
    </w:p>
    <w:p>
      <w:pPr>
        <w:spacing w:after="0" w:line="2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Internal expenses, consisting of:</w:t>
      </w:r>
    </w:p>
    <w:p>
      <w:pPr>
        <w:spacing w:after="0" w:line="254" w:lineRule="exact"/>
        <w:rPr>
          <w:sz w:val="20"/>
          <w:szCs w:val="20"/>
          <w:color w:val="auto"/>
        </w:rPr>
      </w:pPr>
    </w:p>
    <w:p>
      <w:pPr>
        <w:ind w:left="1580" w:right="20" w:hanging="486"/>
        <w:spacing w:after="0" w:line="276" w:lineRule="auto"/>
        <w:tabs>
          <w:tab w:leader="none" w:pos="158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expenses including salaries, bonuses, stock-based compensation and benefits for personnel engaged in the research and development functions; and</w:t>
      </w:r>
    </w:p>
    <w:p>
      <w:pPr>
        <w:spacing w:after="0" w:line="184" w:lineRule="exact"/>
        <w:rPr>
          <w:rFonts w:ascii="Arial" w:cs="Arial" w:eastAsia="Arial" w:hAnsi="Arial"/>
          <w:sz w:val="20"/>
          <w:szCs w:val="20"/>
          <w:color w:val="auto"/>
        </w:rPr>
      </w:pPr>
    </w:p>
    <w:p>
      <w:pPr>
        <w:ind w:left="1580" w:hanging="486"/>
        <w:spacing w:after="0"/>
        <w:tabs>
          <w:tab w:leader="none" w:pos="158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expenses associated with equipment depreciation and allocated facility costs for research and development.</w:t>
      </w:r>
    </w:p>
    <w:p>
      <w:pPr>
        <w:spacing w:after="0" w:line="239"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202" w:lineRule="exact"/>
        <w:rPr>
          <w:sz w:val="20"/>
          <w:szCs w:val="20"/>
          <w:color w:val="auto"/>
        </w:rPr>
      </w:pPr>
    </w:p>
    <w:p>
      <w:pPr>
        <w:ind w:right="700" w:firstLine="979"/>
        <w:spacing w:after="0" w:line="305" w:lineRule="auto"/>
        <w:rPr>
          <w:sz w:val="20"/>
          <w:szCs w:val="20"/>
          <w:color w:val="auto"/>
        </w:rPr>
      </w:pPr>
      <w:r>
        <w:rPr>
          <w:rFonts w:ascii="Times New Roman" w:cs="Times New Roman" w:eastAsia="Times New Roman" w:hAnsi="Times New Roman"/>
          <w:sz w:val="19"/>
          <w:szCs w:val="19"/>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45" w:lineRule="exact"/>
        <w:rPr>
          <w:sz w:val="20"/>
          <w:szCs w:val="20"/>
          <w:color w:val="auto"/>
        </w:rPr>
      </w:pPr>
    </w:p>
    <w:p>
      <w:pPr>
        <w:ind w:firstLine="979"/>
        <w:spacing w:after="0" w:line="277" w:lineRule="auto"/>
        <w:rPr>
          <w:sz w:val="20"/>
          <w:szCs w:val="20"/>
          <w:color w:val="auto"/>
        </w:rPr>
      </w:pPr>
      <w:r>
        <w:rPr>
          <w:rFonts w:ascii="Times New Roman" w:cs="Times New Roman" w:eastAsia="Times New Roman" w:hAnsi="Times New Roman"/>
          <w:sz w:val="20"/>
          <w:szCs w:val="20"/>
          <w:color w:val="auto"/>
        </w:rPr>
        <w:t>The historical focus of our research and development has been on the RaniPill delivery platform and not tracked costs on a project-by-project basis associated with different drug compounds.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800"/>
          </w:cols>
          <w:pgMar w:left="720" w:top="930" w:right="720" w:bottom="0" w:gutter="0" w:footer="0" w:header="0"/>
          <w:type w:val="continuous"/>
        </w:sectPr>
      </w:pPr>
    </w:p>
    <w:bookmarkStart w:id="104" w:name="page105"/>
    <w:bookmarkEnd w:id="104"/>
    <w:p>
      <w:pPr>
        <w:ind w:right="60" w:firstLine="979"/>
        <w:spacing w:after="0" w:line="244" w:lineRule="auto"/>
        <w:rPr>
          <w:sz w:val="20"/>
          <w:szCs w:val="20"/>
          <w:color w:val="auto"/>
        </w:rPr>
      </w:pPr>
      <w:r>
        <w:rPr>
          <w:rFonts w:ascii="Times New Roman" w:cs="Times New Roman" w:eastAsia="Times New Roman" w:hAnsi="Times New Roman"/>
          <w:sz w:val="20"/>
          <w:szCs w:val="20"/>
          <w:color w:val="auto"/>
        </w:rPr>
        <w:t>At this time, we cannot reasonably estimate or know the nature, timing, and estimated costs of the efforts that will be necessary to complete development of the RaniPill GO and RaniPill HC and complete the development of, and obtain regulatory approval for, our product candidates. We expect our research and development expenses to increase significantly for the foreseeable future as we continue to invest in activities related to testing and developing the RaniPill GO and RaniPill HC and the development of our product candidates, as our product candidates advance into later stages of development, as we begin to conduct larger clinical trials, as we seek regulatory approvals for our product candidates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platform and our product candidates is highly uncertain, and we may never succeed in successfully developing the RaniPill GO and/or RaniPill HC or achieve the development of, and regulatory approval for, our product candidates.</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8" w:lineRule="exact"/>
        <w:rPr>
          <w:sz w:val="20"/>
          <w:szCs w:val="20"/>
          <w:color w:val="auto"/>
        </w:rPr>
      </w:pPr>
    </w:p>
    <w:p>
      <w:pPr>
        <w:ind w:right="60" w:firstLine="979"/>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personnel-related costs (including salaries, bonuses, stock-based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40" w:lineRule="exact"/>
        <w:rPr>
          <w:sz w:val="20"/>
          <w:szCs w:val="20"/>
          <w:color w:val="auto"/>
        </w:rPr>
      </w:pPr>
    </w:p>
    <w:p>
      <w:pPr>
        <w:ind w:right="780" w:firstLine="979"/>
        <w:spacing w:after="0" w:line="277" w:lineRule="auto"/>
        <w:rPr>
          <w:sz w:val="20"/>
          <w:szCs w:val="20"/>
          <w:color w:val="auto"/>
        </w:rPr>
      </w:pPr>
      <w:r>
        <w:rPr>
          <w:rFonts w:ascii="Times New Roman" w:cs="Times New Roman" w:eastAsia="Times New Roman" w:hAnsi="Times New Roman"/>
          <w:sz w:val="20"/>
          <w:szCs w:val="20"/>
          <w:color w:val="auto"/>
        </w:rPr>
        <w:t>Other income (expense), net primarily consists of interest income earned on our cash equivalents and marketable securities and interest expense from our long-term debt and amortization of debt discount and issuance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w:t>
      </w:r>
    </w:p>
    <w:p>
      <w:pPr>
        <w:spacing w:after="0" w:line="240" w:lineRule="exact"/>
        <w:rPr>
          <w:sz w:val="20"/>
          <w:szCs w:val="20"/>
          <w:color w:val="auto"/>
        </w:rPr>
      </w:pPr>
    </w:p>
    <w:p>
      <w:pPr>
        <w:ind w:right="640" w:firstLine="979"/>
        <w:spacing w:after="0" w:line="277" w:lineRule="auto"/>
        <w:rPr>
          <w:sz w:val="20"/>
          <w:szCs w:val="20"/>
          <w:color w:val="auto"/>
        </w:rPr>
      </w:pPr>
      <w:r>
        <w:rPr>
          <w:rFonts w:ascii="Times New Roman" w:cs="Times New Roman" w:eastAsia="Times New Roman" w:hAnsi="Times New Roman"/>
          <w:sz w:val="20"/>
          <w:szCs w:val="20"/>
          <w:color w:val="auto"/>
        </w:rPr>
        <w:t>Non-controlling interest ("NCI") represents the portion of income or loss, net assets and comprehensive loss of our consolidated subsidiary that is not allocable to the Company based on its percentage of ownership of Rani LLC.</w:t>
      </w:r>
    </w:p>
    <w:p>
      <w:pPr>
        <w:spacing w:after="0" w:line="169"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In August 2021, based on the Organizational Transactions, the Company became the sole managing member of Rani LLC. As of December 31, 2023, the Company held approximately 51% of the Class A Units of Rani LLC, and approximately 49% of the outstanding Class A Units of Rani LLC are held by the Continuing LLC Owners. Therefore, we report NCI based on the Class A Units of Rani LLC held by the Continuing LLC Owners on our consolidated balance sheet as of December 31, 2023. Income or loss attributed to the NCI in Rani LLC is based on the Class A Units outstanding during the period for which the income or loss is generated and is presented on the consolidated statements of operations and comprehensive income or loss.</w:t>
      </w:r>
    </w:p>
    <w:p>
      <w:pPr>
        <w:spacing w:after="0" w:line="200"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December 31, 2023, there were 5,173,947 exchanges of Paired Interests and 200,455 exchanges of non-corresponding Class A Units of Rani LLC for an equal number of shares of our Class A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Receivable Agreement</w:t>
      </w:r>
    </w:p>
    <w:p>
      <w:pPr>
        <w:spacing w:after="0" w:line="244" w:lineRule="exact"/>
        <w:rPr>
          <w:sz w:val="20"/>
          <w:szCs w:val="20"/>
          <w:color w:val="auto"/>
        </w:rPr>
      </w:pPr>
    </w:p>
    <w:p>
      <w:pPr>
        <w:ind w:right="140" w:firstLine="979"/>
        <w:spacing w:after="0" w:line="247" w:lineRule="auto"/>
        <w:rPr>
          <w:sz w:val="20"/>
          <w:szCs w:val="20"/>
          <w:color w:val="auto"/>
        </w:rPr>
      </w:pPr>
      <w:r>
        <w:rPr>
          <w:rFonts w:ascii="Times New Roman" w:cs="Times New Roman" w:eastAsia="Times New Roman" w:hAnsi="Times New Roman"/>
          <w:sz w:val="20"/>
          <w:szCs w:val="20"/>
          <w:color w:val="auto"/>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200" w:lineRule="exact"/>
        <w:rPr>
          <w:sz w:val="20"/>
          <w:szCs w:val="20"/>
          <w:color w:val="auto"/>
        </w:rPr>
      </w:pPr>
    </w:p>
    <w:p>
      <w:pPr>
        <w:ind w:right="160" w:firstLine="979"/>
        <w:spacing w:after="0" w:line="252" w:lineRule="auto"/>
        <w:rPr>
          <w:sz w:val="20"/>
          <w:szCs w:val="20"/>
          <w:color w:val="auto"/>
        </w:rPr>
      </w:pPr>
      <w:r>
        <w:rPr>
          <w:rFonts w:ascii="Times New Roman" w:cs="Times New Roman" w:eastAsia="Times New Roman" w:hAnsi="Times New Roman"/>
          <w:sz w:val="20"/>
          <w:szCs w:val="20"/>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800"/>
          </w:cols>
          <w:pgMar w:left="720" w:top="930" w:right="72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Relationship with InCube Labs, LLC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Service Agreements</w:t>
      </w:r>
    </w:p>
    <w:p>
      <w:pPr>
        <w:spacing w:after="0" w:line="240"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In June 2021, Rani LLC entered into a service agreement with InCube Labs, LLC (“ICL”) effective retrospectively to January 1, 2021, and subsequently amended such agreement in March 2022 and March 2024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In March 2024, Rani LLC entered into an amendment to extend the term of the Occupancy Services in Milpitas, California from February 2024 to August 2024 and to increase the payment for such Occupancy Services during the extension period.</w:t>
      </w:r>
    </w:p>
    <w:p>
      <w:pPr>
        <w:spacing w:after="0" w:line="200" w:lineRule="exact"/>
        <w:rPr>
          <w:sz w:val="20"/>
          <w:szCs w:val="20"/>
          <w:color w:val="auto"/>
        </w:rPr>
      </w:pPr>
    </w:p>
    <w:p>
      <w:pPr>
        <w:ind w:right="120" w:firstLine="979"/>
        <w:spacing w:after="0" w:line="245" w:lineRule="auto"/>
        <w:rPr>
          <w:sz w:val="20"/>
          <w:szCs w:val="20"/>
          <w:color w:val="auto"/>
        </w:rPr>
      </w:pPr>
      <w:r>
        <w:rPr>
          <w:rFonts w:ascii="Times New Roman" w:cs="Times New Roman" w:eastAsia="Times New Roman" w:hAnsi="Times New Roman"/>
          <w:sz w:val="20"/>
          <w:szCs w:val="20"/>
          <w:color w:val="auto"/>
        </w:rPr>
        <w:t>The Rani LLC-ICL Service Agreement has a twelve-month term and will automatically renew for a successive twelve-month periods unless terminated; except that the Occupancy Services in Milpitas, California have a term until August 2024,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December 2023, we provided to ICL notice of termination of the Occupancy Services in San Antonio, which termination will take effect in June 2024.</w:t>
      </w:r>
    </w:p>
    <w:p>
      <w:pPr>
        <w:spacing w:after="0" w:line="202" w:lineRule="exact"/>
        <w:rPr>
          <w:sz w:val="20"/>
          <w:szCs w:val="20"/>
          <w:color w:val="auto"/>
        </w:rPr>
      </w:pPr>
    </w:p>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In June 2021, RMS entered into a service agreement with ICL effective retrospectively to January 1, 2021. In April 2022, RMS assigned the RMS-ICL Service Agreement to Rani LLC. In March 2024, Rani LLC entered into an amendment to increase the Occupancy Services from 23,000 square feet to 24,000 square feet (such agreement, as assigned and amended, the “RMS-ICL Service Agreement”). Pursuant to the RMS-ICL Service Agreement, ICL agreed to rent a specified portion of its facility in San Jose, California to RMS. Additionally, RMS and ICL agreed to provide personnel services to the other upon requests based on rates specified in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table below details the amounts charged by ICL for services and rent, net of the amount charged to ICL under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RMS-ICL Service Agreement, which is included in the consolidated statements of operations and comprehensive loss (in thousands):</w:t>
      </w:r>
    </w:p>
    <w:p>
      <w:pPr>
        <w:spacing w:after="0" w:line="248"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3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5"/>
                <w:szCs w:val="15"/>
                <w:color w:val="auto"/>
              </w:rPr>
            </w:pPr>
          </w:p>
        </w:tc>
        <w:tc>
          <w:tcPr>
            <w:tcW w:w="13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388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1740" w:type="dxa"/>
            <w:vAlign w:val="bottom"/>
            <w:tcBorders>
              <w:top w:val="single" w:sz="8" w:color="E0E0E0"/>
            </w:tcBorders>
            <w:shd w:val="clear" w:color="auto" w:fill="E0E0E0"/>
          </w:tcPr>
          <w:p>
            <w:pPr>
              <w:spacing w:after="0"/>
              <w:rPr>
                <w:sz w:val="19"/>
                <w:szCs w:val="19"/>
                <w:color w:val="auto"/>
              </w:rPr>
            </w:pPr>
          </w:p>
        </w:tc>
        <w:tc>
          <w:tcPr>
            <w:tcW w:w="1040" w:type="dxa"/>
            <w:vAlign w:val="bottom"/>
            <w:tcBorders>
              <w:top w:val="single" w:sz="8" w:color="auto"/>
            </w:tcBorders>
            <w:shd w:val="clear" w:color="auto" w:fill="E0E0E0"/>
          </w:tcPr>
          <w:p>
            <w:pPr>
              <w:jc w:val="right"/>
              <w:ind w:right="85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1,254</w:t>
            </w:r>
          </w:p>
        </w:tc>
        <w:tc>
          <w:tcPr>
            <w:tcW w:w="280" w:type="dxa"/>
            <w:vAlign w:val="bottom"/>
            <w:tcBorders>
              <w:top w:val="single" w:sz="8" w:color="E0E0E0"/>
            </w:tcBorders>
            <w:shd w:val="clear" w:color="auto" w:fill="E0E0E0"/>
          </w:tcPr>
          <w:p>
            <w:pPr>
              <w:spacing w:after="0"/>
              <w:rPr>
                <w:sz w:val="19"/>
                <w:szCs w:val="19"/>
                <w:color w:val="auto"/>
              </w:rPr>
            </w:pPr>
          </w:p>
        </w:tc>
        <w:tc>
          <w:tcPr>
            <w:tcW w:w="1060" w:type="dxa"/>
            <w:vAlign w:val="bottom"/>
            <w:tcBorders>
              <w:top w:val="single" w:sz="8" w:color="auto"/>
            </w:tcBorders>
            <w:shd w:val="clear" w:color="auto" w:fill="E0E0E0"/>
          </w:tcPr>
          <w:p>
            <w:pPr>
              <w:jc w:val="right"/>
              <w:ind w:right="8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1,170</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38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740" w:type="dxa"/>
            <w:vAlign w:val="bottom"/>
            <w:tcBorders>
              <w:bottom w:val="single" w:sz="8" w:color="E0E0E0"/>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280" w:type="dxa"/>
            <w:vAlign w:val="bottom"/>
            <w:tcBorders>
              <w:bottom w:val="single" w:sz="8" w:color="E0E0E0"/>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00" w:type="dxa"/>
            <w:vAlign w:val="bottom"/>
            <w:tcBorders>
              <w:bottom w:val="single" w:sz="8" w:color="E0E0E0"/>
            </w:tcBorders>
          </w:tcPr>
          <w:p>
            <w:pPr>
              <w:spacing w:after="0"/>
              <w:rPr>
                <w:sz w:val="19"/>
                <w:szCs w:val="19"/>
                <w:color w:val="auto"/>
              </w:rPr>
            </w:pPr>
          </w:p>
        </w:tc>
      </w:tr>
      <w:tr>
        <w:trPr>
          <w:trHeight w:val="220"/>
        </w:trPr>
        <w:tc>
          <w:tcPr>
            <w:tcW w:w="38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740" w:type="dxa"/>
            <w:vAlign w:val="bottom"/>
            <w:shd w:val="clear" w:color="auto" w:fill="E0E0E0"/>
          </w:tcPr>
          <w:p>
            <w:pPr>
              <w:spacing w:after="0"/>
              <w:rPr>
                <w:sz w:val="19"/>
                <w:szCs w:val="19"/>
                <w:color w:val="auto"/>
              </w:rPr>
            </w:pPr>
          </w:p>
        </w:tc>
        <w:tc>
          <w:tcPr>
            <w:tcW w:w="1040" w:type="dxa"/>
            <w:vAlign w:val="bottom"/>
            <w:tcBorders>
              <w:bottom w:val="single" w:sz="8" w:color="auto"/>
            </w:tcBorders>
            <w:shd w:val="clear" w:color="auto" w:fill="E0E0E0"/>
          </w:tcPr>
          <w:p>
            <w:pPr>
              <w:jc w:val="right"/>
              <w:ind w:right="85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1,508</w:t>
            </w:r>
          </w:p>
        </w:tc>
        <w:tc>
          <w:tcPr>
            <w:tcW w:w="280" w:type="dxa"/>
            <w:vAlign w:val="bottom"/>
            <w:shd w:val="clear" w:color="auto" w:fill="E0E0E0"/>
          </w:tcPr>
          <w:p>
            <w:pPr>
              <w:spacing w:after="0"/>
              <w:rPr>
                <w:sz w:val="19"/>
                <w:szCs w:val="19"/>
                <w:color w:val="auto"/>
              </w:rPr>
            </w:pPr>
          </w:p>
        </w:tc>
        <w:tc>
          <w:tcPr>
            <w:tcW w:w="1060" w:type="dxa"/>
            <w:vAlign w:val="bottom"/>
            <w:tcBorders>
              <w:bottom w:val="single" w:sz="8" w:color="auto"/>
            </w:tcBorders>
            <w:shd w:val="clear" w:color="auto" w:fill="E0E0E0"/>
          </w:tcPr>
          <w:p>
            <w:pPr>
              <w:jc w:val="right"/>
              <w:ind w:right="8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1,392</w:t>
            </w:r>
          </w:p>
        </w:tc>
        <w:tc>
          <w:tcPr>
            <w:tcW w:w="100" w:type="dxa"/>
            <w:vAlign w:val="bottom"/>
            <w:shd w:val="clear" w:color="auto" w:fill="E0E0E0"/>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right="80" w:firstLine="979"/>
        <w:spacing w:after="0" w:line="252" w:lineRule="auto"/>
        <w:rPr>
          <w:sz w:val="20"/>
          <w:szCs w:val="20"/>
          <w:color w:val="auto"/>
        </w:rPr>
      </w:pPr>
      <w:r>
        <w:rPr>
          <w:rFonts w:ascii="Times New Roman" w:cs="Times New Roman" w:eastAsia="Times New Roman" w:hAnsi="Times New Roman"/>
          <w:sz w:val="20"/>
          <w:szCs w:val="20"/>
          <w:color w:val="auto"/>
        </w:rPr>
        <w:t>Prior to April 2022, our eligible employees were permitted to participate in ICL’s 401(k) Plan (“401(k) Plan”). Participation in the 401(k) Plan was offered for the benefit of our employees, including our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94" w:lineRule="exact"/>
        <w:rPr>
          <w:sz w:val="20"/>
          <w:szCs w:val="20"/>
          <w:color w:val="auto"/>
        </w:rPr>
      </w:pPr>
    </w:p>
    <w:p>
      <w:pPr>
        <w:ind w:right="260" w:firstLine="979"/>
        <w:spacing w:after="0" w:line="277" w:lineRule="auto"/>
        <w:rPr>
          <w:sz w:val="20"/>
          <w:szCs w:val="20"/>
          <w:color w:val="auto"/>
        </w:rPr>
      </w:pPr>
      <w:r>
        <w:rPr>
          <w:rFonts w:ascii="Times New Roman" w:cs="Times New Roman" w:eastAsia="Times New Roman" w:hAnsi="Times New Roman"/>
          <w:sz w:val="20"/>
          <w:szCs w:val="20"/>
          <w:color w:val="auto"/>
        </w:rPr>
        <w:t>As of December 31, 2023, all of our facilities are owned or leased by an entity affiliated with our Chairman. Rani LLC pays for the use of these facilities through our services agreements with ICL.</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800"/>
          </w:cols>
          <w:pgMar w:left="720" w:top="926" w:right="72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w:t>
      </w:r>
    </w:p>
    <w:p>
      <w:pPr>
        <w:spacing w:after="0" w:line="240" w:lineRule="exact"/>
        <w:rPr>
          <w:sz w:val="20"/>
          <w:szCs w:val="20"/>
          <w:color w:val="auto"/>
        </w:rPr>
      </w:pPr>
    </w:p>
    <w:p>
      <w:pPr>
        <w:ind w:firstLine="979"/>
        <w:spacing w:after="0" w:line="243" w:lineRule="auto"/>
        <w:rPr>
          <w:sz w:val="20"/>
          <w:szCs w:val="20"/>
          <w:color w:val="auto"/>
        </w:rPr>
      </w:pPr>
      <w:r>
        <w:rPr>
          <w:rFonts w:ascii="Times New Roman" w:cs="Times New Roman" w:eastAsia="Times New Roman" w:hAnsi="Times New Roman"/>
          <w:sz w:val="20"/>
          <w:szCs w:val="20"/>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Non-Exclusive License Agreement between Rani and ICL (“Non-Exclusive License Agreement”)</w:t>
      </w:r>
    </w:p>
    <w:p>
      <w:pPr>
        <w:spacing w:after="0" w:line="240"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Agreement with Mir Imran (the “Mir Agreement”)</w:t>
      </w:r>
    </w:p>
    <w:p>
      <w:pPr>
        <w:spacing w:after="0" w:line="240" w:lineRule="exact"/>
        <w:rPr>
          <w:sz w:val="20"/>
          <w:szCs w:val="20"/>
          <w:color w:val="auto"/>
        </w:rPr>
      </w:pPr>
    </w:p>
    <w:p>
      <w:pPr>
        <w:jc w:val="both"/>
        <w:ind w:right="380" w:firstLine="979"/>
        <w:spacing w:after="0" w:line="262" w:lineRule="auto"/>
        <w:rPr>
          <w:sz w:val="20"/>
          <w:szCs w:val="20"/>
          <w:color w:val="auto"/>
        </w:rPr>
      </w:pPr>
      <w:r>
        <w:rPr>
          <w:rFonts w:ascii="Times New Roman" w:cs="Times New Roman" w:eastAsia="Times New Roman" w:hAnsi="Times New Roman"/>
          <w:sz w:val="19"/>
          <w:szCs w:val="19"/>
          <w:color w:val="auto"/>
        </w:rPr>
        <w:t>In June 2021, we entered into the Mir Agreement, pursuant to which we and Mir Imran agreed that we would own all intellectual property conceived (i) using any of our people, equipment, or facilities or (ii) that is within the field of oral delivery of sensors, small molecule drugs or biologic drugs including, any peptide, antibody, protein, cell therapy, gene therapy or vaccine.</w:t>
      </w:r>
    </w:p>
    <w:p>
      <w:pPr>
        <w:spacing w:after="0" w:line="2"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40" w:lineRule="exact"/>
        <w:rPr>
          <w:sz w:val="20"/>
          <w:szCs w:val="20"/>
          <w:color w:val="auto"/>
        </w:rPr>
      </w:pPr>
    </w:p>
    <w:p>
      <w:pPr>
        <w:ind w:right="240" w:firstLine="979"/>
        <w:spacing w:after="0" w:line="252" w:lineRule="auto"/>
        <w:rPr>
          <w:sz w:val="20"/>
          <w:szCs w:val="20"/>
          <w:color w:val="auto"/>
        </w:rPr>
      </w:pPr>
      <w:r>
        <w:rPr>
          <w:rFonts w:ascii="Times New Roman" w:cs="Times New Roman" w:eastAsia="Times New Roman" w:hAnsi="Times New Roman"/>
          <w:sz w:val="20"/>
          <w:szCs w:val="20"/>
          <w:color w:val="auto"/>
        </w:rPr>
        <w:t>ICL is party to the TRA, entered into in August 2021 pursuant to the IPO and Organizational Transactions. The TRA provides that we pay to ICL and the other Continuing LLC Owners 85% of the amount of tax benefits, if any, it is deemed to realize from exchanges of Paired Interests. During the years ended December 31, 2023 and 2022, these parties to the TRA exchanged zero and 2,317,184 Paired Interests, respectively, that resulted in tax benefits subject to the TRA.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Registration Rights Agreement</w:t>
      </w:r>
    </w:p>
    <w:p>
      <w:pPr>
        <w:spacing w:after="0" w:line="240"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 As a result of certain stockholders exercising their registration rights under the Registration Rights Agreement, in December 2022 we filed a registration statement on Form S-3 to register 6,009,542 shares of our Class A common stock held by certain of our stockholders.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Rani LLC Agreement</w:t>
      </w:r>
    </w:p>
    <w:p>
      <w:pPr>
        <w:spacing w:after="0" w:line="240" w:lineRule="exact"/>
        <w:rPr>
          <w:sz w:val="20"/>
          <w:szCs w:val="20"/>
          <w:color w:val="auto"/>
        </w:rPr>
      </w:pPr>
    </w:p>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We operate our business through Rani LLC and, prior to December 15, 2022, its subsidiary, RMS. RMS was dissolved on December 15, 2022.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p>
    <w:p>
      <w:pPr>
        <w:sectPr>
          <w:pgSz w:w="12240" w:h="15840" w:orient="portrait"/>
          <w:cols w:equalWidth="0" w:num="1">
            <w:col w:w="10800"/>
          </w:cols>
          <w:pgMar w:left="720" w:top="930" w:right="720" w:bottom="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800"/>
          </w:cols>
          <w:pgMar w:left="720" w:top="930" w:right="720" w:bottom="0" w:gutter="0" w:footer="0" w:header="0"/>
          <w:type w:val="continuous"/>
        </w:sectPr>
      </w:pPr>
    </w:p>
    <w:bookmarkStart w:id="107" w:name="page108"/>
    <w:bookmarkEnd w:id="107"/>
    <w:p>
      <w:pPr>
        <w:ind w:right="360" w:firstLine="979"/>
        <w:spacing w:after="0" w:line="277" w:lineRule="auto"/>
        <w:rPr>
          <w:sz w:val="20"/>
          <w:szCs w:val="20"/>
          <w:color w:val="auto"/>
        </w:rPr>
      </w:pPr>
      <w:r>
        <w:rPr>
          <w:rFonts w:ascii="Times New Roman" w:cs="Times New Roman" w:eastAsia="Times New Roman" w:hAnsi="Times New Roman"/>
          <w:sz w:val="20"/>
          <w:szCs w:val="20"/>
          <w:color w:val="auto"/>
        </w:rPr>
        <w:t>During the years ended December 31, 2023 and 2022, these related parties that are party to the Rani LLC Agreement exchanged zero and 2,317,184 Paired Interests, respectively, for the Company's Class A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ind w:right="180" w:firstLine="979"/>
        <w:spacing w:after="0" w:line="277" w:lineRule="auto"/>
        <w:rPr>
          <w:sz w:val="20"/>
          <w:szCs w:val="20"/>
          <w:color w:val="auto"/>
        </w:rPr>
      </w:pPr>
      <w:r>
        <w:rPr>
          <w:rFonts w:ascii="Times New Roman" w:cs="Times New Roman" w:eastAsia="Times New Roman" w:hAnsi="Times New Roman"/>
          <w:sz w:val="20"/>
          <w:szCs w:val="20"/>
          <w:color w:val="auto"/>
        </w:rPr>
        <w:t>The results of operations presented below should be reviewed in conjunction with the consolidated financial statements and notes included elsewhere in this Annual Report on Form 10-K.</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(in thousands):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74"/>
        </w:trPr>
        <w:tc>
          <w:tcPr>
            <w:tcW w:w="4940" w:type="dxa"/>
            <w:vAlign w:val="bottom"/>
            <w:tcBorders>
              <w:bottom w:val="single" w:sz="8" w:color="E0E0E0"/>
            </w:tcBorders>
          </w:tcPr>
          <w:p>
            <w:pPr>
              <w:spacing w:after="0"/>
              <w:rPr>
                <w:sz w:val="15"/>
                <w:szCs w:val="15"/>
                <w:color w:val="auto"/>
              </w:rPr>
            </w:pPr>
          </w:p>
        </w:tc>
        <w:tc>
          <w:tcPr>
            <w:tcW w:w="420" w:type="dxa"/>
            <w:vAlign w:val="bottom"/>
            <w:tcBorders>
              <w:bottom w:val="single" w:sz="8" w:color="E0E0E0"/>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E0E0E0"/>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220"/>
        </w:trPr>
        <w:tc>
          <w:tcPr>
            <w:tcW w:w="49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4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6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39,624</w:t>
            </w:r>
          </w:p>
        </w:tc>
        <w:tc>
          <w:tcPr>
            <w:tcW w:w="1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36,607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9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20" w:type="dxa"/>
            <w:vAlign w:val="bottom"/>
            <w:shd w:val="clear" w:color="auto" w:fill="E0E0E0"/>
          </w:tcPr>
          <w:p>
            <w:pPr>
              <w:spacing w:after="0"/>
              <w:rPr>
                <w:sz w:val="19"/>
                <w:szCs w:val="19"/>
                <w:color w:val="auto"/>
              </w:rPr>
            </w:pPr>
          </w:p>
        </w:tc>
        <w:tc>
          <w:tcPr>
            <w:tcW w:w="240" w:type="dxa"/>
            <w:vAlign w:val="bottom"/>
            <w:tcBorders>
              <w:bottom w:val="single" w:sz="8" w:color="auto"/>
            </w:tcBorders>
            <w:shd w:val="clear" w:color="auto" w:fill="E0E0E0"/>
          </w:tcPr>
          <w:p>
            <w:pPr>
              <w:spacing w:after="0"/>
              <w:rPr>
                <w:sz w:val="19"/>
                <w:szCs w:val="19"/>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26,475</w:t>
            </w: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40" w:type="dxa"/>
            <w:vAlign w:val="bottom"/>
            <w:tcBorders>
              <w:bottom w:val="single" w:sz="8" w:color="auto"/>
            </w:tcBorders>
            <w:shd w:val="clear" w:color="auto" w:fill="E0E0E0"/>
          </w:tcPr>
          <w:p>
            <w:pPr>
              <w:spacing w:after="0"/>
              <w:rPr>
                <w:sz w:val="19"/>
                <w:szCs w:val="19"/>
                <w:color w:val="auto"/>
              </w:rPr>
            </w:pPr>
          </w:p>
        </w:tc>
        <w:tc>
          <w:tcPr>
            <w:tcW w:w="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26,844</w:t>
            </w:r>
          </w:p>
        </w:tc>
        <w:tc>
          <w:tcPr>
            <w:tcW w:w="18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9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0"/>
        </w:trPr>
        <w:tc>
          <w:tcPr>
            <w:tcW w:w="4940" w:type="dxa"/>
            <w:vAlign w:val="bottom"/>
            <w:tcBorders>
              <w:bottom w:val="single" w:sz="8" w:color="E0E0E0"/>
            </w:tcBorders>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420" w:type="dxa"/>
            <w:vAlign w:val="bottom"/>
            <w:tcBorders>
              <w:bottom w:val="single" w:sz="8" w:color="E0E0E0"/>
            </w:tcBorders>
          </w:tcPr>
          <w:p>
            <w:pPr>
              <w:spacing w:after="0"/>
              <w:rPr>
                <w:sz w:val="19"/>
                <w:szCs w:val="19"/>
                <w:color w:val="auto"/>
              </w:rPr>
            </w:pPr>
          </w:p>
        </w:tc>
        <w:tc>
          <w:tcPr>
            <w:tcW w:w="240" w:type="dxa"/>
            <w:vAlign w:val="bottom"/>
            <w:tcBorders>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66,099</w:t>
            </w:r>
          </w:p>
        </w:tc>
        <w:tc>
          <w:tcPr>
            <w:tcW w:w="14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240" w:type="dxa"/>
            <w:vAlign w:val="bottom"/>
            <w:tcBorders>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63,451</w:t>
            </w:r>
          </w:p>
        </w:tc>
        <w:tc>
          <w:tcPr>
            <w:tcW w:w="180" w:type="dxa"/>
            <w:vAlign w:val="bottom"/>
            <w:tcBorders>
              <w:bottom w:val="single" w:sz="8" w:color="E0E0E0"/>
            </w:tcBorders>
          </w:tcPr>
          <w:p>
            <w:pPr>
              <w:spacing w:after="0"/>
              <w:rPr>
                <w:sz w:val="19"/>
                <w:szCs w:val="19"/>
                <w:color w:val="auto"/>
              </w:rPr>
            </w:pPr>
          </w:p>
        </w:tc>
        <w:tc>
          <w:tcPr>
            <w:tcW w:w="320" w:type="dxa"/>
            <w:vAlign w:val="bottom"/>
            <w:tcBorders>
              <w:bottom w:val="single" w:sz="8" w:color="E0E0E0"/>
            </w:tcBorders>
          </w:tcPr>
          <w:p>
            <w:pPr>
              <w:spacing w:after="0"/>
              <w:rPr>
                <w:sz w:val="19"/>
                <w:szCs w:val="19"/>
                <w:color w:val="auto"/>
              </w:rPr>
            </w:pPr>
          </w:p>
        </w:tc>
        <w:tc>
          <w:tcPr>
            <w:tcW w:w="660" w:type="dxa"/>
            <w:vAlign w:val="bottom"/>
            <w:tcBorders>
              <w:bottom w:val="single" w:sz="8" w:color="E0E0E0"/>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w:t>
            </w:r>
          </w:p>
        </w:tc>
        <w:tc>
          <w:tcPr>
            <w:tcW w:w="300" w:type="dxa"/>
            <w:vAlign w:val="bottom"/>
            <w:tcBorders>
              <w:bottom w:val="single" w:sz="8" w:color="E0E0E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4940" w:type="dxa"/>
            <w:vAlign w:val="bottom"/>
            <w:shd w:val="clear" w:color="auto" w:fill="E0E0E0"/>
          </w:tcPr>
          <w:p>
            <w:pPr>
              <w:ind w:left="600"/>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4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(66,099)</w:t>
            </w: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(63,451)</w:t>
            </w:r>
          </w:p>
        </w:tc>
        <w:tc>
          <w:tcPr>
            <w:tcW w:w="18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4.2</w:t>
            </w:r>
          </w:p>
        </w:tc>
        <w:tc>
          <w:tcPr>
            <w:tcW w:w="300" w:type="dxa"/>
            <w:vAlign w:val="bottom"/>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49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Interest income and other, net</w:t>
            </w:r>
          </w:p>
        </w:tc>
        <w:tc>
          <w:tcPr>
            <w:tcW w:w="4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3,301</w:t>
            </w:r>
          </w:p>
        </w:tc>
        <w:tc>
          <w:tcPr>
            <w:tcW w:w="1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1,248</w:t>
            </w:r>
          </w:p>
        </w:tc>
        <w:tc>
          <w:tcPr>
            <w:tcW w:w="18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164.5</w:t>
            </w:r>
          </w:p>
        </w:tc>
        <w:tc>
          <w:tcPr>
            <w:tcW w:w="3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940" w:type="dxa"/>
            <w:vAlign w:val="bottom"/>
            <w:tcBorders>
              <w:top w:val="single" w:sz="8" w:color="E0E0E0"/>
            </w:tcBorders>
            <w:shd w:val="clear" w:color="auto" w:fill="E0E0E0"/>
          </w:tcPr>
          <w:p>
            <w:pPr>
              <w:ind w:left="600"/>
              <w:spacing w:after="0" w:line="220" w:lineRule="exact"/>
              <w:rPr>
                <w:sz w:val="20"/>
                <w:szCs w:val="20"/>
                <w:color w:val="auto"/>
              </w:rPr>
            </w:pPr>
            <w:r>
              <w:rPr>
                <w:rFonts w:ascii="Times New Roman" w:cs="Times New Roman" w:eastAsia="Times New Roman" w:hAnsi="Times New Roman"/>
                <w:sz w:val="20"/>
                <w:szCs w:val="20"/>
                <w:color w:val="auto"/>
              </w:rPr>
              <w:t>Loss before income taxes</w:t>
            </w:r>
          </w:p>
        </w:tc>
        <w:tc>
          <w:tcPr>
            <w:tcW w:w="4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auto"/>
            </w:tcBorders>
            <w:shd w:val="clear" w:color="auto" w:fill="E0E0E0"/>
          </w:tcPr>
          <w:p>
            <w:pPr>
              <w:spacing w:after="0"/>
              <w:rPr>
                <w:sz w:val="19"/>
                <w:szCs w:val="19"/>
                <w:color w:val="auto"/>
              </w:rPr>
            </w:pPr>
          </w:p>
        </w:tc>
        <w:tc>
          <w:tcPr>
            <w:tcW w:w="8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(67,883)</w:t>
            </w:r>
          </w:p>
        </w:tc>
        <w:tc>
          <w:tcPr>
            <w:tcW w:w="14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auto"/>
            </w:tcBorders>
            <w:shd w:val="clear" w:color="auto" w:fill="E0E0E0"/>
          </w:tcPr>
          <w:p>
            <w:pPr>
              <w:spacing w:after="0"/>
              <w:rPr>
                <w:sz w:val="19"/>
                <w:szCs w:val="19"/>
                <w:color w:val="auto"/>
              </w:rPr>
            </w:pPr>
          </w:p>
        </w:tc>
        <w:tc>
          <w:tcPr>
            <w:tcW w:w="82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(63,274)</w:t>
            </w:r>
          </w:p>
        </w:tc>
        <w:tc>
          <w:tcPr>
            <w:tcW w:w="180" w:type="dxa"/>
            <w:vAlign w:val="bottom"/>
            <w:tcBorders>
              <w:top w:val="single" w:sz="8" w:color="E0E0E0"/>
            </w:tcBorders>
            <w:shd w:val="clear" w:color="auto" w:fill="E0E0E0"/>
          </w:tcPr>
          <w:p>
            <w:pPr>
              <w:spacing w:after="0"/>
              <w:rPr>
                <w:sz w:val="19"/>
                <w:szCs w:val="19"/>
                <w:color w:val="auto"/>
              </w:rPr>
            </w:pPr>
          </w:p>
        </w:tc>
        <w:tc>
          <w:tcPr>
            <w:tcW w:w="320" w:type="dxa"/>
            <w:vAlign w:val="bottom"/>
            <w:tcBorders>
              <w:top w:val="single" w:sz="8" w:color="E0E0E0"/>
            </w:tcBorders>
            <w:shd w:val="clear" w:color="auto" w:fill="E0E0E0"/>
          </w:tcPr>
          <w:p>
            <w:pPr>
              <w:spacing w:after="0"/>
              <w:rPr>
                <w:sz w:val="19"/>
                <w:szCs w:val="19"/>
                <w:color w:val="auto"/>
              </w:rPr>
            </w:pPr>
          </w:p>
        </w:tc>
        <w:tc>
          <w:tcPr>
            <w:tcW w:w="660" w:type="dxa"/>
            <w:vAlign w:val="bottom"/>
            <w:tcBorders>
              <w:top w:val="single" w:sz="8" w:color="E0E0E0"/>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7.3</w:t>
            </w:r>
          </w:p>
        </w:tc>
        <w:tc>
          <w:tcPr>
            <w:tcW w:w="300" w:type="dxa"/>
            <w:vAlign w:val="bottom"/>
            <w:tcBorders>
              <w:top w:val="single" w:sz="8" w:color="E0E0E0"/>
            </w:tcBorders>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49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420" w:type="dxa"/>
            <w:vAlign w:val="bottom"/>
            <w:tcBorders>
              <w:bottom w:val="single" w:sz="8" w:color="E0E0E0"/>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80" w:type="dxa"/>
            <w:vAlign w:val="bottom"/>
            <w:tcBorders>
              <w:bottom w:val="single" w:sz="8" w:color="E0E0E0"/>
            </w:tcBorders>
          </w:tcPr>
          <w:p>
            <w:pPr>
              <w:spacing w:after="0"/>
              <w:rPr>
                <w:sz w:val="19"/>
                <w:szCs w:val="19"/>
                <w:color w:val="auto"/>
              </w:rPr>
            </w:pPr>
          </w:p>
        </w:tc>
        <w:tc>
          <w:tcPr>
            <w:tcW w:w="320" w:type="dxa"/>
            <w:vAlign w:val="bottom"/>
            <w:tcBorders>
              <w:bottom w:val="single" w:sz="8" w:color="E0E0E0"/>
            </w:tcBorders>
          </w:tcPr>
          <w:p>
            <w:pPr>
              <w:spacing w:after="0"/>
              <w:rPr>
                <w:sz w:val="19"/>
                <w:szCs w:val="19"/>
                <w:color w:val="auto"/>
              </w:rPr>
            </w:pPr>
          </w:p>
        </w:tc>
        <w:tc>
          <w:tcPr>
            <w:tcW w:w="6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tcPr>
          <w:p>
            <w:pPr>
              <w:spacing w:after="0"/>
              <w:rPr>
                <w:sz w:val="19"/>
                <w:szCs w:val="19"/>
                <w:color w:val="auto"/>
              </w:rPr>
            </w:pPr>
          </w:p>
        </w:tc>
        <w:tc>
          <w:tcPr>
            <w:tcW w:w="200" w:type="dxa"/>
            <w:vAlign w:val="bottom"/>
            <w:tcBorders>
              <w:bottom w:val="single" w:sz="8" w:color="E0E0E0"/>
            </w:tcBorders>
          </w:tcPr>
          <w:p>
            <w:pPr>
              <w:spacing w:after="0"/>
              <w:rPr>
                <w:sz w:val="19"/>
                <w:szCs w:val="19"/>
                <w:color w:val="auto"/>
              </w:rPr>
            </w:pPr>
          </w:p>
        </w:tc>
      </w:tr>
      <w:tr>
        <w:trPr>
          <w:trHeight w:val="220"/>
        </w:trPr>
        <w:tc>
          <w:tcPr>
            <w:tcW w:w="49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420" w:type="dxa"/>
            <w:vAlign w:val="bottom"/>
            <w:shd w:val="clear" w:color="auto" w:fill="E0E0E0"/>
          </w:tcPr>
          <w:p>
            <w:pPr>
              <w:spacing w:after="0"/>
              <w:rPr>
                <w:sz w:val="19"/>
                <w:szCs w:val="19"/>
                <w:color w:val="auto"/>
              </w:rPr>
            </w:pPr>
          </w:p>
        </w:tc>
        <w:tc>
          <w:tcPr>
            <w:tcW w:w="240" w:type="dxa"/>
            <w:vAlign w:val="bottom"/>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4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0E0E0"/>
              </w:rPr>
              <w:t>(67,883</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E0E0E0"/>
          </w:tcPr>
          <w:p>
            <w:pPr>
              <w:spacing w:after="0"/>
              <w:rPr>
                <w:sz w:val="19"/>
                <w:szCs w:val="19"/>
                <w:color w:val="auto"/>
              </w:rPr>
            </w:pPr>
          </w:p>
        </w:tc>
        <w:tc>
          <w:tcPr>
            <w:tcW w:w="240" w:type="dxa"/>
            <w:vAlign w:val="bottom"/>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82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0E0E0"/>
              </w:rPr>
              <w:t>(63,344</w:t>
            </w:r>
          </w:p>
        </w:tc>
        <w:tc>
          <w:tcPr>
            <w:tcW w:w="1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7.2</w:t>
            </w:r>
          </w:p>
        </w:tc>
        <w:tc>
          <w:tcPr>
            <w:tcW w:w="300" w:type="dxa"/>
            <w:vAlign w:val="bottom"/>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4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 attributable to non-controlling interest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(32,756)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94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Net loss attributable to Rani Therapeutics Holdings, Inc.</w:t>
            </w:r>
          </w:p>
        </w:tc>
        <w:tc>
          <w:tcPr>
            <w:tcW w:w="42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auto"/>
              <w:bottom w:val="single" w:sz="8" w:color="auto"/>
            </w:tcBorders>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(33,970</w:t>
            </w:r>
          </w:p>
        </w:tc>
        <w:tc>
          <w:tcPr>
            <w:tcW w:w="14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auto"/>
              <w:bottom w:val="single" w:sz="8" w:color="auto"/>
            </w:tcBorders>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(30,588</w:t>
            </w:r>
          </w:p>
        </w:tc>
        <w:tc>
          <w:tcPr>
            <w:tcW w:w="180" w:type="dxa"/>
            <w:vAlign w:val="bottom"/>
            <w:tcBorders>
              <w:top w:val="single" w:sz="8" w:color="E0E0E0"/>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tcBorders>
              <w:top w:val="single" w:sz="8" w:color="auto"/>
              <w:bottom w:val="single" w:sz="8" w:color="auto"/>
            </w:tcBorders>
            <w:shd w:val="clear" w:color="auto" w:fill="E0E0E0"/>
          </w:tcPr>
          <w:p>
            <w:pPr>
              <w:spacing w:after="0"/>
              <w:rPr>
                <w:sz w:val="19"/>
                <w:szCs w:val="19"/>
                <w:color w:val="auto"/>
              </w:rPr>
            </w:pPr>
          </w:p>
        </w:tc>
        <w:tc>
          <w:tcPr>
            <w:tcW w:w="6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11.1</w:t>
            </w:r>
          </w:p>
        </w:tc>
        <w:tc>
          <w:tcPr>
            <w:tcW w:w="100" w:type="dxa"/>
            <w:vAlign w:val="bottom"/>
            <w:tcBorders>
              <w:top w:val="single" w:sz="8" w:color="E0E0E0"/>
            </w:tcBorders>
            <w:shd w:val="clear" w:color="auto" w:fill="E0E0E0"/>
          </w:tcPr>
          <w:p>
            <w:pPr>
              <w:spacing w:after="0"/>
              <w:rPr>
                <w:sz w:val="19"/>
                <w:szCs w:val="19"/>
                <w:color w:val="auto"/>
              </w:rPr>
            </w:pPr>
          </w:p>
        </w:tc>
        <w:tc>
          <w:tcPr>
            <w:tcW w:w="20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shd w:val="clear" w:color="auto" w:fill="E0E0E0"/>
              </w:rPr>
              <w:t>%</w:t>
            </w:r>
          </w:p>
        </w:tc>
      </w:tr>
      <w:tr>
        <w:trPr>
          <w:trHeight w:val="20"/>
        </w:trPr>
        <w:tc>
          <w:tcPr>
            <w:tcW w:w="4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meaningful</w:t>
      </w:r>
    </w:p>
    <w:p>
      <w:pPr>
        <w:spacing w:after="0" w:line="2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following table reflects our research and development costs by nature of expense (in thousands):</w:t>
      </w:r>
    </w:p>
    <w:p>
      <w:pPr>
        <w:spacing w:after="0" w:line="27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7"/>
                <w:szCs w:val="17"/>
                <w:color w:val="auto"/>
              </w:rPr>
            </w:pPr>
          </w:p>
        </w:tc>
      </w:tr>
      <w:tr>
        <w:trPr>
          <w:trHeight w:val="174"/>
        </w:trPr>
        <w:tc>
          <w:tcPr>
            <w:tcW w:w="5160" w:type="dxa"/>
            <w:vAlign w:val="bottom"/>
            <w:tcBorders>
              <w:bottom w:val="single" w:sz="8" w:color="E0E0E0"/>
            </w:tcBorders>
          </w:tcPr>
          <w:p>
            <w:pPr>
              <w:spacing w:after="0"/>
              <w:rPr>
                <w:sz w:val="15"/>
                <w:szCs w:val="15"/>
                <w:color w:val="auto"/>
              </w:rPr>
            </w:pPr>
          </w:p>
        </w:tc>
        <w:tc>
          <w:tcPr>
            <w:tcW w:w="76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6"/>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0E0E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0E0E0"/>
            </w:tcBorders>
          </w:tcPr>
          <w:p>
            <w:pPr>
              <w:spacing w:after="0"/>
              <w:rPr>
                <w:sz w:val="15"/>
                <w:szCs w:val="15"/>
                <w:color w:val="auto"/>
              </w:rPr>
            </w:pPr>
          </w:p>
        </w:tc>
      </w:tr>
      <w:tr>
        <w:trPr>
          <w:trHeight w:val="220"/>
        </w:trPr>
        <w:tc>
          <w:tcPr>
            <w:tcW w:w="51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Payroll, stock-based compensation and related benefits</w:t>
            </w:r>
          </w:p>
        </w:tc>
        <w:tc>
          <w:tcPr>
            <w:tcW w:w="76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26,247</w:t>
            </w:r>
          </w:p>
        </w:tc>
        <w:tc>
          <w:tcPr>
            <w:tcW w:w="24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24,838</w:t>
            </w:r>
          </w:p>
        </w:tc>
        <w:tc>
          <w:tcPr>
            <w:tcW w:w="80" w:type="dxa"/>
            <w:vAlign w:val="bottom"/>
            <w:shd w:val="clear" w:color="auto" w:fill="E0E0E0"/>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Third-party services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5,682</w:t>
            </w:r>
          </w:p>
        </w:tc>
        <w:tc>
          <w:tcPr>
            <w:tcW w:w="80" w:type="dxa"/>
            <w:vAlign w:val="bottom"/>
          </w:tcPr>
          <w:p>
            <w:pPr>
              <w:spacing w:after="0"/>
              <w:rPr>
                <w:sz w:val="19"/>
                <w:szCs w:val="19"/>
                <w:color w:val="auto"/>
              </w:rPr>
            </w:pPr>
          </w:p>
        </w:tc>
      </w:tr>
      <w:tr>
        <w:trPr>
          <w:trHeight w:val="230"/>
        </w:trPr>
        <w:tc>
          <w:tcPr>
            <w:tcW w:w="51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Facilities, materials and supplies</w:t>
            </w:r>
          </w:p>
        </w:tc>
        <w:tc>
          <w:tcPr>
            <w:tcW w:w="76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6,300</w:t>
            </w:r>
          </w:p>
        </w:tc>
        <w:tc>
          <w:tcPr>
            <w:tcW w:w="24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5,727</w:t>
            </w:r>
          </w:p>
        </w:tc>
        <w:tc>
          <w:tcPr>
            <w:tcW w:w="80" w:type="dxa"/>
            <w:vAlign w:val="bottom"/>
            <w:shd w:val="clear" w:color="auto" w:fill="E0E0E0"/>
          </w:tcPr>
          <w:p>
            <w:pPr>
              <w:spacing w:after="0"/>
              <w:rPr>
                <w:sz w:val="19"/>
                <w:szCs w:val="19"/>
                <w:color w:val="auto"/>
              </w:rPr>
            </w:pPr>
          </w:p>
        </w:tc>
      </w:tr>
      <w:tr>
        <w:trPr>
          <w:trHeight w:val="230"/>
        </w:trPr>
        <w:tc>
          <w:tcPr>
            <w:tcW w:w="51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760" w:type="dxa"/>
            <w:vAlign w:val="bottom"/>
            <w:tcBorders>
              <w:bottom w:val="single" w:sz="8" w:color="E0E0E0"/>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240" w:type="dxa"/>
            <w:vAlign w:val="bottom"/>
            <w:tcBorders>
              <w:bottom w:val="single" w:sz="8" w:color="E0E0E0"/>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80" w:type="dxa"/>
            <w:vAlign w:val="bottom"/>
            <w:tcBorders>
              <w:bottom w:val="single" w:sz="8" w:color="E0E0E0"/>
            </w:tcBorders>
          </w:tcPr>
          <w:p>
            <w:pPr>
              <w:spacing w:after="0"/>
              <w:rPr>
                <w:sz w:val="19"/>
                <w:szCs w:val="19"/>
                <w:color w:val="auto"/>
              </w:rPr>
            </w:pPr>
          </w:p>
        </w:tc>
      </w:tr>
      <w:tr>
        <w:trPr>
          <w:trHeight w:val="220"/>
        </w:trPr>
        <w:tc>
          <w:tcPr>
            <w:tcW w:w="516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760" w:type="dxa"/>
            <w:vAlign w:val="bottom"/>
            <w:shd w:val="clear" w:color="auto" w:fill="E0E0E0"/>
          </w:tcPr>
          <w:p>
            <w:pPr>
              <w:spacing w:after="0"/>
              <w:rPr>
                <w:sz w:val="19"/>
                <w:szCs w:val="19"/>
                <w:color w:val="auto"/>
              </w:rPr>
            </w:pPr>
          </w:p>
        </w:tc>
        <w:tc>
          <w:tcPr>
            <w:tcW w:w="26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39,624</w:t>
            </w:r>
          </w:p>
        </w:tc>
        <w:tc>
          <w:tcPr>
            <w:tcW w:w="240" w:type="dxa"/>
            <w:vAlign w:val="bottom"/>
            <w:shd w:val="clear" w:color="auto" w:fill="E0E0E0"/>
          </w:tcPr>
          <w:p>
            <w:pPr>
              <w:spacing w:after="0"/>
              <w:rPr>
                <w:sz w:val="19"/>
                <w:szCs w:val="19"/>
                <w:color w:val="auto"/>
              </w:rPr>
            </w:pPr>
          </w:p>
        </w:tc>
        <w:tc>
          <w:tcPr>
            <w:tcW w:w="26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36,607</w:t>
            </w:r>
          </w:p>
        </w:tc>
        <w:tc>
          <w:tcPr>
            <w:tcW w:w="80" w:type="dxa"/>
            <w:vAlign w:val="bottom"/>
            <w:shd w:val="clear" w:color="auto" w:fill="E0E0E0"/>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979"/>
        <w:spacing w:after="0" w:line="258" w:lineRule="auto"/>
        <w:rPr>
          <w:sz w:val="20"/>
          <w:szCs w:val="20"/>
          <w:color w:val="auto"/>
        </w:rPr>
      </w:pPr>
      <w:r>
        <w:rPr>
          <w:rFonts w:ascii="Times New Roman" w:cs="Times New Roman" w:eastAsia="Times New Roman" w:hAnsi="Times New Roman"/>
          <w:sz w:val="20"/>
          <w:szCs w:val="20"/>
          <w:color w:val="auto"/>
        </w:rPr>
        <w:t>The increase of $3.0 million in research and development expenses was primarily attributed to higher compensation costs of $1.4 million, an increase of $1.2 million in third-party services and an increase of $0.6 million in facilities, materials and supplies expense related to preclinical and clinical development activities, offset by a decrease in other costs of $0.2 million.</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8" w:lineRule="exact"/>
        <w:rPr>
          <w:sz w:val="20"/>
          <w:szCs w:val="20"/>
          <w:color w:val="auto"/>
        </w:rPr>
      </w:pPr>
    </w:p>
    <w:p>
      <w:pPr>
        <w:ind w:firstLine="979"/>
        <w:spacing w:after="0" w:line="258" w:lineRule="auto"/>
        <w:rPr>
          <w:sz w:val="20"/>
          <w:szCs w:val="20"/>
          <w:color w:val="auto"/>
        </w:rPr>
      </w:pPr>
      <w:r>
        <w:rPr>
          <w:rFonts w:ascii="Times New Roman" w:cs="Times New Roman" w:eastAsia="Times New Roman" w:hAnsi="Times New Roman"/>
          <w:sz w:val="20"/>
          <w:szCs w:val="20"/>
          <w:color w:val="auto"/>
        </w:rPr>
        <w:t>The decrease of $0.3 million in general and administrative expenses was primarily attributed to lower third-party services of $1.8 million related to support for compliance with public company requirements and lower facilities, material and supplies and other costs of $0.3 million, offset by higher compensation costs of $1.8 million.</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238" w:lineRule="exact"/>
        <w:rPr>
          <w:sz w:val="20"/>
          <w:szCs w:val="20"/>
          <w:color w:val="auto"/>
        </w:rPr>
      </w:pPr>
    </w:p>
    <w:p>
      <w:pPr>
        <w:ind w:right="100" w:firstLine="979"/>
        <w:spacing w:after="0" w:line="305" w:lineRule="auto"/>
        <w:rPr>
          <w:sz w:val="20"/>
          <w:szCs w:val="20"/>
          <w:color w:val="auto"/>
        </w:rPr>
      </w:pPr>
      <w:r>
        <w:rPr>
          <w:rFonts w:ascii="Times New Roman" w:cs="Times New Roman" w:eastAsia="Times New Roman" w:hAnsi="Times New Roman"/>
          <w:sz w:val="19"/>
          <w:szCs w:val="19"/>
          <w:color w:val="auto"/>
        </w:rPr>
        <w:t>The increase of $1.9 million in other expense, net, was primarily attributed to an increase in interest expense of $4.0 million from our debt, partially offset by an increase in interest income of $2.1 million from our investment in marketable securities.</w:t>
      </w:r>
    </w:p>
    <w:p>
      <w:pPr>
        <w:sectPr>
          <w:pgSz w:w="12240" w:h="15840" w:orient="portrait"/>
          <w:cols w:equalWidth="0" w:num="1">
            <w:col w:w="10700"/>
          </w:cols>
          <w:pgMar w:left="720" w:top="93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700"/>
          </w:cols>
          <w:pgMar w:left="720" w:top="930" w:right="82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40" w:lineRule="exact"/>
        <w:rPr>
          <w:sz w:val="20"/>
          <w:szCs w:val="20"/>
          <w:color w:val="auto"/>
        </w:rPr>
      </w:pPr>
    </w:p>
    <w:p>
      <w:pPr>
        <w:ind w:right="20" w:firstLine="979"/>
        <w:spacing w:after="0" w:line="244" w:lineRule="auto"/>
        <w:rPr>
          <w:sz w:val="20"/>
          <w:szCs w:val="20"/>
          <w:color w:val="auto"/>
        </w:rPr>
      </w:pPr>
      <w:r>
        <w:rPr>
          <w:rFonts w:ascii="Times New Roman" w:cs="Times New Roman" w:eastAsia="Times New Roman" w:hAnsi="Times New Roman"/>
          <w:sz w:val="20"/>
          <w:szCs w:val="20"/>
          <w:color w:val="auto"/>
        </w:rPr>
        <w:t>As of December 31, 2023, our cash, cash equivalents and marketable securities totaled $48.5 million. 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IPO and Loans,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If we are unable to continue as a going concern, we may have to cease operations and liquidate our assets. We may receive less than the value at which those assets are carried on our audited financial statements, and investors may lose all or a part of their investment.</w:t>
      </w:r>
    </w:p>
    <w:p>
      <w:pPr>
        <w:spacing w:after="0" w:line="206" w:lineRule="exact"/>
        <w:rPr>
          <w:sz w:val="20"/>
          <w:szCs w:val="20"/>
          <w:color w:val="auto"/>
        </w:rPr>
      </w:pPr>
    </w:p>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We may not be able to obtain additional funding on acceptable terms, or at all. As a result of geopolitical events, including the conflicts in Ukraine and Gaza, inflation, rising interest rates and other conditions, the global credit and financial markets have experienced volatility and disruptions. In addition, the report from our independent registered public accounting firm issued in connection with this Annual Report on Form 10-K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200"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In November 2023, we underwent a reduction in our workforce and paused or discontinued certain programs to reduce our expenses and focus our financial resources on key priorities. If we are unable to obtain funding on a timely basis, or to generate sufficient revenues, if at all, from collaboration arrangements or product sales, we may be required to significantly curtail, delay or discontinue one or more of our research or development programs, the development of our oral delivery technology, including the RaniPill HC, the commercialization of any product candidates or cease operations altogether, seek collaborators for one or more of our product candidates at an earlier stage than otherwise would be desirable or on terms that are less favorable than might otherwise be available; relinquish or license on unfavorable terms our rights to technologies or product candidates that we otherwise would seek to develop or commercialize ourselves; or forego expansion of our operations or refrain from pursuing business opportunities; any of which could have a material adverse effect on our business, financial condition and results of operations.</w:t>
      </w:r>
    </w:p>
    <w:p>
      <w:pPr>
        <w:spacing w:after="0" w:line="206" w:lineRule="exact"/>
        <w:rPr>
          <w:sz w:val="20"/>
          <w:szCs w:val="20"/>
          <w:color w:val="auto"/>
        </w:rPr>
      </w:pPr>
    </w:p>
    <w:p>
      <w:pPr>
        <w:ind w:right="80" w:firstLine="979"/>
        <w:spacing w:after="0" w:line="246" w:lineRule="auto"/>
        <w:rPr>
          <w:sz w:val="20"/>
          <w:szCs w:val="20"/>
          <w:color w:val="auto"/>
        </w:rPr>
      </w:pPr>
      <w:r>
        <w:rPr>
          <w:rFonts w:ascii="Times New Roman" w:cs="Times New Roman" w:eastAsia="Times New Roman" w:hAnsi="Times New Roman"/>
          <w:sz w:val="20"/>
          <w:szCs w:val="20"/>
          <w:color w:val="auto"/>
        </w:rPr>
        <w:t>Moreover, the terms of any financing may adversely affect the holdings or the rights of our stockholders and the issuance of additional securities, whether equity or debt, by us, or the possibility of such issuance, may cause the market price of our Common Stock to decline. The sale of additional equity or convertible securities would dilute all of our stockholders. The incurrence of indebtedness would result in increased fixed payment obligations and we may be required to agree to certain restrictive covenants and other operating restrictions that could adversely impact our ability to conduct our business. The Lender already has a security interest in substantially all of our assets, including our intellectual property, which may prevent or limit our ability to incur additional indebtedness.</w:t>
      </w:r>
    </w:p>
    <w:p>
      <w:pPr>
        <w:spacing w:after="0" w:line="200" w:lineRule="exact"/>
        <w:rPr>
          <w:sz w:val="20"/>
          <w:szCs w:val="20"/>
          <w:color w:val="auto"/>
        </w:rPr>
      </w:pPr>
    </w:p>
    <w:p>
      <w:pPr>
        <w:ind w:right="80" w:firstLine="979"/>
        <w:spacing w:after="0" w:line="244" w:lineRule="auto"/>
        <w:rPr>
          <w:sz w:val="20"/>
          <w:szCs w:val="20"/>
          <w:color w:val="auto"/>
        </w:rPr>
      </w:pPr>
      <w:r>
        <w:rPr>
          <w:rFonts w:ascii="Times New Roman" w:cs="Times New Roman" w:eastAsia="Times New Roman" w:hAnsi="Times New Roman"/>
          <w:sz w:val="20"/>
          <w:szCs w:val="20"/>
          <w:color w:val="auto"/>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the issuance of convertible promissory notes, and long-term debt, as well as contract revenue generated from evaluation agreements.</w:t>
      </w:r>
    </w:p>
    <w:p>
      <w:pPr>
        <w:spacing w:after="0" w:line="206" w:lineRule="exact"/>
        <w:rPr>
          <w:sz w:val="20"/>
          <w:szCs w:val="20"/>
          <w:color w:val="auto"/>
        </w:rPr>
      </w:pPr>
    </w:p>
    <w:p>
      <w:pPr>
        <w:ind w:right="40" w:firstLine="979"/>
        <w:spacing w:after="0" w:line="246" w:lineRule="auto"/>
        <w:rPr>
          <w:sz w:val="20"/>
          <w:szCs w:val="20"/>
          <w:color w:val="auto"/>
        </w:rPr>
      </w:pPr>
      <w:r>
        <w:rPr>
          <w:rFonts w:ascii="Times New Roman" w:cs="Times New Roman" w:eastAsia="Times New Roman" w:hAnsi="Times New Roman"/>
          <w:sz w:val="20"/>
          <w:szCs w:val="20"/>
          <w:color w:val="auto"/>
        </w:rPr>
        <w:t>In August 2022, we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December 31, 2023, we were in compliance with all applicable debt covenants under the Loan Agreement and had cash, cash equivalents and marketable securities totaling $48.5 million.</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800"/>
          </w:cols>
          <w:pgMar w:left="720" w:top="926" w:right="720" w:bottom="0" w:gutter="0" w:footer="0" w:header="0"/>
          <w:type w:val="continuous"/>
        </w:sectPr>
      </w:pPr>
    </w:p>
    <w:bookmarkStart w:id="109" w:name="page110"/>
    <w:bookmarkEnd w:id="109"/>
    <w:p>
      <w:pPr>
        <w:jc w:val="both"/>
        <w:ind w:right="60" w:firstLine="979"/>
        <w:spacing w:after="0" w:line="258" w:lineRule="auto"/>
        <w:rPr>
          <w:sz w:val="20"/>
          <w:szCs w:val="20"/>
          <w:color w:val="auto"/>
        </w:rPr>
      </w:pPr>
      <w:r>
        <w:rPr>
          <w:rFonts w:ascii="Times New Roman" w:cs="Times New Roman" w:eastAsia="Times New Roman" w:hAnsi="Times New Roman"/>
          <w:sz w:val="20"/>
          <w:szCs w:val="20"/>
          <w:color w:val="auto"/>
        </w:rPr>
        <w:t>In August 2022, we entered into the Sales Agreement with the Agents, pursuant to which we may offer and sell from time to time through the Agents up to $150.0 million of shares of our Class A common stock in ATM Sales. As of December 31, 2023, we had not delivered any placement notices to either of the Agents and there had been no ATM Sales.</w:t>
      </w:r>
    </w:p>
    <w:p>
      <w:pPr>
        <w:spacing w:after="0" w:line="188" w:lineRule="exact"/>
        <w:rPr>
          <w:sz w:val="20"/>
          <w:szCs w:val="20"/>
          <w:color w:val="auto"/>
        </w:rPr>
      </w:pPr>
    </w:p>
    <w:p>
      <w:pPr>
        <w:ind w:right="100" w:firstLine="979"/>
        <w:spacing w:after="0" w:line="245" w:lineRule="auto"/>
        <w:rPr>
          <w:sz w:val="20"/>
          <w:szCs w:val="20"/>
          <w:color w:val="auto"/>
        </w:rPr>
      </w:pPr>
      <w:r>
        <w:rPr>
          <w:rFonts w:ascii="Times New Roman" w:cs="Times New Roman" w:eastAsia="Times New Roman" w:hAnsi="Times New Roman"/>
          <w:sz w:val="20"/>
          <w:szCs w:val="20"/>
          <w:color w:val="auto"/>
        </w:rPr>
        <w:t>Since our inception, we have incurred significant losses and negative cash flows from operations. Our net losses were $67.9 million and $63.3 million for the year ended December 31, 2023 and 2022, respectively. As of December 31, 2023, we had an accumulated deficit of $72.9 million. We expect to continue to incur significant losses for the foreseeable future, and our net losses may fluctuate significantly from period to period, depending on the timing of and expenditures on our planned research and development activities. Until such time as we can generate sufficient revenue from commercial product sales, if ever, we expect to finance our operations through a combination of equity offerings and debt financings, which may include ATM Sales, or other capital sources, which may include strategic collaborations or other arrangements with third parties. We may be unable to raise additional funds or to enter into such agreements or arrangements on favorable terms, or at all.</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40"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w:t>
      </w:r>
    </w:p>
    <w:p>
      <w:pPr>
        <w:spacing w:after="0" w:line="202" w:lineRule="exact"/>
        <w:rPr>
          <w:sz w:val="20"/>
          <w:szCs w:val="20"/>
          <w:color w:val="auto"/>
        </w:rPr>
      </w:pPr>
    </w:p>
    <w:p>
      <w:pPr>
        <w:ind w:right="100" w:firstLine="979"/>
        <w:spacing w:after="0" w:line="249" w:lineRule="auto"/>
        <w:rPr>
          <w:sz w:val="20"/>
          <w:szCs w:val="20"/>
          <w:color w:val="auto"/>
        </w:rPr>
      </w:pPr>
      <w:r>
        <w:rPr>
          <w:rFonts w:ascii="Times New Roman" w:cs="Times New Roman" w:eastAsia="Times New Roman" w:hAnsi="Times New Roman"/>
          <w:sz w:val="20"/>
          <w:szCs w:val="20"/>
          <w:color w:val="auto"/>
        </w:rPr>
        <w:t>As of December 31, 2023,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$22.9 million at December 31, 2023.</w:t>
      </w:r>
    </w:p>
    <w:p>
      <w:pPr>
        <w:spacing w:after="0" w:line="197" w:lineRule="exact"/>
        <w:rPr>
          <w:sz w:val="20"/>
          <w:szCs w:val="20"/>
          <w:color w:val="auto"/>
        </w:rPr>
      </w:pPr>
    </w:p>
    <w:p>
      <w:pPr>
        <w:ind w:right="120" w:firstLine="979"/>
        <w:spacing w:after="0" w:line="252" w:lineRule="auto"/>
        <w:rPr>
          <w:sz w:val="20"/>
          <w:szCs w:val="20"/>
          <w:color w:val="auto"/>
        </w:rPr>
      </w:pPr>
      <w:r>
        <w:rPr>
          <w:rFonts w:ascii="Times New Roman" w:cs="Times New Roman" w:eastAsia="Times New Roman" w:hAnsi="Times New Roman"/>
          <w:sz w:val="20"/>
          <w:szCs w:val="20"/>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 and Going Concern</w:t>
      </w:r>
    </w:p>
    <w:p>
      <w:pPr>
        <w:spacing w:after="0" w:line="240" w:lineRule="exact"/>
        <w:rPr>
          <w:sz w:val="20"/>
          <w:szCs w:val="20"/>
          <w:color w:val="auto"/>
        </w:rPr>
      </w:pPr>
    </w:p>
    <w:p>
      <w:pPr>
        <w:ind w:right="120" w:firstLine="979"/>
        <w:spacing w:after="0" w:line="246" w:lineRule="auto"/>
        <w:rPr>
          <w:sz w:val="20"/>
          <w:szCs w:val="20"/>
          <w:color w:val="auto"/>
        </w:rPr>
      </w:pPr>
      <w:r>
        <w:rPr>
          <w:rFonts w:ascii="Times New Roman" w:cs="Times New Roman" w:eastAsia="Times New Roman" w:hAnsi="Times New Roman"/>
          <w:sz w:val="20"/>
          <w:szCs w:val="20"/>
          <w:color w:val="auto"/>
        </w:rPr>
        <w:t>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IPO and Loans, will not be sufficient to fund our projected operating requirements for a twelve-month period and will not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200" w:lineRule="exact"/>
        <w:rPr>
          <w:sz w:val="20"/>
          <w:szCs w:val="20"/>
          <w:color w:val="auto"/>
        </w:rPr>
      </w:pPr>
    </w:p>
    <w:p>
      <w:pPr>
        <w:ind w:right="160" w:firstLine="979"/>
        <w:spacing w:after="0" w:line="246" w:lineRule="auto"/>
        <w:rPr>
          <w:sz w:val="20"/>
          <w:szCs w:val="20"/>
          <w:color w:val="auto"/>
        </w:rPr>
      </w:pPr>
      <w:r>
        <w:rPr>
          <w:rFonts w:ascii="Times New Roman" w:cs="Times New Roman" w:eastAsia="Times New Roman" w:hAnsi="Times New Roman"/>
          <w:sz w:val="20"/>
          <w:szCs w:val="20"/>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800"/>
          </w:cols>
          <w:pgMar w:left="720" w:top="930" w:right="720" w:bottom="0" w:gutter="0" w:footer="0" w:header="0"/>
          <w:type w:val="continuous"/>
        </w:sectPr>
      </w:pPr>
    </w:p>
    <w:bookmarkStart w:id="110" w:name="page111"/>
    <w:bookmarkEnd w:id="110"/>
    <w:p>
      <w:pPr>
        <w:ind w:right="100" w:firstLine="979"/>
        <w:spacing w:after="0" w:line="249" w:lineRule="auto"/>
        <w:rPr>
          <w:sz w:val="20"/>
          <w:szCs w:val="20"/>
          <w:color w:val="auto"/>
        </w:rPr>
      </w:pPr>
      <w:r>
        <w:rPr>
          <w:rFonts w:ascii="Times New Roman" w:cs="Times New Roman" w:eastAsia="Times New Roman" w:hAnsi="Times New Roman"/>
          <w:sz w:val="20"/>
          <w:szCs w:val="20"/>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211" w:lineRule="exact"/>
        <w:rPr>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progress, costs, trial design, results of and timing of our preclinical studies and clinical trials;</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progress, costs, and results of our research pipeline;</w:t>
      </w:r>
    </w:p>
    <w:p>
      <w:pPr>
        <w:spacing w:after="0" w:line="253" w:lineRule="exact"/>
        <w:rPr>
          <w:rFonts w:ascii="Arial" w:cs="Arial" w:eastAsia="Arial" w:hAnsi="Arial"/>
          <w:sz w:val="20"/>
          <w:szCs w:val="20"/>
          <w:color w:val="auto"/>
        </w:rPr>
      </w:pPr>
    </w:p>
    <w:p>
      <w:pPr>
        <w:ind w:left="1460" w:right="260" w:hanging="481"/>
        <w:spacing w:after="0" w:line="252" w:lineRule="auto"/>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and/or RaniPill HC for various indications;</w:t>
      </w:r>
    </w:p>
    <w:p>
      <w:pPr>
        <w:spacing w:after="0" w:line="207"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 costs, and timing of seeking and obtaining FDA, and any other regulatory approvals;</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characteristics of product candidates that we pursue;</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manufacture sufficient quantities of the RaniPill capsules;</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our need to expand our research and development activities;</w:t>
      </w:r>
    </w:p>
    <w:p>
      <w:pPr>
        <w:spacing w:after="0" w:line="253" w:lineRule="exact"/>
        <w:rPr>
          <w:rFonts w:ascii="Arial" w:cs="Arial" w:eastAsia="Arial" w:hAnsi="Arial"/>
          <w:sz w:val="20"/>
          <w:szCs w:val="20"/>
          <w:color w:val="auto"/>
        </w:rPr>
      </w:pPr>
    </w:p>
    <w:p>
      <w:pPr>
        <w:ind w:left="1460" w:right="380" w:hanging="481"/>
        <w:spacing w:after="0" w:line="276" w:lineRule="auto"/>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manufacturing our product candidates, including establishing commercial supplies and sales, marketing, and distribution capabilities;</w:t>
      </w:r>
    </w:p>
    <w:p>
      <w:pPr>
        <w:spacing w:after="0" w:line="184"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securing and establishing commercial infrastructure;</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acquiring, licensing, or investing in businesses, product candidates, and technologies;</w:t>
      </w:r>
    </w:p>
    <w:p>
      <w:pPr>
        <w:spacing w:after="0" w:line="253" w:lineRule="exact"/>
        <w:rPr>
          <w:rFonts w:ascii="Arial" w:cs="Arial" w:eastAsia="Arial" w:hAnsi="Arial"/>
          <w:sz w:val="20"/>
          <w:szCs w:val="20"/>
          <w:color w:val="auto"/>
        </w:rPr>
      </w:pPr>
    </w:p>
    <w:p>
      <w:pPr>
        <w:ind w:left="1460" w:hanging="481"/>
        <w:spacing w:after="0" w:line="258" w:lineRule="auto"/>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01"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our need and ability to retain key management and hire scientific, technical, business, and engineering personnel;</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competing drugs and product candidates and other market developments;</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receipt, and amount of sales from our potential products, if approved;</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strategic collaborations;</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our need to implement additional internal systems and infrastructure, including financial and reporting systems;</w:t>
      </w:r>
    </w:p>
    <w:p>
      <w:pPr>
        <w:spacing w:after="0" w:line="253" w:lineRule="exact"/>
        <w:rPr>
          <w:rFonts w:ascii="Arial" w:cs="Arial" w:eastAsia="Arial" w:hAnsi="Arial"/>
          <w:sz w:val="20"/>
          <w:szCs w:val="20"/>
          <w:color w:val="auto"/>
        </w:rPr>
      </w:pPr>
    </w:p>
    <w:p>
      <w:pPr>
        <w:ind w:left="1460" w:hanging="481"/>
        <w:spacing w:after="0"/>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security breaches, data losses or other disruptions affecting our information systems;</w:t>
      </w:r>
    </w:p>
    <w:p>
      <w:pPr>
        <w:spacing w:after="0" w:line="253" w:lineRule="exact"/>
        <w:rPr>
          <w:rFonts w:ascii="Arial" w:cs="Arial" w:eastAsia="Arial" w:hAnsi="Arial"/>
          <w:sz w:val="20"/>
          <w:szCs w:val="20"/>
          <w:color w:val="auto"/>
        </w:rPr>
      </w:pPr>
    </w:p>
    <w:p>
      <w:pPr>
        <w:ind w:left="1460" w:right="280" w:hanging="481"/>
        <w:spacing w:after="0" w:line="276" w:lineRule="auto"/>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realize savings from any restructuring plans or cost-containment measures we have implemented or additional measures we may implement;</w:t>
      </w:r>
    </w:p>
    <w:p>
      <w:pPr>
        <w:spacing w:after="0" w:line="184" w:lineRule="exact"/>
        <w:rPr>
          <w:rFonts w:ascii="Arial" w:cs="Arial" w:eastAsia="Arial" w:hAnsi="Arial"/>
          <w:sz w:val="20"/>
          <w:szCs w:val="20"/>
          <w:color w:val="auto"/>
        </w:rPr>
      </w:pPr>
    </w:p>
    <w:p>
      <w:pPr>
        <w:ind w:left="1460" w:right="260" w:hanging="481"/>
        <w:spacing w:after="0" w:line="276" w:lineRule="auto"/>
        <w:tabs>
          <w:tab w:leader="none" w:pos="146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the economic and other terms, timing of and success of any collaboration, licensing, or other arrangements which we may enter in the future.</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800"/>
          </w:cols>
          <w:pgMar w:left="720" w:top="930" w:right="720" w:bottom="0" w:gutter="0" w:footer="0" w:header="0"/>
          <w:type w:val="continuous"/>
        </w:sectPr>
      </w:pPr>
    </w:p>
    <w:bookmarkStart w:id="111" w:name="page112"/>
    <w:bookmarkEnd w:id="111"/>
    <w:p>
      <w:pPr>
        <w:ind w:firstLine="979"/>
        <w:spacing w:after="0" w:line="244" w:lineRule="auto"/>
        <w:rPr>
          <w:sz w:val="20"/>
          <w:szCs w:val="20"/>
          <w:color w:val="auto"/>
        </w:rPr>
      </w:pPr>
      <w:r>
        <w:rPr>
          <w:rFonts w:ascii="Times New Roman" w:cs="Times New Roman" w:eastAsia="Times New Roman" w:hAnsi="Times New Roman"/>
          <w:sz w:val="20"/>
          <w:szCs w:val="20"/>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following table summarizes our cash, cash equivalents, and marketable securities:</w:t>
      </w:r>
    </w:p>
    <w:p>
      <w:pPr>
        <w:spacing w:after="0" w:line="361"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360" w:type="dxa"/>
            <w:vAlign w:val="bottom"/>
            <w:tcBorders>
              <w:bottom w:val="single" w:sz="8" w:color="E0E0E0"/>
            </w:tcBorders>
          </w:tcPr>
          <w:p>
            <w:pPr>
              <w:spacing w:after="0"/>
              <w:rPr>
                <w:sz w:val="15"/>
                <w:szCs w:val="15"/>
                <w:color w:val="auto"/>
              </w:rPr>
            </w:pPr>
          </w:p>
        </w:tc>
        <w:tc>
          <w:tcPr>
            <w:tcW w:w="920" w:type="dxa"/>
            <w:vAlign w:val="bottom"/>
            <w:tcBorders>
              <w:bottom w:val="single" w:sz="8" w:color="E0E0E0"/>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0E0E0"/>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53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Cash and cash equivalents</w:t>
            </w:r>
          </w:p>
        </w:tc>
        <w:tc>
          <w:tcPr>
            <w:tcW w:w="920" w:type="dxa"/>
            <w:vAlign w:val="bottom"/>
            <w:shd w:val="clear" w:color="auto" w:fill="E0E0E0"/>
          </w:tcPr>
          <w:p>
            <w:pPr>
              <w:spacing w:after="0"/>
              <w:rPr>
                <w:sz w:val="19"/>
                <w:szCs w:val="19"/>
                <w:color w:val="auto"/>
              </w:rPr>
            </w:pPr>
          </w:p>
        </w:tc>
        <w:tc>
          <w:tcPr>
            <w:tcW w:w="300" w:type="dxa"/>
            <w:vAlign w:val="bottom"/>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5,864</w:t>
            </w:r>
          </w:p>
        </w:tc>
        <w:tc>
          <w:tcPr>
            <w:tcW w:w="240" w:type="dxa"/>
            <w:vAlign w:val="bottom"/>
            <w:shd w:val="clear" w:color="auto" w:fill="E0E0E0"/>
          </w:tcPr>
          <w:p>
            <w:pPr>
              <w:spacing w:after="0"/>
              <w:rPr>
                <w:sz w:val="19"/>
                <w:szCs w:val="19"/>
                <w:color w:val="auto"/>
              </w:rPr>
            </w:pPr>
          </w:p>
        </w:tc>
        <w:tc>
          <w:tcPr>
            <w:tcW w:w="420" w:type="dxa"/>
            <w:vAlign w:val="bottom"/>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27,007</w:t>
            </w:r>
          </w:p>
        </w:tc>
        <w:tc>
          <w:tcPr>
            <w:tcW w:w="100" w:type="dxa"/>
            <w:vAlign w:val="bottom"/>
            <w:shd w:val="clear" w:color="auto" w:fill="E0E0E0"/>
          </w:tcPr>
          <w:p>
            <w:pPr>
              <w:spacing w:after="0"/>
              <w:rPr>
                <w:sz w:val="19"/>
                <w:szCs w:val="19"/>
                <w:color w:val="auto"/>
              </w:rPr>
            </w:pPr>
          </w:p>
        </w:tc>
      </w:tr>
      <w:tr>
        <w:trPr>
          <w:trHeight w:val="230"/>
        </w:trPr>
        <w:tc>
          <w:tcPr>
            <w:tcW w:w="5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92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42,675</w:t>
            </w:r>
          </w:p>
        </w:tc>
        <w:tc>
          <w:tcPr>
            <w:tcW w:w="240" w:type="dxa"/>
            <w:vAlign w:val="bottom"/>
            <w:tcBorders>
              <w:bottom w:val="single" w:sz="8" w:color="E0E0E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71,475</w:t>
            </w:r>
          </w:p>
        </w:tc>
        <w:tc>
          <w:tcPr>
            <w:tcW w:w="100" w:type="dxa"/>
            <w:vAlign w:val="bottom"/>
            <w:tcBorders>
              <w:bottom w:val="single" w:sz="8" w:color="E0E0E0"/>
            </w:tcBorders>
          </w:tcPr>
          <w:p>
            <w:pPr>
              <w:spacing w:after="0"/>
              <w:rPr>
                <w:sz w:val="19"/>
                <w:szCs w:val="19"/>
                <w:color w:val="auto"/>
              </w:rPr>
            </w:pPr>
          </w:p>
        </w:tc>
      </w:tr>
      <w:tr>
        <w:trPr>
          <w:trHeight w:val="220"/>
        </w:trPr>
        <w:tc>
          <w:tcPr>
            <w:tcW w:w="5360" w:type="dxa"/>
            <w:vAlign w:val="bottom"/>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cash, cash equivalents and marketable securities</w:t>
            </w:r>
          </w:p>
        </w:tc>
        <w:tc>
          <w:tcPr>
            <w:tcW w:w="92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48,539</w:t>
            </w:r>
          </w:p>
        </w:tc>
        <w:tc>
          <w:tcPr>
            <w:tcW w:w="240" w:type="dxa"/>
            <w:vAlign w:val="bottom"/>
            <w:shd w:val="clear" w:color="auto" w:fill="E0E0E0"/>
          </w:tcPr>
          <w:p>
            <w:pPr>
              <w:spacing w:after="0"/>
              <w:rPr>
                <w:sz w:val="19"/>
                <w:szCs w:val="19"/>
                <w:color w:val="auto"/>
              </w:rPr>
            </w:pPr>
          </w:p>
        </w:tc>
        <w:tc>
          <w:tcPr>
            <w:tcW w:w="420" w:type="dxa"/>
            <w:vAlign w:val="bottom"/>
            <w:tcBorders>
              <w:bottom w:val="single" w:sz="8" w:color="auto"/>
            </w:tcBorders>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98,482</w:t>
            </w:r>
          </w:p>
        </w:tc>
        <w:tc>
          <w:tcPr>
            <w:tcW w:w="100" w:type="dxa"/>
            <w:vAlign w:val="bottom"/>
            <w:shd w:val="clear" w:color="auto" w:fill="E0E0E0"/>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60" w:firstLine="979"/>
        <w:spacing w:after="0" w:line="249" w:lineRule="auto"/>
        <w:rPr>
          <w:sz w:val="20"/>
          <w:szCs w:val="20"/>
          <w:color w:val="auto"/>
        </w:rPr>
      </w:pPr>
      <w:r>
        <w:rPr>
          <w:rFonts w:ascii="Times New Roman" w:cs="Times New Roman" w:eastAsia="Times New Roman" w:hAnsi="Times New Roman"/>
          <w:sz w:val="20"/>
          <w:szCs w:val="20"/>
          <w:color w:val="auto"/>
        </w:rPr>
        <w:t>As of December 31, 2023, we had cash and cash equivalents and marketable securities of $48.5 million, compared to $98.5 million as of December 31, 2022. Based on our available cash resources and current operating plan, there is substantial doubt regarding our ability to continue as a going concern for a period of one year after the date that our financial statements for the year ended December 31, 2023 are issued. Our existing capital resources, including the net proceeds from our IPO and Loans, will not be sufficient to fund our projected operating requirements for a twelve-month period from the issuance of our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presented (in thousands):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62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7"/>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E0E0E0"/>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4"/>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62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2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(51,236)</w:t>
            </w:r>
          </w:p>
        </w:tc>
        <w:tc>
          <w:tcPr>
            <w:tcW w:w="240" w:type="dxa"/>
            <w:vAlign w:val="bottom"/>
            <w:shd w:val="clear" w:color="auto" w:fill="E0E0E0"/>
          </w:tcPr>
          <w:p>
            <w:pPr>
              <w:spacing w:after="0"/>
              <w:rPr>
                <w:sz w:val="19"/>
                <w:szCs w:val="19"/>
                <w:color w:val="auto"/>
              </w:rPr>
            </w:pPr>
          </w:p>
        </w:tc>
        <w:tc>
          <w:tcPr>
            <w:tcW w:w="300" w:type="dxa"/>
            <w:vAlign w:val="bottom"/>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(46,515)</w:t>
            </w:r>
          </w:p>
        </w:tc>
        <w:tc>
          <w:tcPr>
            <w:tcW w:w="100" w:type="dxa"/>
            <w:vAlign w:val="bottom"/>
            <w:shd w:val="clear" w:color="auto" w:fill="E0E0E0"/>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(72,436)</w:t>
            </w:r>
          </w:p>
        </w:tc>
        <w:tc>
          <w:tcPr>
            <w:tcW w:w="100" w:type="dxa"/>
            <w:vAlign w:val="bottom"/>
          </w:tcPr>
          <w:p>
            <w:pPr>
              <w:spacing w:after="0"/>
              <w:rPr>
                <w:sz w:val="19"/>
                <w:szCs w:val="19"/>
                <w:color w:val="auto"/>
              </w:rPr>
            </w:pPr>
          </w:p>
        </w:tc>
      </w:tr>
      <w:tr>
        <w:trPr>
          <w:trHeight w:val="23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0" w:type="dxa"/>
            <w:vAlign w:val="bottom"/>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24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29,005</w:t>
            </w:r>
          </w:p>
        </w:tc>
        <w:tc>
          <w:tcPr>
            <w:tcW w:w="100" w:type="dxa"/>
            <w:vAlign w:val="bottom"/>
            <w:shd w:val="clear" w:color="auto" w:fill="E0E0E0"/>
          </w:tcPr>
          <w:p>
            <w:pPr>
              <w:spacing w:after="0"/>
              <w:rPr>
                <w:sz w:val="19"/>
                <w:szCs w:val="19"/>
                <w:color w:val="auto"/>
              </w:rPr>
            </w:pPr>
          </w:p>
        </w:tc>
      </w:tr>
      <w:tr>
        <w:trPr>
          <w:trHeight w:val="220"/>
        </w:trPr>
        <w:tc>
          <w:tcPr>
            <w:tcW w:w="6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decrease in cash, cash equivalents and restricted cash equivalents</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(21,143)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(89,946)</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40" w:lineRule="exact"/>
        <w:rPr>
          <w:sz w:val="20"/>
          <w:szCs w:val="20"/>
          <w:color w:val="auto"/>
        </w:rPr>
      </w:pPr>
    </w:p>
    <w:p>
      <w:pPr>
        <w:ind w:right="140" w:firstLine="979"/>
        <w:spacing w:after="0" w:line="270" w:lineRule="auto"/>
        <w:rPr>
          <w:sz w:val="20"/>
          <w:szCs w:val="20"/>
          <w:color w:val="auto"/>
        </w:rPr>
      </w:pPr>
      <w:r>
        <w:rPr>
          <w:rFonts w:ascii="Times New Roman" w:cs="Times New Roman" w:eastAsia="Times New Roman" w:hAnsi="Times New Roman"/>
          <w:sz w:val="19"/>
          <w:szCs w:val="19"/>
          <w:color w:val="auto"/>
        </w:rPr>
        <w:t>Net cash used in operating activities for the year ended December 31, 2023 was $51.2 million, which was primarily attributable to a net loss of $67.9 million and net accretion and amortization of investments in marketable securities of $2.3 million, partially offset by the stock-based compensation expense of $19.0 million and depreciation and amortization expense of $0.8 million Additionally, there was a combined decrease in accounts payable and accrued expenses and other current liabilities of $1.1 million.</w:t>
      </w:r>
    </w:p>
    <w:p>
      <w:pPr>
        <w:spacing w:after="0" w:line="177"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2022 was $46.5 million, which was primarily attributable to a net loss of $63.3 million and net accretion and amortization of investments in marketable securities of $0.9 million, partially offset by the equity-based compensation expense of $15.8 million and depreciation and amortization expense of $0.5 million. Additionally, there was a decrease in prepaid expenses and other current assets of $0.5 million and an increase in accrued expenses of $0.7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40" w:lineRule="exact"/>
        <w:rPr>
          <w:sz w:val="20"/>
          <w:szCs w:val="20"/>
          <w:color w:val="auto"/>
        </w:rPr>
      </w:pPr>
    </w:p>
    <w:p>
      <w:pPr>
        <w:ind w:right="180" w:firstLine="979"/>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2023, net cash provided by investing activities was $29.9 million consisting of $104.4 million in proceeds from maturities of marketable securities partially offset by $73.3 million and $1.2 million in purchases of marketable securities and property and equipment, respectively.</w:t>
      </w:r>
    </w:p>
    <w:p>
      <w:pPr>
        <w:spacing w:after="0" w:line="188" w:lineRule="exact"/>
        <w:rPr>
          <w:sz w:val="20"/>
          <w:szCs w:val="20"/>
          <w:color w:val="auto"/>
        </w:rPr>
      </w:pPr>
    </w:p>
    <w:p>
      <w:pPr>
        <w:jc w:val="both"/>
        <w:ind w:right="40" w:firstLine="979"/>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2022, net cash used in investing activities was $72.4 million consisting of $73.8 million in purchases of marketable securities, $3.0 million in proceeds from maturities of marketable securities and $1.6 million in purchases of property and equipment.</w:t>
      </w:r>
    </w:p>
    <w:p>
      <w:pPr>
        <w:sectPr>
          <w:pgSz w:w="12240" w:h="15840" w:orient="portrait"/>
          <w:cols w:equalWidth="0" w:num="1">
            <w:col w:w="10760"/>
          </w:cols>
          <w:pgMar w:left="720" w:top="93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760"/>
          </w:cols>
          <w:pgMar w:left="720" w:top="930" w:right="76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For the year ended December 31, 2023, there were no significant financing activities.</w:t>
      </w:r>
    </w:p>
    <w:p>
      <w:pPr>
        <w:spacing w:after="0" w:line="240" w:lineRule="exact"/>
        <w:rPr>
          <w:sz w:val="20"/>
          <w:szCs w:val="20"/>
          <w:color w:val="auto"/>
        </w:rPr>
      </w:pPr>
    </w:p>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For the year ended December 31, 2022, net cash provided by financing activities was $29.0 million, which was primarily attributable to proceeds from the issuance of long-term debt and warrants, net of issuance costs of $29.6 million. These items were partially offset by a $0.6 million decrease for employee taxes paid on net share settlement on the vesting of restricted stock units and payment of deferred financing costs of $0.3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Other Commitments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following table summarizes our contractual obligations and commitments as of December 31, 2023 (in thousands):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400"/>
              <w:spacing w:after="0" w:line="174" w:lineRule="exact"/>
              <w:rPr>
                <w:sz w:val="20"/>
                <w:szCs w:val="20"/>
                <w:color w:val="auto"/>
              </w:rPr>
            </w:pPr>
            <w:r>
              <w:rPr>
                <w:rFonts w:ascii="Times New Roman" w:cs="Times New Roman" w:eastAsia="Times New Roman" w:hAnsi="Times New Roman"/>
                <w:sz w:val="16"/>
                <w:szCs w:val="16"/>
                <w:b w:val="1"/>
                <w:bCs w:val="1"/>
                <w:color w:val="auto"/>
              </w:rPr>
              <w:t>Short-term</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05"/>
              <w:spacing w:after="0" w:line="174" w:lineRule="exact"/>
              <w:rPr>
                <w:sz w:val="20"/>
                <w:szCs w:val="20"/>
                <w:color w:val="auto"/>
              </w:rPr>
            </w:pPr>
            <w:r>
              <w:rPr>
                <w:rFonts w:ascii="Times New Roman" w:cs="Times New Roman" w:eastAsia="Times New Roman" w:hAnsi="Times New Roman"/>
                <w:sz w:val="16"/>
                <w:szCs w:val="16"/>
                <w:b w:val="1"/>
                <w:bCs w:val="1"/>
                <w:color w:val="auto"/>
              </w:rPr>
              <w:t>Long-term</w:t>
            </w:r>
          </w:p>
        </w:tc>
        <w:tc>
          <w:tcPr>
            <w:tcW w:w="100" w:type="dxa"/>
            <w:vAlign w:val="bottom"/>
          </w:tcPr>
          <w:p>
            <w:pPr>
              <w:spacing w:after="0"/>
              <w:rPr>
                <w:sz w:val="15"/>
                <w:szCs w:val="15"/>
                <w:color w:val="auto"/>
              </w:rPr>
            </w:pPr>
          </w:p>
        </w:tc>
      </w:tr>
      <w:tr>
        <w:trPr>
          <w:trHeight w:val="220"/>
        </w:trPr>
        <w:tc>
          <w:tcPr>
            <w:tcW w:w="382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19"/>
                <w:szCs w:val="19"/>
                <w:color w:val="auto"/>
              </w:rPr>
              <w:t xml:space="preserve">Operating leases </w:t>
            </w:r>
            <w:r>
              <w:rPr>
                <w:rFonts w:ascii="Times New Roman" w:cs="Times New Roman" w:eastAsia="Times New Roman" w:hAnsi="Times New Roman"/>
                <w:sz w:val="25"/>
                <w:szCs w:val="25"/>
                <w:color w:val="auto"/>
                <w:vertAlign w:val="subscript"/>
              </w:rPr>
              <w:t>(1)</w:t>
            </w:r>
          </w:p>
        </w:tc>
        <w:tc>
          <w:tcPr>
            <w:tcW w:w="160" w:type="dxa"/>
            <w:vAlign w:val="bottom"/>
            <w:tcBorders>
              <w:top w:val="single" w:sz="8" w:color="E0E0E0"/>
            </w:tcBorders>
            <w:shd w:val="clear" w:color="auto" w:fill="E0E0E0"/>
          </w:tcPr>
          <w:p>
            <w:pPr>
              <w:spacing w:after="0"/>
              <w:rPr>
                <w:sz w:val="19"/>
                <w:szCs w:val="19"/>
                <w:color w:val="auto"/>
              </w:rPr>
            </w:pPr>
          </w:p>
        </w:tc>
        <w:tc>
          <w:tcPr>
            <w:tcW w:w="960" w:type="dxa"/>
            <w:vAlign w:val="bottom"/>
            <w:tcBorders>
              <w:top w:val="single" w:sz="8" w:color="auto"/>
            </w:tcBorders>
            <w:shd w:val="clear" w:color="auto" w:fill="E0E0E0"/>
          </w:tcPr>
          <w:p>
            <w:pPr>
              <w:jc w:val="right"/>
              <w:ind w:right="76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7,582</w:t>
            </w:r>
          </w:p>
        </w:tc>
        <w:tc>
          <w:tcPr>
            <w:tcW w:w="240" w:type="dxa"/>
            <w:vAlign w:val="bottom"/>
            <w:tcBorders>
              <w:top w:val="single" w:sz="8" w:color="E0E0E0"/>
            </w:tcBorders>
            <w:shd w:val="clear" w:color="auto" w:fill="E0E0E0"/>
          </w:tcPr>
          <w:p>
            <w:pPr>
              <w:spacing w:after="0"/>
              <w:rPr>
                <w:sz w:val="19"/>
                <w:szCs w:val="19"/>
                <w:color w:val="auto"/>
              </w:rPr>
            </w:pPr>
          </w:p>
        </w:tc>
        <w:tc>
          <w:tcPr>
            <w:tcW w:w="240" w:type="dxa"/>
            <w:vAlign w:val="bottom"/>
            <w:tcBorders>
              <w:top w:val="single" w:sz="8" w:color="auto"/>
            </w:tcBorders>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2,104</w:t>
            </w:r>
          </w:p>
        </w:tc>
        <w:tc>
          <w:tcPr>
            <w:tcW w:w="16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60" w:type="dxa"/>
            <w:vAlign w:val="bottom"/>
            <w:tcBorders>
              <w:top w:val="single" w:sz="8" w:color="auto"/>
            </w:tcBorders>
            <w:shd w:val="clear" w:color="auto" w:fill="E0E0E0"/>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5,478</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3820" w:type="dxa"/>
            <w:vAlign w:val="bottom"/>
            <w:tcBorders>
              <w:bottom w:val="single" w:sz="8" w:color="E0E0E0"/>
            </w:tcBorders>
          </w:tcPr>
          <w:p>
            <w:pPr>
              <w:spacing w:after="0" w:line="230" w:lineRule="exact"/>
              <w:rPr>
                <w:sz w:val="20"/>
                <w:szCs w:val="20"/>
                <w:color w:val="auto"/>
              </w:rPr>
            </w:pPr>
            <w:r>
              <w:rPr>
                <w:rFonts w:ascii="Times New Roman" w:cs="Times New Roman" w:eastAsia="Times New Roman" w:hAnsi="Times New Roman"/>
                <w:sz w:val="20"/>
                <w:szCs w:val="20"/>
                <w:color w:val="auto"/>
              </w:rPr>
              <w:t xml:space="preserve">Debt obligations </w:t>
            </w:r>
            <w:r>
              <w:rPr>
                <w:rFonts w:ascii="Times New Roman" w:cs="Times New Roman" w:eastAsia="Times New Roman" w:hAnsi="Times New Roman"/>
                <w:sz w:val="26"/>
                <w:szCs w:val="26"/>
                <w:color w:val="auto"/>
                <w:vertAlign w:val="subscript"/>
              </w:rPr>
              <w:t>(2)</w:t>
            </w:r>
          </w:p>
        </w:tc>
        <w:tc>
          <w:tcPr>
            <w:tcW w:w="160" w:type="dxa"/>
            <w:vAlign w:val="bottom"/>
            <w:tcBorders>
              <w:bottom w:val="single" w:sz="8" w:color="E0E0E0"/>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31,031</w:t>
            </w:r>
          </w:p>
        </w:tc>
        <w:tc>
          <w:tcPr>
            <w:tcW w:w="240" w:type="dxa"/>
            <w:vAlign w:val="bottom"/>
            <w:tcBorders>
              <w:bottom w:val="single" w:sz="8" w:color="E0E0E0"/>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4,897</w:t>
            </w:r>
          </w:p>
        </w:tc>
        <w:tc>
          <w:tcPr>
            <w:tcW w:w="16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26,134</w:t>
            </w:r>
          </w:p>
        </w:tc>
        <w:tc>
          <w:tcPr>
            <w:tcW w:w="100" w:type="dxa"/>
            <w:vAlign w:val="bottom"/>
            <w:tcBorders>
              <w:bottom w:val="single" w:sz="8" w:color="E0E0E0"/>
            </w:tcBorders>
          </w:tcPr>
          <w:p>
            <w:pPr>
              <w:spacing w:after="0"/>
              <w:rPr>
                <w:sz w:val="19"/>
                <w:szCs w:val="19"/>
                <w:color w:val="auto"/>
              </w:rPr>
            </w:pPr>
          </w:p>
        </w:tc>
      </w:tr>
      <w:tr>
        <w:trPr>
          <w:trHeight w:val="220"/>
        </w:trPr>
        <w:tc>
          <w:tcPr>
            <w:tcW w:w="382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shd w:val="clear" w:color="auto" w:fill="E0E0E0"/>
          </w:tcPr>
          <w:p>
            <w:pPr>
              <w:spacing w:after="0"/>
              <w:rPr>
                <w:sz w:val="19"/>
                <w:szCs w:val="19"/>
                <w:color w:val="auto"/>
              </w:rPr>
            </w:pPr>
          </w:p>
        </w:tc>
        <w:tc>
          <w:tcPr>
            <w:tcW w:w="960" w:type="dxa"/>
            <w:vAlign w:val="bottom"/>
            <w:tcBorders>
              <w:bottom w:val="single" w:sz="8" w:color="auto"/>
            </w:tcBorders>
            <w:shd w:val="clear" w:color="auto" w:fill="E0E0E0"/>
          </w:tcPr>
          <w:p>
            <w:pPr>
              <w:jc w:val="right"/>
              <w:ind w:right="76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38,613</w:t>
            </w:r>
          </w:p>
        </w:tc>
        <w:tc>
          <w:tcPr>
            <w:tcW w:w="240" w:type="dxa"/>
            <w:vAlign w:val="bottom"/>
            <w:shd w:val="clear" w:color="auto" w:fill="E0E0E0"/>
          </w:tcPr>
          <w:p>
            <w:pPr>
              <w:spacing w:after="0"/>
              <w:rPr>
                <w:sz w:val="19"/>
                <w:szCs w:val="19"/>
                <w:color w:val="auto"/>
              </w:rPr>
            </w:pPr>
          </w:p>
        </w:tc>
        <w:tc>
          <w:tcPr>
            <w:tcW w:w="240" w:type="dxa"/>
            <w:vAlign w:val="bottom"/>
            <w:tcBorders>
              <w:bottom w:val="single" w:sz="8" w:color="auto"/>
            </w:tcBorders>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7,001</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60" w:type="dxa"/>
            <w:vAlign w:val="bottom"/>
            <w:tcBorders>
              <w:bottom w:val="single" w:sz="8" w:color="auto"/>
            </w:tcBorders>
            <w:shd w:val="clear" w:color="auto" w:fill="E0E0E0"/>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31,612</w:t>
            </w:r>
          </w:p>
        </w:tc>
        <w:tc>
          <w:tcPr>
            <w:tcW w:w="100" w:type="dxa"/>
            <w:vAlign w:val="bottom"/>
            <w:shd w:val="clear" w:color="auto" w:fill="E0E0E0"/>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156845</wp:posOffset>
                </wp:positionV>
                <wp:extent cx="689483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2.35pt" to="541.45pt,12.35pt" o:allowincell="f" strokecolor="#000000" strokeweight="0.75pt"/>
            </w:pict>
          </mc:Fallback>
        </mc:AlternateContent>
      </w:r>
    </w:p>
    <w:p>
      <w:pPr>
        <w:spacing w:after="0" w:line="236" w:lineRule="exact"/>
        <w:rPr>
          <w:sz w:val="20"/>
          <w:szCs w:val="20"/>
          <w:color w:val="auto"/>
        </w:rPr>
      </w:pPr>
    </w:p>
    <w:p>
      <w:pPr>
        <w:ind w:right="540"/>
        <w:spacing w:after="0" w:line="277" w:lineRule="auto"/>
        <w:tabs>
          <w:tab w:leader="none" w:pos="28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operating lease payments. See Note 7 to the consolidated financial statements contained in Part II, Item 8 of this Annual Report on Form 10-K for additional information.</w:t>
      </w:r>
    </w:p>
    <w:p>
      <w:pPr>
        <w:spacing w:after="0" w:line="169" w:lineRule="exact"/>
        <w:rPr>
          <w:rFonts w:ascii="Times New Roman" w:cs="Times New Roman" w:eastAsia="Times New Roman" w:hAnsi="Times New Roman"/>
          <w:sz w:val="20"/>
          <w:szCs w:val="20"/>
          <w:color w:val="auto"/>
        </w:rPr>
      </w:pPr>
    </w:p>
    <w:p>
      <w:pPr>
        <w:jc w:val="both"/>
        <w:ind w:right="180"/>
        <w:spacing w:after="0" w:line="258" w:lineRule="auto"/>
        <w:tabs>
          <w:tab w:leader="none" w:pos="28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long-term debt principal maturities and final payment equal to 5.5% of aggregate amount funded, excluding interest. See Note 12 to the consolidated financial statements contained in Part II, Item 8 of this Annual Report on Form 10-K for additional information.</w:t>
      </w:r>
    </w:p>
    <w:p>
      <w:pPr>
        <w:spacing w:after="0" w:line="188" w:lineRule="exact"/>
        <w:rPr>
          <w:sz w:val="20"/>
          <w:szCs w:val="20"/>
          <w:color w:val="auto"/>
        </w:rPr>
      </w:pPr>
    </w:p>
    <w:p>
      <w:pPr>
        <w:ind w:right="120" w:firstLine="979"/>
        <w:spacing w:after="0" w:line="258" w:lineRule="auto"/>
        <w:rPr>
          <w:sz w:val="20"/>
          <w:szCs w:val="20"/>
          <w:color w:val="auto"/>
        </w:rPr>
      </w:pPr>
      <w:r>
        <w:rPr>
          <w:rFonts w:ascii="Times New Roman" w:cs="Times New Roman" w:eastAsia="Times New Roman" w:hAnsi="Times New Roman"/>
          <w:sz w:val="20"/>
          <w:szCs w:val="20"/>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4" w:lineRule="exact"/>
        <w:rPr>
          <w:sz w:val="20"/>
          <w:szCs w:val="20"/>
          <w:color w:val="auto"/>
        </w:rPr>
      </w:pPr>
    </w:p>
    <w:p>
      <w:pPr>
        <w:ind w:right="40" w:firstLine="979"/>
        <w:spacing w:after="0" w:line="245" w:lineRule="auto"/>
        <w:rPr>
          <w:sz w:val="20"/>
          <w:szCs w:val="20"/>
          <w:color w:val="auto"/>
        </w:rPr>
      </w:pPr>
      <w:r>
        <w:rPr>
          <w:rFonts w:ascii="Times New Roman" w:cs="Times New Roman" w:eastAsia="Times New Roman" w:hAnsi="Times New Roman"/>
          <w:sz w:val="20"/>
          <w:szCs w:val="20"/>
          <w:color w:val="auto"/>
        </w:rPr>
        <w:t>This discussion and analysis of financial condition and results of operation is based on our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2" w:lineRule="exact"/>
        <w:rPr>
          <w:sz w:val="20"/>
          <w:szCs w:val="20"/>
          <w:color w:val="auto"/>
        </w:rPr>
      </w:pPr>
    </w:p>
    <w:p>
      <w:pPr>
        <w:ind w:right="400" w:firstLine="979"/>
        <w:spacing w:after="0" w:line="258"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240"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we do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ectPr>
          <w:pgSz w:w="12240" w:h="15840" w:orient="portrait"/>
          <w:cols w:equalWidth="0" w:num="1">
            <w:col w:w="10720"/>
          </w:cols>
          <w:pgMar w:left="720" w:top="93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720"/>
          </w:cols>
          <w:pgMar w:left="720" w:top="930" w:right="800" w:bottom="0" w:gutter="0" w:footer="0" w:header="0"/>
          <w:type w:val="continuous"/>
        </w:sectPr>
      </w:pPr>
    </w:p>
    <w:bookmarkStart w:id="113" w:name="page114"/>
    <w:bookmarkEnd w:id="113"/>
    <w:p>
      <w:pPr>
        <w:ind w:right="60" w:firstLine="979"/>
        <w:spacing w:after="0" w:line="252" w:lineRule="auto"/>
        <w:rPr>
          <w:sz w:val="20"/>
          <w:szCs w:val="20"/>
          <w:color w:val="auto"/>
        </w:rPr>
      </w:pPr>
      <w:r>
        <w:rPr>
          <w:rFonts w:ascii="Times New Roman" w:cs="Times New Roman" w:eastAsia="Times New Roman" w:hAnsi="Times New Roman"/>
          <w:sz w:val="20"/>
          <w:szCs w:val="20"/>
          <w:color w:val="auto"/>
        </w:rPr>
        <w:t>Clinical and preclinical costs are a component of research and development expense. We accrue and expense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Standards</w:t>
      </w:r>
    </w:p>
    <w:p>
      <w:pPr>
        <w:spacing w:after="0" w:line="2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JOBS Act Accounting Election</w:t>
      </w:r>
    </w:p>
    <w:p>
      <w:pPr>
        <w:spacing w:after="0" w:line="238"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202"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(1) December 31, 2026 (the last day of the fiscal year following the fifth anniversary of the closing of our initial public offering),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4" w:lineRule="exact"/>
        <w:rPr>
          <w:sz w:val="20"/>
          <w:szCs w:val="20"/>
          <w:color w:val="auto"/>
        </w:rPr>
      </w:pPr>
    </w:p>
    <w:p>
      <w:pPr>
        <w:ind w:right="320" w:firstLine="979"/>
        <w:spacing w:after="0" w:line="277" w:lineRule="auto"/>
        <w:rPr>
          <w:sz w:val="20"/>
          <w:szCs w:val="20"/>
          <w:color w:val="auto"/>
        </w:rPr>
      </w:pPr>
      <w:r>
        <w:rPr>
          <w:rFonts w:ascii="Times New Roman" w:cs="Times New Roman" w:eastAsia="Times New Roman" w:hAnsi="Times New Roman"/>
          <w:sz w:val="20"/>
          <w:szCs w:val="20"/>
          <w:color w:val="auto"/>
        </w:rPr>
        <w:t>We are a smaller reporting company as defined by Rule 12b-2 of the Exchange Act and are not required to provide the information required under this item.</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780"/>
          </w:cols>
          <w:pgMar w:left="720" w:top="930" w:right="740" w:bottom="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74"/>
        </w:trPr>
        <w:tc>
          <w:tcPr>
            <w:tcW w:w="8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2500" w:type="dxa"/>
            <w:vAlign w:val="bottom"/>
          </w:tcPr>
          <w:p>
            <w:pPr>
              <w:spacing w:after="0"/>
              <w:rPr>
                <w:sz w:val="23"/>
                <w:szCs w:val="23"/>
                <w:color w:val="auto"/>
              </w:rPr>
            </w:pPr>
          </w:p>
        </w:tc>
      </w:tr>
      <w:tr>
        <w:trPr>
          <w:trHeight w:val="470"/>
        </w:trPr>
        <w:tc>
          <w:tcPr>
            <w:tcW w:w="8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2500" w:type="dxa"/>
            <w:vAlign w:val="bottom"/>
          </w:tcPr>
          <w:p>
            <w:pPr>
              <w:spacing w:after="0"/>
              <w:rPr>
                <w:sz w:val="24"/>
                <w:szCs w:val="24"/>
                <w:color w:val="auto"/>
              </w:rPr>
            </w:pPr>
          </w:p>
        </w:tc>
      </w:tr>
      <w:tr>
        <w:trPr>
          <w:trHeight w:val="494"/>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ID:42)</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44"/>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44"/>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44"/>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44"/>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44"/>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66"/>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bl>
    <w:p>
      <w:pPr>
        <w:spacing w:after="0" w:line="200" w:lineRule="exact"/>
        <w:rPr>
          <w:sz w:val="20"/>
          <w:szCs w:val="20"/>
          <w:color w:val="auto"/>
        </w:rPr>
      </w:pPr>
    </w:p>
    <w:p>
      <w:pPr>
        <w:sectPr>
          <w:pgSz w:w="12240" w:h="15840" w:orient="portrait"/>
          <w:cols w:equalWidth="0" w:num="1">
            <w:col w:w="10780"/>
          </w:cols>
          <w:pgMar w:left="720" w:top="92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780"/>
          </w:cols>
          <w:pgMar w:left="720" w:top="926" w:right="740" w:bottom="0" w:gutter="0" w:footer="0" w:header="0"/>
          <w:type w:val="continuous"/>
        </w:sectPr>
      </w:pPr>
    </w:p>
    <w:bookmarkStart w:id="115" w:name="page116"/>
    <w:bookmarkEnd w:id="115"/>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Rani Therapeutics Holdings,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audited the accompanying consolidated balance sheets of Rani Therapeutics Holdings, Inc. (the Company) as of</w:t>
      </w:r>
    </w:p>
    <w:p>
      <w:pPr>
        <w:spacing w:after="0" w:line="28"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20"/>
          <w:szCs w:val="20"/>
          <w:color w:val="auto"/>
        </w:rPr>
        <w:t>December 31, 2023 and 2022, the related consolidated statements of operations,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Ability to Continue as a Going Concern</w:t>
      </w:r>
    </w:p>
    <w:p>
      <w:pPr>
        <w:spacing w:after="0" w:line="20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consolidated financial statements, the Company has incurred recurring losses from operations, negative cash flows from operating activities,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20, 2024</w:t>
      </w:r>
    </w:p>
    <w:p>
      <w:pPr>
        <w:sectPr>
          <w:pgSz w:w="12240" w:h="15840" w:orient="portrait"/>
          <w:cols w:equalWidth="0" w:num="1">
            <w:col w:w="10780"/>
          </w:cols>
          <w:pgMar w:left="720" w:top="92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780"/>
          </w:cols>
          <w:pgMar w:left="720" w:top="926" w:right="74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RANI THERAPEUTICS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par value)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74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1"/>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1"/>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74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40" w:type="dxa"/>
            <w:vAlign w:val="bottom"/>
            <w:gridSpan w:val="3"/>
            <w:shd w:val="clear" w:color="auto" w:fill="E0E0E0"/>
          </w:tcPr>
          <w:p>
            <w:pPr>
              <w:jc w:val="right"/>
              <w:ind w:right="185"/>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5,864</w:t>
            </w:r>
          </w:p>
        </w:tc>
        <w:tc>
          <w:tcPr>
            <w:tcW w:w="160" w:type="dxa"/>
            <w:vAlign w:val="bottom"/>
            <w:shd w:val="clear" w:color="auto" w:fill="E0E0E0"/>
          </w:tcPr>
          <w:p>
            <w:pPr>
              <w:spacing w:after="0"/>
              <w:rPr>
                <w:sz w:val="19"/>
                <w:szCs w:val="19"/>
                <w:color w:val="auto"/>
              </w:rPr>
            </w:pPr>
          </w:p>
        </w:tc>
        <w:tc>
          <w:tcPr>
            <w:tcW w:w="58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27,007</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71,475</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0" w:type="dxa"/>
            <w:vAlign w:val="bottom"/>
            <w:shd w:val="clear" w:color="auto" w:fill="E0E0E0"/>
          </w:tcPr>
          <w:p>
            <w:pPr>
              <w:spacing w:after="0"/>
              <w:rPr>
                <w:sz w:val="19"/>
                <w:szCs w:val="19"/>
                <w:color w:val="auto"/>
              </w:rPr>
            </w:pPr>
          </w:p>
        </w:tc>
        <w:tc>
          <w:tcPr>
            <w:tcW w:w="20" w:type="dxa"/>
            <w:vAlign w:val="bottom"/>
            <w:tcBorders>
              <w:bottom w:val="single" w:sz="8" w:color="auto"/>
            </w:tcBorders>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2,308</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spacing w:after="0"/>
              <w:rPr>
                <w:sz w:val="19"/>
                <w:szCs w:val="19"/>
                <w:color w:val="auto"/>
              </w:rPr>
            </w:pP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2,442</w:t>
            </w:r>
          </w:p>
        </w:tc>
        <w:tc>
          <w:tcPr>
            <w:tcW w:w="100" w:type="dxa"/>
            <w:vAlign w:val="bottom"/>
            <w:shd w:val="clear" w:color="auto" w:fill="E0E0E0"/>
          </w:tcPr>
          <w:p>
            <w:pPr>
              <w:spacing w:after="0"/>
              <w:rPr>
                <w:sz w:val="19"/>
                <w:szCs w:val="19"/>
                <w:color w:val="auto"/>
              </w:rPr>
            </w:pPr>
          </w:p>
        </w:tc>
      </w:tr>
      <w:tr>
        <w:trPr>
          <w:trHeight w:val="220"/>
        </w:trPr>
        <w:tc>
          <w:tcPr>
            <w:tcW w:w="74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50,847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100,924</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6,105</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6,038</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1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420" w:type="dxa"/>
            <w:vAlign w:val="bottom"/>
            <w:tcBorders>
              <w:bottom w:val="single" w:sz="8" w:color="E0E0E0"/>
            </w:tcBorders>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Borders>
              <w:bottom w:val="single" w:sz="8" w:color="E0E0E0"/>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57,916</w:t>
            </w:r>
          </w:p>
        </w:tc>
        <w:tc>
          <w:tcPr>
            <w:tcW w:w="160" w:type="dxa"/>
            <w:vAlign w:val="bottom"/>
            <w:tcBorders>
              <w:bottom w:val="single" w:sz="8" w:color="E0E0E0"/>
            </w:tcBorders>
          </w:tcPr>
          <w:p>
            <w:pPr>
              <w:spacing w:after="0"/>
              <w:rPr>
                <w:sz w:val="22"/>
                <w:szCs w:val="22"/>
                <w:color w:val="auto"/>
              </w:rPr>
            </w:pPr>
          </w:p>
        </w:tc>
        <w:tc>
          <w:tcPr>
            <w:tcW w:w="120" w:type="dxa"/>
            <w:vAlign w:val="bottom"/>
            <w:tcBorders>
              <w:bottom w:val="single" w:sz="8" w:color="E0E0E0"/>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108,027</w:t>
            </w:r>
          </w:p>
        </w:tc>
        <w:tc>
          <w:tcPr>
            <w:tcW w:w="100" w:type="dxa"/>
            <w:vAlign w:val="bottom"/>
            <w:tcBorders>
              <w:bottom w:val="single" w:sz="8" w:color="E0E0E0"/>
            </w:tcBorders>
          </w:tcPr>
          <w:p>
            <w:pPr>
              <w:spacing w:after="0"/>
              <w:rPr>
                <w:sz w:val="22"/>
                <w:szCs w:val="22"/>
                <w:color w:val="auto"/>
              </w:rPr>
            </w:pPr>
          </w:p>
        </w:tc>
      </w:tr>
      <w:tr>
        <w:trPr>
          <w:trHeight w:val="215"/>
        </w:trPr>
        <w:tc>
          <w:tcPr>
            <w:tcW w:w="7420" w:type="dxa"/>
            <w:vAlign w:val="bottom"/>
            <w:shd w:val="clear" w:color="auto" w:fill="E0E0E0"/>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6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340" w:type="dxa"/>
            <w:vAlign w:val="bottom"/>
            <w:gridSpan w:val="3"/>
            <w:shd w:val="clear" w:color="auto" w:fill="E0E0E0"/>
          </w:tcPr>
          <w:p>
            <w:pPr>
              <w:jc w:val="right"/>
              <w:ind w:right="185"/>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160" w:type="dxa"/>
            <w:vAlign w:val="bottom"/>
            <w:shd w:val="clear" w:color="auto" w:fill="E0E0E0"/>
          </w:tcPr>
          <w:p>
            <w:pPr>
              <w:spacing w:after="0"/>
              <w:rPr>
                <w:sz w:val="19"/>
                <w:szCs w:val="19"/>
                <w:color w:val="auto"/>
              </w:rPr>
            </w:pPr>
          </w:p>
        </w:tc>
        <w:tc>
          <w:tcPr>
            <w:tcW w:w="58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1,460</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2,349</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4,897</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1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Current portion of operating lease liability</w:t>
            </w:r>
          </w:p>
        </w:tc>
        <w:tc>
          <w:tcPr>
            <w:tcW w:w="2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1,006</w:t>
            </w:r>
          </w:p>
        </w:tc>
        <w:tc>
          <w:tcPr>
            <w:tcW w:w="100" w:type="dxa"/>
            <w:vAlign w:val="bottom"/>
            <w:tcBorders>
              <w:bottom w:val="single" w:sz="8" w:color="E0E0E0"/>
            </w:tcBorders>
          </w:tcPr>
          <w:p>
            <w:pPr>
              <w:spacing w:after="0"/>
              <w:rPr>
                <w:sz w:val="19"/>
                <w:szCs w:val="19"/>
                <w:color w:val="auto"/>
              </w:rPr>
            </w:pPr>
          </w:p>
        </w:tc>
      </w:tr>
      <w:tr>
        <w:trPr>
          <w:trHeight w:val="220"/>
        </w:trPr>
        <w:tc>
          <w:tcPr>
            <w:tcW w:w="7420" w:type="dxa"/>
            <w:vAlign w:val="bottom"/>
            <w:shd w:val="clear" w:color="auto" w:fill="E0E0E0"/>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7,989</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4,815</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Long-term debt, less current portion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29,149</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Operating lease liability, less current portion</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3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00" w:type="dxa"/>
            <w:vAlign w:val="bottom"/>
            <w:shd w:val="clear" w:color="auto" w:fill="E0E0E0"/>
          </w:tcPr>
          <w:p>
            <w:pPr>
              <w:spacing w:after="0"/>
              <w:rPr>
                <w:sz w:val="19"/>
                <w:szCs w:val="19"/>
                <w:color w:val="auto"/>
              </w:rPr>
            </w:pPr>
          </w:p>
        </w:tc>
      </w:tr>
      <w:tr>
        <w:trPr>
          <w:trHeight w:val="220"/>
        </w:trPr>
        <w:tc>
          <w:tcPr>
            <w:tcW w:w="74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32,473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34,023</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10"/>
        </w:trPr>
        <w:tc>
          <w:tcPr>
            <w:tcW w:w="74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Preferred stock, $0.0001 par value - 20,000 shares authorized; none issued and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 and December 31, 2022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10"/>
        </w:trPr>
        <w:tc>
          <w:tcPr>
            <w:tcW w:w="7420" w:type="dxa"/>
            <w:vAlign w:val="bottom"/>
            <w:shd w:val="clear" w:color="auto" w:fill="E0E0E0"/>
          </w:tcPr>
          <w:p>
            <w:pPr>
              <w:spacing w:after="0" w:line="210" w:lineRule="exact"/>
              <w:rPr>
                <w:sz w:val="20"/>
                <w:szCs w:val="20"/>
                <w:color w:val="auto"/>
              </w:rPr>
            </w:pPr>
            <w:r>
              <w:rPr>
                <w:rFonts w:ascii="Times New Roman" w:cs="Times New Roman" w:eastAsia="Times New Roman" w:hAnsi="Times New Roman"/>
                <w:sz w:val="20"/>
                <w:szCs w:val="20"/>
                <w:color w:val="auto"/>
              </w:rPr>
              <w:t>Class A common stock, $0.0001 par value - 800,000 shares authorized; 26,036 and</w:t>
            </w: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6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0"/>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25,295 issued and outstanding as of December 31, 2023 and December 31, 2022,</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49"/>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respectively</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4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shd w:val="clear" w:color="auto" w:fill="E0E0E0"/>
          </w:tcPr>
          <w:p>
            <w:pPr>
              <w:spacing w:after="0"/>
              <w:rPr>
                <w:sz w:val="21"/>
                <w:szCs w:val="21"/>
                <w:color w:val="auto"/>
              </w:rPr>
            </w:pPr>
          </w:p>
        </w:tc>
      </w:tr>
      <w:tr>
        <w:trPr>
          <w:trHeight w:val="210"/>
        </w:trPr>
        <w:tc>
          <w:tcPr>
            <w:tcW w:w="74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Class B common stock, $0.0001 par value - 40,000 shares authorized; 24,116 issued and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 and December 31, 2022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1"/>
                <w:szCs w:val="21"/>
                <w:color w:val="auto"/>
              </w:rPr>
            </w:pPr>
          </w:p>
        </w:tc>
      </w:tr>
      <w:tr>
        <w:trPr>
          <w:trHeight w:val="210"/>
        </w:trPr>
        <w:tc>
          <w:tcPr>
            <w:tcW w:w="7420" w:type="dxa"/>
            <w:vAlign w:val="bottom"/>
            <w:shd w:val="clear" w:color="auto" w:fill="E0E0E0"/>
          </w:tcPr>
          <w:p>
            <w:pPr>
              <w:spacing w:after="0" w:line="210" w:lineRule="exact"/>
              <w:rPr>
                <w:sz w:val="20"/>
                <w:szCs w:val="20"/>
                <w:color w:val="auto"/>
              </w:rPr>
            </w:pPr>
            <w:r>
              <w:rPr>
                <w:rFonts w:ascii="Times New Roman" w:cs="Times New Roman" w:eastAsia="Times New Roman" w:hAnsi="Times New Roman"/>
                <w:sz w:val="20"/>
                <w:szCs w:val="20"/>
                <w:color w:val="auto"/>
              </w:rPr>
              <w:t>Class C common stock, $0.0001 par value - 20,000 shares authorized; none issued and</w:t>
            </w: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6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49"/>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outstanding as of December 31, 2023 and December 31, 2022</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3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21"/>
                <w:szCs w:val="21"/>
                <w:color w:val="auto"/>
              </w:rPr>
            </w:pPr>
          </w:p>
        </w:tc>
        <w:tc>
          <w:tcPr>
            <w:tcW w:w="46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75,842</w:t>
            </w: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3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1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(72,889)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(38,919)</w:t>
            </w:r>
          </w:p>
        </w:tc>
      </w:tr>
      <w:tr>
        <w:trPr>
          <w:trHeight w:val="220"/>
        </w:trPr>
        <w:tc>
          <w:tcPr>
            <w:tcW w:w="7420" w:type="dxa"/>
            <w:vAlign w:val="bottom"/>
            <w:tcBorders>
              <w:top w:val="single" w:sz="8" w:color="E0E0E0"/>
            </w:tcBorders>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stockholders' equity attributable to Rani Therapeutics Holdings, Inc.</w:t>
            </w:r>
          </w:p>
        </w:tc>
        <w:tc>
          <w:tcPr>
            <w:tcW w:w="2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300" w:type="dxa"/>
            <w:vAlign w:val="bottom"/>
            <w:tcBorders>
              <w:top w:val="single" w:sz="8" w:color="auto"/>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12,866</w:t>
            </w:r>
          </w:p>
        </w:tc>
        <w:tc>
          <w:tcPr>
            <w:tcW w:w="16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460" w:type="dxa"/>
            <w:vAlign w:val="bottom"/>
            <w:tcBorders>
              <w:top w:val="single" w:sz="8" w:color="auto"/>
            </w:tcBorders>
            <w:shd w:val="clear" w:color="auto" w:fill="E0E0E0"/>
          </w:tcPr>
          <w:p>
            <w:pPr>
              <w:spacing w:after="0"/>
              <w:rPr>
                <w:sz w:val="19"/>
                <w:szCs w:val="19"/>
                <w:color w:val="auto"/>
              </w:rPr>
            </w:pPr>
          </w:p>
        </w:tc>
        <w:tc>
          <w:tcPr>
            <w:tcW w:w="10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36,855</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74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Non-controlling interest</w:t>
            </w:r>
          </w:p>
        </w:tc>
        <w:tc>
          <w:tcPr>
            <w:tcW w:w="2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12,577</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37,149</w:t>
            </w:r>
          </w:p>
        </w:tc>
        <w:tc>
          <w:tcPr>
            <w:tcW w:w="100" w:type="dxa"/>
            <w:vAlign w:val="bottom"/>
            <w:tcBorders>
              <w:bottom w:val="single" w:sz="8" w:color="E0E0E0"/>
            </w:tcBorders>
          </w:tcPr>
          <w:p>
            <w:pPr>
              <w:spacing w:after="0"/>
              <w:rPr>
                <w:sz w:val="19"/>
                <w:szCs w:val="19"/>
                <w:color w:val="auto"/>
              </w:rPr>
            </w:pPr>
          </w:p>
        </w:tc>
      </w:tr>
      <w:tr>
        <w:trPr>
          <w:trHeight w:val="220"/>
        </w:trPr>
        <w:tc>
          <w:tcPr>
            <w:tcW w:w="7420" w:type="dxa"/>
            <w:vAlign w:val="bottom"/>
            <w:shd w:val="clear" w:color="auto" w:fill="E0E0E0"/>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shd w:val="clear" w:color="auto" w:fill="E0E0E0"/>
          </w:tcPr>
          <w:p>
            <w:pPr>
              <w:spacing w:after="0"/>
              <w:rPr>
                <w:sz w:val="19"/>
                <w:szCs w:val="19"/>
                <w:color w:val="auto"/>
              </w:rPr>
            </w:pPr>
          </w:p>
        </w:tc>
        <w:tc>
          <w:tcPr>
            <w:tcW w:w="20" w:type="dxa"/>
            <w:vAlign w:val="bottom"/>
            <w:tcBorders>
              <w:bottom w:val="single" w:sz="8" w:color="auto"/>
            </w:tcBorders>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25,443</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spacing w:after="0"/>
              <w:rPr>
                <w:sz w:val="19"/>
                <w:szCs w:val="19"/>
                <w:color w:val="auto"/>
              </w:rPr>
            </w:pPr>
          </w:p>
        </w:tc>
        <w:tc>
          <w:tcPr>
            <w:tcW w:w="10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74,004</w:t>
            </w:r>
          </w:p>
        </w:tc>
        <w:tc>
          <w:tcPr>
            <w:tcW w:w="100" w:type="dxa"/>
            <w:vAlign w:val="bottom"/>
            <w:shd w:val="clear" w:color="auto" w:fill="E0E0E0"/>
          </w:tcPr>
          <w:p>
            <w:pPr>
              <w:spacing w:after="0"/>
              <w:rPr>
                <w:sz w:val="19"/>
                <w:szCs w:val="19"/>
                <w:color w:val="auto"/>
              </w:rPr>
            </w:pPr>
          </w:p>
        </w:tc>
      </w:tr>
      <w:tr>
        <w:trPr>
          <w:trHeight w:val="220"/>
        </w:trPr>
        <w:tc>
          <w:tcPr>
            <w:tcW w:w="74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57,916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108,027</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800"/>
          </w:cols>
          <w:pgMar w:left="720" w:top="926" w:right="720" w:bottom="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RANI THERAPEUTICS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140" w:type="dxa"/>
            <w:vAlign w:val="bottom"/>
            <w:tcBorders>
              <w:bottom w:val="single" w:sz="8" w:color="E0E0E0"/>
            </w:tcBorders>
          </w:tcPr>
          <w:p>
            <w:pPr>
              <w:spacing w:after="0"/>
              <w:rPr>
                <w:sz w:val="15"/>
                <w:szCs w:val="15"/>
                <w:color w:val="auto"/>
              </w:rPr>
            </w:pPr>
          </w:p>
        </w:tc>
        <w:tc>
          <w:tcPr>
            <w:tcW w:w="280" w:type="dxa"/>
            <w:vAlign w:val="bottom"/>
            <w:tcBorders>
              <w:bottom w:val="single" w:sz="8" w:color="E0E0E0"/>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E0E0E0"/>
            </w:tcBorders>
          </w:tcPr>
          <w:p>
            <w:pPr>
              <w:spacing w:after="0"/>
              <w:rPr>
                <w:sz w:val="15"/>
                <w:szCs w:val="15"/>
                <w:color w:val="auto"/>
              </w:rPr>
            </w:pPr>
          </w:p>
        </w:tc>
        <w:tc>
          <w:tcPr>
            <w:tcW w:w="120" w:type="dxa"/>
            <w:vAlign w:val="bottom"/>
            <w:tcBorders>
              <w:top w:val="single" w:sz="8" w:color="auto"/>
              <w:bottom w:val="single" w:sz="8" w:color="E0E0E0"/>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1"/>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1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620" w:type="dxa"/>
            <w:vAlign w:val="bottom"/>
            <w:gridSpan w:val="3"/>
          </w:tcPr>
          <w:p>
            <w:pPr>
              <w:jc w:val="right"/>
              <w:ind w:right="155"/>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39,624</w:t>
            </w:r>
          </w:p>
        </w:tc>
        <w:tc>
          <w:tcPr>
            <w:tcW w:w="1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shd w:val="clear" w:color="auto" w:fill="E0E0E0"/>
          </w:tcPr>
          <w:p>
            <w:pPr>
              <w:spacing w:after="0"/>
              <w:rPr>
                <w:sz w:val="19"/>
                <w:szCs w:val="19"/>
                <w:color w:val="auto"/>
              </w:rPr>
            </w:pPr>
          </w:p>
        </w:tc>
        <w:tc>
          <w:tcPr>
            <w:tcW w:w="20" w:type="dxa"/>
            <w:vAlign w:val="bottom"/>
            <w:tcBorders>
              <w:bottom w:val="single" w:sz="8" w:color="auto"/>
            </w:tcBorders>
            <w:shd w:val="clear" w:color="auto" w:fill="E0E0E0"/>
          </w:tcPr>
          <w:p>
            <w:pPr>
              <w:spacing w:after="0"/>
              <w:rPr>
                <w:sz w:val="19"/>
                <w:szCs w:val="19"/>
                <w:color w:val="auto"/>
              </w:rPr>
            </w:pPr>
          </w:p>
        </w:tc>
        <w:tc>
          <w:tcPr>
            <w:tcW w:w="320" w:type="dxa"/>
            <w:vAlign w:val="bottom"/>
            <w:tcBorders>
              <w:bottom w:val="single" w:sz="8" w:color="auto"/>
            </w:tcBorders>
            <w:shd w:val="clear" w:color="auto" w:fill="E0E0E0"/>
          </w:tcPr>
          <w:p>
            <w:pPr>
              <w:spacing w:after="0"/>
              <w:rPr>
                <w:sz w:val="19"/>
                <w:szCs w:val="19"/>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26,475</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spacing w:after="0"/>
              <w:rPr>
                <w:sz w:val="19"/>
                <w:szCs w:val="19"/>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26,844</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40" w:type="dxa"/>
            <w:vAlign w:val="bottom"/>
            <w:tcBorders>
              <w:bottom w:val="single" w:sz="8" w:color="E0E0E0"/>
            </w:tcBorders>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gridSpan w:val="2"/>
          </w:tcPr>
          <w:p>
            <w:pPr>
              <w:jc w:val="right"/>
              <w:ind w:right="15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66,099</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63,451</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40" w:type="dxa"/>
            <w:vAlign w:val="bottom"/>
            <w:shd w:val="clear" w:color="auto" w:fill="E0E0E0"/>
          </w:tcPr>
          <w:p>
            <w:pPr>
              <w:ind w:left="600"/>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2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(66,099)</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(63,451)</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Interest income and other, net</w:t>
            </w:r>
          </w:p>
        </w:tc>
        <w:tc>
          <w:tcPr>
            <w:tcW w:w="2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3,301</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1,248</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 and other, net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(5,085)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(1,071)</w:t>
            </w:r>
          </w:p>
        </w:tc>
        <w:tc>
          <w:tcPr>
            <w:tcW w:w="0" w:type="dxa"/>
            <w:vAlign w:val="bottom"/>
          </w:tcPr>
          <w:p>
            <w:pPr>
              <w:spacing w:after="0"/>
              <w:rPr>
                <w:sz w:val="1"/>
                <w:szCs w:val="1"/>
                <w:color w:val="auto"/>
              </w:rPr>
            </w:pPr>
          </w:p>
        </w:tc>
      </w:tr>
      <w:tr>
        <w:trPr>
          <w:trHeight w:val="220"/>
        </w:trPr>
        <w:tc>
          <w:tcPr>
            <w:tcW w:w="7140" w:type="dxa"/>
            <w:vAlign w:val="bottom"/>
            <w:tcBorders>
              <w:top w:val="single" w:sz="8" w:color="E0E0E0"/>
            </w:tcBorders>
            <w:shd w:val="clear" w:color="auto" w:fill="E0E0E0"/>
          </w:tcPr>
          <w:p>
            <w:pPr>
              <w:ind w:left="600"/>
              <w:spacing w:after="0" w:line="220" w:lineRule="exact"/>
              <w:rPr>
                <w:sz w:val="20"/>
                <w:szCs w:val="20"/>
                <w:color w:val="auto"/>
              </w:rPr>
            </w:pPr>
            <w:r>
              <w:rPr>
                <w:rFonts w:ascii="Times New Roman" w:cs="Times New Roman" w:eastAsia="Times New Roman" w:hAnsi="Times New Roman"/>
                <w:sz w:val="20"/>
                <w:szCs w:val="20"/>
                <w:color w:val="auto"/>
              </w:rPr>
              <w:t>Loss before income taxes</w:t>
            </w:r>
          </w:p>
        </w:tc>
        <w:tc>
          <w:tcPr>
            <w:tcW w:w="28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auto"/>
            </w:tcBorders>
            <w:shd w:val="clear" w:color="auto" w:fill="E0E0E0"/>
          </w:tcPr>
          <w:p>
            <w:pPr>
              <w:spacing w:after="0"/>
              <w:rPr>
                <w:sz w:val="19"/>
                <w:szCs w:val="19"/>
                <w:color w:val="auto"/>
              </w:rPr>
            </w:pPr>
          </w:p>
        </w:tc>
        <w:tc>
          <w:tcPr>
            <w:tcW w:w="320" w:type="dxa"/>
            <w:vAlign w:val="bottom"/>
            <w:tcBorders>
              <w:top w:val="single" w:sz="8" w:color="auto"/>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(67,883)</w:t>
            </w:r>
          </w:p>
        </w:tc>
        <w:tc>
          <w:tcPr>
            <w:tcW w:w="16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340" w:type="dxa"/>
            <w:vAlign w:val="bottom"/>
            <w:tcBorders>
              <w:top w:val="single" w:sz="8" w:color="auto"/>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(63,274)</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28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20" w:type="dxa"/>
            <w:vAlign w:val="bottom"/>
            <w:shd w:val="clear" w:color="auto" w:fill="E0E0E0"/>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(67,883)</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(63,344)</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Net loss attributable to non-controlling interest</w:t>
            </w:r>
          </w:p>
        </w:tc>
        <w:tc>
          <w:tcPr>
            <w:tcW w:w="280" w:type="dxa"/>
            <w:vAlign w:val="bottom"/>
            <w:tcBorders>
              <w:bottom w:val="single" w:sz="8" w:color="E0E0E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(33,913)</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(32,756)</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Net loss attributable to Rani Therapeutics Holdings, Inc.</w:t>
            </w:r>
          </w:p>
        </w:tc>
        <w:tc>
          <w:tcPr>
            <w:tcW w:w="280" w:type="dxa"/>
            <w:vAlign w:val="bottom"/>
            <w:shd w:val="clear" w:color="auto" w:fill="E0E0E0"/>
          </w:tcPr>
          <w:p>
            <w:pPr>
              <w:spacing w:after="0"/>
              <w:rPr>
                <w:sz w:val="19"/>
                <w:szCs w:val="19"/>
                <w:color w:val="auto"/>
              </w:rPr>
            </w:pPr>
          </w:p>
        </w:tc>
        <w:tc>
          <w:tcPr>
            <w:tcW w:w="20" w:type="dxa"/>
            <w:vAlign w:val="bottom"/>
            <w:tcBorders>
              <w:bottom w:val="single" w:sz="8" w:color="auto"/>
            </w:tcBorders>
            <w:shd w:val="clear" w:color="auto" w:fill="E0E0E0"/>
          </w:tcPr>
          <w:p>
            <w:pPr>
              <w:spacing w:after="0"/>
              <w:rPr>
                <w:sz w:val="19"/>
                <w:szCs w:val="19"/>
                <w:color w:val="auto"/>
              </w:rPr>
            </w:pPr>
          </w:p>
        </w:tc>
        <w:tc>
          <w:tcPr>
            <w:tcW w:w="320" w:type="dxa"/>
            <w:vAlign w:val="bottom"/>
            <w:tcBorders>
              <w:bottom w:val="single" w:sz="8" w:color="auto"/>
            </w:tcBorders>
            <w:shd w:val="clear" w:color="auto" w:fill="E0E0E0"/>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(33,970)</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(30,588)</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Net loss per Class A common share attributable to Rani Therapeutics Holdings, Inc.,</w:t>
            </w: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7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basic and diluted</w:t>
            </w:r>
          </w:p>
        </w:tc>
        <w:tc>
          <w:tcPr>
            <w:tcW w:w="620" w:type="dxa"/>
            <w:vAlign w:val="bottom"/>
            <w:gridSpan w:val="3"/>
          </w:tcPr>
          <w:p>
            <w:pPr>
              <w:jc w:val="right"/>
              <w:ind w:right="155"/>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15"/>
        </w:trPr>
        <w:tc>
          <w:tcPr>
            <w:tcW w:w="714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Weighted-average Class A common shares outstanding—basic and diluted</w:t>
            </w:r>
          </w:p>
        </w:tc>
        <w:tc>
          <w:tcPr>
            <w:tcW w:w="2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bottom w:val="single" w:sz="8" w:color="auto"/>
            </w:tcBorders>
            <w:shd w:val="clear" w:color="auto" w:fill="E0E0E0"/>
          </w:tcPr>
          <w:p>
            <w:pPr>
              <w:spacing w:after="0"/>
              <w:rPr>
                <w:sz w:val="18"/>
                <w:szCs w:val="18"/>
                <w:color w:val="auto"/>
              </w:rPr>
            </w:pPr>
          </w:p>
        </w:tc>
        <w:tc>
          <w:tcPr>
            <w:tcW w:w="320" w:type="dxa"/>
            <w:vAlign w:val="bottom"/>
            <w:tcBorders>
              <w:top w:val="single" w:sz="8" w:color="auto"/>
              <w:bottom w:val="single" w:sz="8" w:color="auto"/>
            </w:tcBorders>
            <w:shd w:val="clear" w:color="auto" w:fill="E0E0E0"/>
          </w:tcPr>
          <w:p>
            <w:pPr>
              <w:spacing w:after="0"/>
              <w:rPr>
                <w:sz w:val="18"/>
                <w:szCs w:val="18"/>
                <w:color w:val="auto"/>
              </w:rPr>
            </w:pPr>
          </w:p>
        </w:tc>
        <w:tc>
          <w:tcPr>
            <w:tcW w:w="116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25,505</w:t>
            </w:r>
          </w:p>
        </w:tc>
        <w:tc>
          <w:tcPr>
            <w:tcW w:w="16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auto"/>
              <w:bottom w:val="single" w:sz="8" w:color="auto"/>
            </w:tcBorders>
            <w:shd w:val="clear" w:color="auto" w:fill="E0E0E0"/>
          </w:tcPr>
          <w:p>
            <w:pPr>
              <w:spacing w:after="0"/>
              <w:rPr>
                <w:sz w:val="18"/>
                <w:szCs w:val="18"/>
                <w:color w:val="auto"/>
              </w:rPr>
            </w:pPr>
          </w:p>
        </w:tc>
        <w:tc>
          <w:tcPr>
            <w:tcW w:w="116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23,817</w:t>
            </w:r>
          </w:p>
        </w:tc>
        <w:tc>
          <w:tcPr>
            <w:tcW w:w="10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800"/>
          </w:cols>
          <w:pgMar w:left="720" w:top="926" w:right="720" w:bottom="0" w:gutter="0" w:footer="0" w:header="0"/>
          <w:type w:val="continuous"/>
        </w:sectPr>
      </w:pPr>
    </w:p>
    <w:bookmarkStart w:id="118" w:name="page119"/>
    <w:bookmarkEnd w:id="118"/>
    <w:p>
      <w:pPr>
        <w:jc w:val="center"/>
        <w:spacing w:after="0" w:line="270" w:lineRule="auto"/>
        <w:rPr>
          <w:sz w:val="20"/>
          <w:szCs w:val="20"/>
          <w:color w:val="auto"/>
        </w:rPr>
      </w:pPr>
      <w:r>
        <w:rPr>
          <w:rFonts w:ascii="Times New Roman" w:cs="Times New Roman" w:eastAsia="Times New Roman" w:hAnsi="Times New Roman"/>
          <w:sz w:val="20"/>
          <w:szCs w:val="20"/>
          <w:b w:val="1"/>
          <w:bCs w:val="1"/>
          <w:color w:val="auto"/>
        </w:rPr>
        <w:t>RANI THERAPEUTICS HOLDINGS, INC. CONSOLIDATED STATEMENTS OF COMPREHENSIVE LOSS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74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6"/>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E0E0E0"/>
            </w:tcBorders>
          </w:tcPr>
          <w:p>
            <w:pPr>
              <w:spacing w:after="0"/>
              <w:rPr>
                <w:sz w:val="15"/>
                <w:szCs w:val="15"/>
                <w:color w:val="auto"/>
              </w:rPr>
            </w:pPr>
          </w:p>
        </w:tc>
        <w:tc>
          <w:tcPr>
            <w:tcW w:w="120" w:type="dxa"/>
            <w:vAlign w:val="bottom"/>
            <w:tcBorders>
              <w:top w:val="single" w:sz="8" w:color="auto"/>
              <w:bottom w:val="single" w:sz="8" w:color="E0E0E0"/>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74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(67,883)</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(63,344)</w:t>
            </w:r>
          </w:p>
        </w:tc>
        <w:tc>
          <w:tcPr>
            <w:tcW w:w="100" w:type="dxa"/>
            <w:vAlign w:val="bottom"/>
            <w:shd w:val="clear" w:color="auto" w:fill="E0E0E0"/>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Net unrealized gain (loss) on marketable securities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(149)</w:t>
            </w:r>
          </w:p>
        </w:tc>
      </w:tr>
      <w:tr>
        <w:trPr>
          <w:trHeight w:val="260"/>
        </w:trPr>
        <w:tc>
          <w:tcPr>
            <w:tcW w:w="7420" w:type="dxa"/>
            <w:vAlign w:val="bottom"/>
            <w:tcBorders>
              <w:bottom w:val="single" w:sz="8" w:color="E0E0E0"/>
            </w:tcBorders>
          </w:tcPr>
          <w:p>
            <w:pPr>
              <w:spacing w:after="0" w:line="220" w:lineRule="exact"/>
              <w:rPr>
                <w:sz w:val="20"/>
                <w:szCs w:val="20"/>
                <w:color w:val="auto"/>
              </w:rPr>
            </w:pPr>
            <w:r>
              <w:rPr>
                <w:rFonts w:ascii="Times New Roman" w:cs="Times New Roman" w:eastAsia="Times New Roman" w:hAnsi="Times New Roman"/>
                <w:sz w:val="20"/>
                <w:szCs w:val="20"/>
                <w:color w:val="auto"/>
              </w:rPr>
              <w:t>Comprehensive loss</w:t>
            </w:r>
          </w:p>
        </w:tc>
        <w:tc>
          <w:tcPr>
            <w:tcW w:w="20" w:type="dxa"/>
            <w:vAlign w:val="bottom"/>
            <w:tcBorders>
              <w:bottom w:val="single" w:sz="8" w:color="E0E0E0"/>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(67,762)</w:t>
            </w:r>
          </w:p>
        </w:tc>
        <w:tc>
          <w:tcPr>
            <w:tcW w:w="160" w:type="dxa"/>
            <w:vAlign w:val="bottom"/>
            <w:tcBorders>
              <w:bottom w:val="single" w:sz="8" w:color="E0E0E0"/>
            </w:tcBorders>
          </w:tcPr>
          <w:p>
            <w:pPr>
              <w:spacing w:after="0"/>
              <w:rPr>
                <w:sz w:val="22"/>
                <w:szCs w:val="22"/>
                <w:color w:val="auto"/>
              </w:rPr>
            </w:pPr>
          </w:p>
        </w:tc>
        <w:tc>
          <w:tcPr>
            <w:tcW w:w="120" w:type="dxa"/>
            <w:vAlign w:val="bottom"/>
            <w:tcBorders>
              <w:bottom w:val="single" w:sz="8" w:color="E0E0E0"/>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(63,493)</w:t>
            </w:r>
          </w:p>
        </w:tc>
        <w:tc>
          <w:tcPr>
            <w:tcW w:w="100" w:type="dxa"/>
            <w:vAlign w:val="bottom"/>
            <w:tcBorders>
              <w:bottom w:val="single" w:sz="8" w:color="E0E0E0"/>
            </w:tcBorders>
          </w:tcPr>
          <w:p>
            <w:pPr>
              <w:spacing w:after="0"/>
              <w:rPr>
                <w:sz w:val="22"/>
                <w:szCs w:val="22"/>
                <w:color w:val="auto"/>
              </w:rPr>
            </w:pPr>
          </w:p>
        </w:tc>
      </w:tr>
      <w:tr>
        <w:trPr>
          <w:trHeight w:val="215"/>
        </w:trPr>
        <w:tc>
          <w:tcPr>
            <w:tcW w:w="7420" w:type="dxa"/>
            <w:vAlign w:val="bottom"/>
            <w:shd w:val="clear" w:color="auto" w:fill="E0E0E0"/>
          </w:tcPr>
          <w:p>
            <w:pPr>
              <w:ind w:left="100"/>
              <w:spacing w:after="0" w:line="215" w:lineRule="exact"/>
              <w:rPr>
                <w:sz w:val="20"/>
                <w:szCs w:val="20"/>
                <w:color w:val="auto"/>
              </w:rPr>
            </w:pPr>
            <w:r>
              <w:rPr>
                <w:rFonts w:ascii="Times New Roman" w:cs="Times New Roman" w:eastAsia="Times New Roman" w:hAnsi="Times New Roman"/>
                <w:sz w:val="20"/>
                <w:szCs w:val="20"/>
                <w:color w:val="auto"/>
              </w:rPr>
              <w:t>Comprehensive loss attributable to non-controlling interest</w:t>
            </w:r>
          </w:p>
        </w:tc>
        <w:tc>
          <w:tcPr>
            <w:tcW w:w="20" w:type="dxa"/>
            <w:vAlign w:val="bottom"/>
            <w:shd w:val="clear" w:color="auto" w:fill="E0E0E0"/>
          </w:tcPr>
          <w:p>
            <w:pPr>
              <w:spacing w:after="0"/>
              <w:rPr>
                <w:sz w:val="18"/>
                <w:szCs w:val="18"/>
                <w:color w:val="auto"/>
              </w:rPr>
            </w:pPr>
          </w:p>
        </w:tc>
        <w:tc>
          <w:tcPr>
            <w:tcW w:w="20" w:type="dxa"/>
            <w:vAlign w:val="bottom"/>
            <w:tcBorders>
              <w:bottom w:val="single" w:sz="8" w:color="auto"/>
            </w:tcBorders>
            <w:shd w:val="clear" w:color="auto" w:fill="E0E0E0"/>
          </w:tcPr>
          <w:p>
            <w:pPr>
              <w:spacing w:after="0"/>
              <w:rPr>
                <w:sz w:val="18"/>
                <w:szCs w:val="18"/>
                <w:color w:val="auto"/>
              </w:rPr>
            </w:pPr>
          </w:p>
        </w:tc>
        <w:tc>
          <w:tcPr>
            <w:tcW w:w="300" w:type="dxa"/>
            <w:vAlign w:val="bottom"/>
            <w:tcBorders>
              <w:bottom w:val="single" w:sz="8" w:color="auto"/>
            </w:tcBorders>
            <w:shd w:val="clear" w:color="auto" w:fill="E0E0E0"/>
          </w:tcPr>
          <w:p>
            <w:pPr>
              <w:spacing w:after="0"/>
              <w:rPr>
                <w:sz w:val="18"/>
                <w:szCs w:val="18"/>
                <w:color w:val="auto"/>
              </w:rPr>
            </w:pPr>
          </w:p>
        </w:tc>
        <w:tc>
          <w:tcPr>
            <w:tcW w:w="1160" w:type="dxa"/>
            <w:vAlign w:val="bottom"/>
            <w:tcBorders>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(33,852)</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340" w:type="dxa"/>
            <w:vAlign w:val="bottom"/>
            <w:tcBorders>
              <w:bottom w:val="single" w:sz="8" w:color="auto"/>
            </w:tcBorders>
            <w:shd w:val="clear" w:color="auto" w:fill="E0E0E0"/>
          </w:tcPr>
          <w:p>
            <w:pPr>
              <w:spacing w:after="0"/>
              <w:rPr>
                <w:sz w:val="18"/>
                <w:szCs w:val="18"/>
                <w:color w:val="auto"/>
              </w:rPr>
            </w:pPr>
          </w:p>
        </w:tc>
        <w:tc>
          <w:tcPr>
            <w:tcW w:w="1160" w:type="dxa"/>
            <w:vAlign w:val="bottom"/>
            <w:tcBorders>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(32,832)</w:t>
            </w:r>
          </w:p>
        </w:tc>
        <w:tc>
          <w:tcPr>
            <w:tcW w:w="100" w:type="dxa"/>
            <w:vAlign w:val="bottom"/>
            <w:shd w:val="clear" w:color="auto" w:fill="E0E0E0"/>
          </w:tcPr>
          <w:p>
            <w:pPr>
              <w:spacing w:after="0"/>
              <w:rPr>
                <w:sz w:val="18"/>
                <w:szCs w:val="18"/>
                <w:color w:val="auto"/>
              </w:rPr>
            </w:pPr>
          </w:p>
        </w:tc>
      </w:tr>
      <w:tr>
        <w:trPr>
          <w:trHeight w:val="220"/>
        </w:trPr>
        <w:tc>
          <w:tcPr>
            <w:tcW w:w="7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Comprehensive loss attributable to Rani Therapeutics Holdings, Inc.</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(33,910)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(30,661)</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800"/>
          </w:cols>
          <w:pgMar w:left="720" w:top="926" w:right="720" w:bottom="0"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118</w:t>
            </w:r>
          </w:p>
        </w:tc>
      </w:tr>
    </w:tbl>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RANI THERAPEUTICS HOLDINGS,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 EQUITY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7"/>
          </w:tcPr>
          <w:p>
            <w:pPr>
              <w:ind w:left="40"/>
              <w:spacing w:after="0"/>
              <w:rPr>
                <w:sz w:val="20"/>
                <w:szCs w:val="20"/>
                <w:color w:val="auto"/>
              </w:rPr>
            </w:pPr>
            <w:r>
              <w:rPr>
                <w:rFonts w:ascii="Times New Roman" w:cs="Times New Roman" w:eastAsia="Times New Roman" w:hAnsi="Times New Roman"/>
                <w:sz w:val="17"/>
                <w:szCs w:val="17"/>
                <w:b w:val="1"/>
                <w:bCs w:val="1"/>
                <w:color w:val="auto"/>
              </w:rPr>
              <w:t>Class A Common Stock</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gridSpan w:val="8"/>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Class B Common Stock</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Paid In</w:t>
            </w:r>
          </w:p>
        </w:tc>
        <w:tc>
          <w:tcPr>
            <w:tcW w:w="13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Controlling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2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20" w:type="dxa"/>
            <w:vAlign w:val="bottom"/>
          </w:tcPr>
          <w:p>
            <w:pPr>
              <w:spacing w:after="0"/>
              <w:rPr>
                <w:sz w:val="20"/>
                <w:szCs w:val="20"/>
                <w:color w:val="auto"/>
              </w:rPr>
            </w:pPr>
          </w:p>
        </w:tc>
        <w:tc>
          <w:tcPr>
            <w:tcW w:w="10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88"/>
        </w:trPr>
        <w:tc>
          <w:tcPr>
            <w:tcW w:w="3000" w:type="dxa"/>
            <w:vAlign w:val="bottom"/>
            <w:tcBorders>
              <w:top w:val="single" w:sz="8" w:color="E0E0E0"/>
            </w:tcBorders>
            <w:gridSpan w:val="2"/>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rPr>
              <w:t>Balance at December 31, 2021</w:t>
            </w:r>
          </w:p>
        </w:tc>
        <w:tc>
          <w:tcPr>
            <w:tcW w:w="980" w:type="dxa"/>
            <w:vAlign w:val="bottom"/>
            <w:tcBorders>
              <w:top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rPr>
              <w:t>19,712</w:t>
            </w:r>
          </w:p>
        </w:tc>
        <w:tc>
          <w:tcPr>
            <w:tcW w:w="16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240" w:type="dxa"/>
            <w:vAlign w:val="bottom"/>
            <w:tcBorders>
              <w:top w:val="single" w:sz="8" w:color="auto"/>
            </w:tcBorders>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top w:val="single" w:sz="8" w:color="auto"/>
            </w:tcBorders>
            <w:shd w:val="clear" w:color="auto" w:fill="E0E0E0"/>
          </w:tcPr>
          <w:p>
            <w:pPr>
              <w:spacing w:after="0"/>
              <w:rPr>
                <w:sz w:val="16"/>
                <w:szCs w:val="16"/>
                <w:color w:val="auto"/>
              </w:rPr>
            </w:pP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980" w:type="dxa"/>
            <w:vAlign w:val="bottom"/>
            <w:tcBorders>
              <w:top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rPr>
              <w:t>29,290</w:t>
            </w:r>
          </w:p>
        </w:tc>
        <w:tc>
          <w:tcPr>
            <w:tcW w:w="20" w:type="dxa"/>
            <w:vAlign w:val="bottom"/>
            <w:tcBorders>
              <w:top w:val="single" w:sz="8" w:color="auto"/>
            </w:tcBorders>
            <w:shd w:val="clear" w:color="auto" w:fill="E0E0E0"/>
          </w:tcPr>
          <w:p>
            <w:pPr>
              <w:spacing w:after="0"/>
              <w:rPr>
                <w:sz w:val="16"/>
                <w:szCs w:val="16"/>
                <w:color w:val="auto"/>
              </w:rPr>
            </w:pP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280" w:type="dxa"/>
            <w:vAlign w:val="bottom"/>
            <w:tcBorders>
              <w:top w:val="single" w:sz="8" w:color="auto"/>
            </w:tcBorders>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3</w:t>
            </w: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55,737</w:t>
            </w: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auto"/>
            </w:tcBorders>
            <w:shd w:val="clear" w:color="auto" w:fill="E0E0E0"/>
          </w:tcPr>
          <w:p>
            <w:pPr>
              <w:spacing w:after="0"/>
              <w:rPr>
                <w:sz w:val="16"/>
                <w:szCs w:val="16"/>
                <w:color w:val="auto"/>
              </w:rPr>
            </w:pPr>
          </w:p>
        </w:tc>
        <w:tc>
          <w:tcPr>
            <w:tcW w:w="160" w:type="dxa"/>
            <w:vAlign w:val="bottom"/>
            <w:tcBorders>
              <w:top w:val="single" w:sz="8" w:color="auto"/>
            </w:tcBorders>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(8,331)</w:t>
            </w: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auto"/>
            </w:tcBorders>
            <w:shd w:val="clear" w:color="auto" w:fill="E0E0E0"/>
          </w:tcPr>
          <w:p>
            <w:pPr>
              <w:spacing w:after="0"/>
              <w:rPr>
                <w:sz w:val="16"/>
                <w:szCs w:val="16"/>
                <w:color w:val="auto"/>
              </w:rPr>
            </w:pPr>
          </w:p>
        </w:tc>
        <w:tc>
          <w:tcPr>
            <w:tcW w:w="120" w:type="dxa"/>
            <w:vAlign w:val="bottom"/>
            <w:tcBorders>
              <w:top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74,156</w:t>
            </w: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auto"/>
            </w:tcBorders>
            <w:shd w:val="clear" w:color="auto" w:fill="E0E0E0"/>
          </w:tcPr>
          <w:p>
            <w:pPr>
              <w:spacing w:after="0"/>
              <w:rPr>
                <w:sz w:val="16"/>
                <w:szCs w:val="16"/>
                <w:color w:val="auto"/>
              </w:rPr>
            </w:pPr>
          </w:p>
        </w:tc>
        <w:tc>
          <w:tcPr>
            <w:tcW w:w="120" w:type="dxa"/>
            <w:vAlign w:val="bottom"/>
            <w:tcBorders>
              <w:top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rPr>
              <w:t>121,567</w:t>
            </w:r>
          </w:p>
        </w:tc>
        <w:tc>
          <w:tcPr>
            <w:tcW w:w="2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7"/>
                <w:szCs w:val="17"/>
                <w:color w:val="auto"/>
              </w:rPr>
              <w:t>Effect of exchanges of Paired Interests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non-corresponding Class A Units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15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(5,174)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Rani LLC</w:t>
            </w:r>
          </w:p>
        </w:tc>
        <w:tc>
          <w:tcPr>
            <w:tcW w:w="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000" w:type="dxa"/>
            <w:vAlign w:val="bottom"/>
            <w:gridSpan w:val="2"/>
            <w:shd w:val="clear" w:color="auto" w:fill="E0E0E0"/>
          </w:tcPr>
          <w:p>
            <w:pPr>
              <w:spacing w:after="0" w:line="164" w:lineRule="exact"/>
              <w:rPr>
                <w:sz w:val="20"/>
                <w:szCs w:val="20"/>
                <w:color w:val="auto"/>
              </w:rPr>
            </w:pPr>
            <w:r>
              <w:rPr>
                <w:rFonts w:ascii="Times New Roman" w:cs="Times New Roman" w:eastAsia="Times New Roman" w:hAnsi="Times New Roman"/>
                <w:sz w:val="17"/>
                <w:szCs w:val="17"/>
                <w:color w:val="auto"/>
              </w:rPr>
              <w:t>Non-controlling interest adjustment for</w:t>
            </w:r>
          </w:p>
        </w:tc>
        <w:tc>
          <w:tcPr>
            <w:tcW w:w="980" w:type="dxa"/>
            <w:vAlign w:val="bottom"/>
            <w:shd w:val="clear" w:color="auto" w:fill="E0E0E0"/>
          </w:tcPr>
          <w:p>
            <w:pPr>
              <w:spacing w:after="0"/>
              <w:rPr>
                <w:sz w:val="14"/>
                <w:szCs w:val="14"/>
                <w:color w:val="auto"/>
              </w:rPr>
            </w:pPr>
          </w:p>
        </w:tc>
        <w:tc>
          <w:tcPr>
            <w:tcW w:w="16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3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98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80" w:type="dxa"/>
            <w:vAlign w:val="bottom"/>
            <w:shd w:val="clear" w:color="auto" w:fill="E0E0E0"/>
          </w:tcPr>
          <w:p>
            <w:pPr>
              <w:spacing w:after="0"/>
              <w:rPr>
                <w:sz w:val="14"/>
                <w:szCs w:val="14"/>
                <w:color w:val="auto"/>
              </w:rPr>
            </w:pPr>
          </w:p>
        </w:tc>
        <w:tc>
          <w:tcPr>
            <w:tcW w:w="3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7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80" w:type="dxa"/>
            <w:vAlign w:val="bottom"/>
            <w:shd w:val="clear" w:color="auto" w:fill="E0E0E0"/>
          </w:tcPr>
          <w:p>
            <w:pPr>
              <w:spacing w:after="0"/>
              <w:rPr>
                <w:sz w:val="14"/>
                <w:szCs w:val="14"/>
                <w:color w:val="auto"/>
              </w:rPr>
            </w:pPr>
          </w:p>
        </w:tc>
        <w:tc>
          <w:tcPr>
            <w:tcW w:w="10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4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60" w:type="dxa"/>
            <w:vAlign w:val="bottom"/>
            <w:shd w:val="clear" w:color="auto" w:fill="E0E0E0"/>
          </w:tcPr>
          <w:p>
            <w:pPr>
              <w:spacing w:after="0"/>
              <w:rPr>
                <w:sz w:val="14"/>
                <w:szCs w:val="14"/>
                <w:color w:val="auto"/>
              </w:rPr>
            </w:pPr>
          </w:p>
        </w:tc>
        <w:tc>
          <w:tcPr>
            <w:tcW w:w="8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20" w:type="dxa"/>
            <w:vAlign w:val="bottom"/>
            <w:shd w:val="clear" w:color="auto" w:fill="E0E0E0"/>
          </w:tcPr>
          <w:p>
            <w:pPr>
              <w:spacing w:after="0"/>
              <w:rPr>
                <w:sz w:val="14"/>
                <w:szCs w:val="14"/>
                <w:color w:val="auto"/>
              </w:rPr>
            </w:pPr>
          </w:p>
        </w:tc>
        <w:tc>
          <w:tcPr>
            <w:tcW w:w="8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20" w:type="dxa"/>
            <w:vAlign w:val="bottom"/>
            <w:shd w:val="clear" w:color="auto" w:fill="E0E0E0"/>
          </w:tcPr>
          <w:p>
            <w:pPr>
              <w:spacing w:after="0"/>
              <w:rPr>
                <w:sz w:val="14"/>
                <w:szCs w:val="14"/>
                <w:color w:val="auto"/>
              </w:rPr>
            </w:pPr>
          </w:p>
        </w:tc>
        <w:tc>
          <w:tcPr>
            <w:tcW w:w="1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changes in proportionate ownership in</w:t>
            </w:r>
          </w:p>
        </w:tc>
        <w:tc>
          <w:tcPr>
            <w:tcW w:w="1140" w:type="dxa"/>
            <w:vAlign w:val="bottom"/>
            <w:gridSpan w:val="2"/>
            <w:vMerge w:val="restart"/>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38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60" w:type="dxa"/>
            <w:vAlign w:val="bottom"/>
            <w:gridSpan w:val="4"/>
            <w:vMerge w:val="restart"/>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7"/>
                <w:szCs w:val="17"/>
                <w:color w:val="auto"/>
              </w:rPr>
            </w:pPr>
          </w:p>
        </w:tc>
        <w:tc>
          <w:tcPr>
            <w:tcW w:w="620" w:type="dxa"/>
            <w:vAlign w:val="bottom"/>
            <w:gridSpan w:val="3"/>
            <w:vMerge w:val="restart"/>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0" w:type="dxa"/>
            <w:vAlign w:val="bottom"/>
            <w:gridSpan w:val="3"/>
            <w:vMerge w:val="restart"/>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12,377</w:t>
            </w: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220" w:type="dxa"/>
            <w:vAlign w:val="bottom"/>
            <w:gridSpan w:val="3"/>
            <w:vMerge w:val="restart"/>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4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060" w:type="dxa"/>
            <w:vAlign w:val="bottom"/>
            <w:gridSpan w:val="3"/>
            <w:vMerge w:val="restart"/>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(12,377)</w:t>
            </w: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360" w:type="dxa"/>
            <w:vAlign w:val="bottom"/>
            <w:gridSpan w:val="3"/>
            <w:vMerge w:val="restart"/>
            <w:shd w:val="clear" w:color="auto" w:fill="E0E0E0"/>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Rani LLC</w:t>
            </w:r>
          </w:p>
        </w:tc>
        <w:tc>
          <w:tcPr>
            <w:tcW w:w="1140" w:type="dxa"/>
            <w:vAlign w:val="bottom"/>
            <w:gridSpan w:val="2"/>
            <w:vMerge w:val="continue"/>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38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60" w:type="dxa"/>
            <w:vAlign w:val="bottom"/>
            <w:gridSpan w:val="4"/>
            <w:vMerge w:val="continue"/>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620" w:type="dxa"/>
            <w:vAlign w:val="bottom"/>
            <w:gridSpan w:val="3"/>
            <w:vMerge w:val="continue"/>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gridSpan w:val="3"/>
            <w:vMerge w:val="continue"/>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220" w:type="dxa"/>
            <w:vAlign w:val="bottom"/>
            <w:gridSpan w:val="3"/>
            <w:vMerge w:val="continue"/>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4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60" w:type="dxa"/>
            <w:vAlign w:val="bottom"/>
            <w:gridSpan w:val="3"/>
            <w:vMerge w:val="continue"/>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360" w:type="dxa"/>
            <w:vAlign w:val="bottom"/>
            <w:gridSpan w:val="3"/>
            <w:vMerge w:val="continue"/>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of warrants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503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000" w:type="dxa"/>
            <w:vAlign w:val="bottom"/>
            <w:gridSpan w:val="2"/>
            <w:shd w:val="clear" w:color="auto" w:fill="E0E0E0"/>
          </w:tcPr>
          <w:p>
            <w:pPr>
              <w:spacing w:after="0" w:line="161"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980" w:type="dxa"/>
            <w:vAlign w:val="bottom"/>
            <w:shd w:val="clear" w:color="auto" w:fill="E0E0E0"/>
          </w:tcPr>
          <w:p>
            <w:pPr>
              <w:spacing w:after="0"/>
              <w:rPr>
                <w:sz w:val="14"/>
                <w:szCs w:val="14"/>
                <w:color w:val="auto"/>
              </w:rPr>
            </w:pPr>
          </w:p>
        </w:tc>
        <w:tc>
          <w:tcPr>
            <w:tcW w:w="16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3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98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80" w:type="dxa"/>
            <w:vAlign w:val="bottom"/>
            <w:shd w:val="clear" w:color="auto" w:fill="E0E0E0"/>
          </w:tcPr>
          <w:p>
            <w:pPr>
              <w:spacing w:after="0"/>
              <w:rPr>
                <w:sz w:val="14"/>
                <w:szCs w:val="14"/>
                <w:color w:val="auto"/>
              </w:rPr>
            </w:pPr>
          </w:p>
        </w:tc>
        <w:tc>
          <w:tcPr>
            <w:tcW w:w="3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7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80" w:type="dxa"/>
            <w:vAlign w:val="bottom"/>
            <w:shd w:val="clear" w:color="auto" w:fill="E0E0E0"/>
          </w:tcPr>
          <w:p>
            <w:pPr>
              <w:spacing w:after="0"/>
              <w:rPr>
                <w:sz w:val="14"/>
                <w:szCs w:val="14"/>
                <w:color w:val="auto"/>
              </w:rPr>
            </w:pPr>
          </w:p>
        </w:tc>
        <w:tc>
          <w:tcPr>
            <w:tcW w:w="10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4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60" w:type="dxa"/>
            <w:vAlign w:val="bottom"/>
            <w:shd w:val="clear" w:color="auto" w:fill="E0E0E0"/>
          </w:tcPr>
          <w:p>
            <w:pPr>
              <w:spacing w:after="0"/>
              <w:rPr>
                <w:sz w:val="14"/>
                <w:szCs w:val="14"/>
                <w:color w:val="auto"/>
              </w:rPr>
            </w:pPr>
          </w:p>
        </w:tc>
        <w:tc>
          <w:tcPr>
            <w:tcW w:w="8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20" w:type="dxa"/>
            <w:vAlign w:val="bottom"/>
            <w:shd w:val="clear" w:color="auto" w:fill="E0E0E0"/>
          </w:tcPr>
          <w:p>
            <w:pPr>
              <w:spacing w:after="0"/>
              <w:rPr>
                <w:sz w:val="14"/>
                <w:szCs w:val="14"/>
                <w:color w:val="auto"/>
              </w:rPr>
            </w:pPr>
          </w:p>
        </w:tc>
        <w:tc>
          <w:tcPr>
            <w:tcW w:w="8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20" w:type="dxa"/>
            <w:vAlign w:val="bottom"/>
            <w:shd w:val="clear" w:color="auto" w:fill="E0E0E0"/>
          </w:tcPr>
          <w:p>
            <w:pPr>
              <w:spacing w:after="0"/>
              <w:rPr>
                <w:sz w:val="14"/>
                <w:szCs w:val="14"/>
                <w:color w:val="auto"/>
              </w:rPr>
            </w:pPr>
          </w:p>
        </w:tc>
        <w:tc>
          <w:tcPr>
            <w:tcW w:w="1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employee equity plans, net of shares</w:t>
            </w:r>
          </w:p>
        </w:tc>
        <w:tc>
          <w:tcPr>
            <w:tcW w:w="9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38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60" w:type="dxa"/>
            <w:vAlign w:val="bottom"/>
            <w:gridSpan w:val="4"/>
            <w:vMerge w:val="restart"/>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7"/>
                <w:szCs w:val="17"/>
                <w:color w:val="auto"/>
              </w:rPr>
            </w:pPr>
          </w:p>
        </w:tc>
        <w:tc>
          <w:tcPr>
            <w:tcW w:w="620" w:type="dxa"/>
            <w:vAlign w:val="bottom"/>
            <w:gridSpan w:val="3"/>
            <w:vMerge w:val="restart"/>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0" w:type="dxa"/>
            <w:vAlign w:val="bottom"/>
            <w:gridSpan w:val="3"/>
            <w:vMerge w:val="restart"/>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(626)</w:t>
            </w: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220" w:type="dxa"/>
            <w:vAlign w:val="bottom"/>
            <w:gridSpan w:val="3"/>
            <w:vMerge w:val="restart"/>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4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060" w:type="dxa"/>
            <w:vAlign w:val="bottom"/>
            <w:gridSpan w:val="3"/>
            <w:vMerge w:val="restart"/>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360" w:type="dxa"/>
            <w:vAlign w:val="bottom"/>
            <w:gridSpan w:val="3"/>
            <w:vMerge w:val="restart"/>
            <w:shd w:val="clear" w:color="auto" w:fill="E0E0E0"/>
          </w:tcPr>
          <w:p>
            <w:pPr>
              <w:jc w:val="right"/>
              <w:ind w:right="60"/>
              <w:spacing w:after="0"/>
              <w:rPr>
                <w:sz w:val="20"/>
                <w:szCs w:val="20"/>
                <w:color w:val="auto"/>
              </w:rPr>
            </w:pPr>
            <w:r>
              <w:rPr>
                <w:rFonts w:ascii="Times New Roman" w:cs="Times New Roman" w:eastAsia="Times New Roman" w:hAnsi="Times New Roman"/>
                <w:sz w:val="17"/>
                <w:szCs w:val="17"/>
                <w:color w:val="auto"/>
              </w:rPr>
              <w:t>(626)</w:t>
            </w:r>
          </w:p>
        </w:tc>
        <w:tc>
          <w:tcPr>
            <w:tcW w:w="0" w:type="dxa"/>
            <w:vAlign w:val="bottom"/>
          </w:tcPr>
          <w:p>
            <w:pPr>
              <w:spacing w:after="0"/>
              <w:rPr>
                <w:sz w:val="1"/>
                <w:szCs w:val="1"/>
                <w:color w:val="auto"/>
              </w:rPr>
            </w:pPr>
          </w:p>
        </w:tc>
      </w:tr>
      <w:tr>
        <w:trPr>
          <w:trHeight w:val="236"/>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withheld for tax settlement</w:t>
            </w:r>
          </w:p>
        </w:tc>
        <w:tc>
          <w:tcPr>
            <w:tcW w:w="980" w:type="dxa"/>
            <w:vAlign w:val="bottom"/>
            <w:vMerge w:val="continue"/>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38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60" w:type="dxa"/>
            <w:vAlign w:val="bottom"/>
            <w:gridSpan w:val="4"/>
            <w:vMerge w:val="continue"/>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620" w:type="dxa"/>
            <w:vAlign w:val="bottom"/>
            <w:gridSpan w:val="3"/>
            <w:vMerge w:val="continue"/>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gridSpan w:val="3"/>
            <w:vMerge w:val="continue"/>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220" w:type="dxa"/>
            <w:vAlign w:val="bottom"/>
            <w:gridSpan w:val="3"/>
            <w:vMerge w:val="continue"/>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4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60" w:type="dxa"/>
            <w:vAlign w:val="bottom"/>
            <w:gridSpan w:val="3"/>
            <w:vMerge w:val="continue"/>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360" w:type="dxa"/>
            <w:vAlign w:val="bottom"/>
            <w:gridSpan w:val="3"/>
            <w:vMerge w:val="continue"/>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4"/>
                <w:szCs w:val="14"/>
                <w:color w:val="auto"/>
              </w:rPr>
            </w:pPr>
          </w:p>
        </w:tc>
        <w:tc>
          <w:tcPr>
            <w:tcW w:w="6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10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Issuance of common stock</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6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7"/>
                <w:szCs w:val="17"/>
                <w:color w:val="auto"/>
              </w:rPr>
            </w:pPr>
          </w:p>
        </w:tc>
        <w:tc>
          <w:tcPr>
            <w:tcW w:w="62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2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0E0E0"/>
          </w:tcPr>
          <w:p>
            <w:pPr>
              <w:spacing w:after="0"/>
              <w:rPr>
                <w:sz w:val="17"/>
                <w:szCs w:val="17"/>
                <w:color w:val="auto"/>
              </w:rPr>
            </w:pP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06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36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Forfeiture of restricted stock awards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Equity-based compensation</w:t>
            </w:r>
          </w:p>
        </w:tc>
        <w:tc>
          <w:tcPr>
            <w:tcW w:w="114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6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7"/>
                <w:szCs w:val="17"/>
                <w:color w:val="auto"/>
              </w:rPr>
            </w:pPr>
          </w:p>
        </w:tc>
        <w:tc>
          <w:tcPr>
            <w:tcW w:w="62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7,587</w:t>
            </w: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8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8,208</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15,795</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(30,588)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(32,756)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(63,344)</w:t>
            </w:r>
          </w:p>
        </w:tc>
        <w:tc>
          <w:tcPr>
            <w:tcW w:w="0" w:type="dxa"/>
            <w:vAlign w:val="bottom"/>
          </w:tcPr>
          <w:p>
            <w:pPr>
              <w:spacing w:after="0"/>
              <w:rPr>
                <w:sz w:val="1"/>
                <w:szCs w:val="1"/>
                <w:color w:val="auto"/>
              </w:rPr>
            </w:pPr>
          </w:p>
        </w:tc>
      </w:tr>
      <w:tr>
        <w:trPr>
          <w:trHeight w:val="218"/>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114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6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8"/>
                <w:szCs w:val="18"/>
                <w:color w:val="auto"/>
              </w:rPr>
            </w:pPr>
          </w:p>
        </w:tc>
        <w:tc>
          <w:tcPr>
            <w:tcW w:w="62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2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0E0E0"/>
          </w:tcPr>
          <w:p>
            <w:pPr>
              <w:spacing w:after="0"/>
              <w:rPr>
                <w:sz w:val="18"/>
                <w:szCs w:val="18"/>
                <w:color w:val="auto"/>
              </w:rPr>
            </w:pPr>
          </w:p>
        </w:tc>
        <w:tc>
          <w:tcPr>
            <w:tcW w:w="122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060" w:type="dxa"/>
            <w:vAlign w:val="bottom"/>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360" w:type="dxa"/>
            <w:vAlign w:val="bottom"/>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08"/>
        </w:trPr>
        <w:tc>
          <w:tcPr>
            <w:tcW w:w="2980" w:type="dxa"/>
            <w:vAlign w:val="bottom"/>
            <w:tcBorders>
              <w:top w:val="single" w:sz="8" w:color="E0E0E0"/>
            </w:tcBorders>
          </w:tcPr>
          <w:p>
            <w:pPr>
              <w:spacing w:after="0" w:line="168" w:lineRule="exact"/>
              <w:rPr>
                <w:sz w:val="20"/>
                <w:szCs w:val="20"/>
                <w:color w:val="auto"/>
              </w:rPr>
            </w:pPr>
            <w:r>
              <w:rPr>
                <w:rFonts w:ascii="Times New Roman" w:cs="Times New Roman" w:eastAsia="Times New Roman" w:hAnsi="Times New Roman"/>
                <w:sz w:val="17"/>
                <w:szCs w:val="17"/>
                <w:color w:val="auto"/>
              </w:rPr>
              <w:t>Balance at December 31, 2022</w:t>
            </w: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rPr>
              <w:t>25,295</w:t>
            </w:r>
          </w:p>
        </w:tc>
        <w:tc>
          <w:tcPr>
            <w:tcW w:w="160" w:type="dxa"/>
            <w:vAlign w:val="bottom"/>
            <w:tcBorders>
              <w:top w:val="single" w:sz="8" w:color="E0E0E0"/>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26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top w:val="single" w:sz="8" w:color="E0E0E0"/>
            </w:tcBorders>
          </w:tcPr>
          <w:p>
            <w:pPr>
              <w:spacing w:after="0"/>
              <w:rPr>
                <w:sz w:val="18"/>
                <w:szCs w:val="18"/>
                <w:color w:val="auto"/>
              </w:rPr>
            </w:pPr>
          </w:p>
        </w:tc>
        <w:tc>
          <w:tcPr>
            <w:tcW w:w="240" w:type="dxa"/>
            <w:vAlign w:val="bottom"/>
            <w:tcBorders>
              <w:top w:val="single" w:sz="8" w:color="E0E0E0"/>
            </w:tcBorders>
          </w:tcPr>
          <w:p>
            <w:pPr>
              <w:spacing w:after="0"/>
              <w:rPr>
                <w:sz w:val="18"/>
                <w:szCs w:val="18"/>
                <w:color w:val="auto"/>
              </w:rPr>
            </w:pPr>
          </w:p>
        </w:tc>
        <w:tc>
          <w:tcPr>
            <w:tcW w:w="100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7"/>
                <w:szCs w:val="17"/>
                <w:color w:val="auto"/>
              </w:rPr>
              <w:t>24,116</w:t>
            </w:r>
          </w:p>
        </w:tc>
        <w:tc>
          <w:tcPr>
            <w:tcW w:w="20" w:type="dxa"/>
            <w:vAlign w:val="bottom"/>
            <w:tcBorders>
              <w:top w:val="single" w:sz="8" w:color="E0E0E0"/>
            </w:tcBorders>
          </w:tcPr>
          <w:p>
            <w:pPr>
              <w:spacing w:after="0"/>
              <w:rPr>
                <w:sz w:val="18"/>
                <w:szCs w:val="18"/>
                <w:color w:val="auto"/>
              </w:rPr>
            </w:pPr>
          </w:p>
        </w:tc>
        <w:tc>
          <w:tcPr>
            <w:tcW w:w="240" w:type="dxa"/>
            <w:vAlign w:val="bottom"/>
            <w:tcBorders>
              <w:top w:val="single" w:sz="8" w:color="E0E0E0"/>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rPr>
              <w:t>2</w:t>
            </w:r>
          </w:p>
        </w:tc>
        <w:tc>
          <w:tcPr>
            <w:tcW w:w="260" w:type="dxa"/>
            <w:vAlign w:val="bottom"/>
            <w:tcBorders>
              <w:top w:val="single" w:sz="8" w:color="E0E0E0"/>
            </w:tcBorders>
            <w:gridSpan w:val="2"/>
          </w:tcPr>
          <w:p>
            <w:pPr>
              <w:spacing w:after="0"/>
              <w:rPr>
                <w:sz w:val="18"/>
                <w:szCs w:val="18"/>
                <w:color w:val="auto"/>
              </w:rPr>
            </w:pPr>
          </w:p>
        </w:tc>
        <w:tc>
          <w:tcPr>
            <w:tcW w:w="12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rPr>
              <w:t>75,842</w:t>
            </w:r>
          </w:p>
        </w:tc>
        <w:tc>
          <w:tcPr>
            <w:tcW w:w="260" w:type="dxa"/>
            <w:vAlign w:val="bottom"/>
            <w:tcBorders>
              <w:top w:val="single" w:sz="8" w:color="E0E0E0"/>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rPr>
              <w:t>(73)</w:t>
            </w:r>
          </w:p>
        </w:tc>
        <w:tc>
          <w:tcPr>
            <w:tcW w:w="160" w:type="dxa"/>
            <w:vAlign w:val="bottom"/>
            <w:tcBorders>
              <w:top w:val="single" w:sz="8" w:color="E0E0E0"/>
            </w:tcBorders>
            <w:gridSpan w:val="2"/>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180" w:type="dxa"/>
            <w:vAlign w:val="bottom"/>
            <w:tcBorders>
              <w:top w:val="single" w:sz="8" w:color="auto"/>
            </w:tcBorders>
            <w:gridSpan w:val="2"/>
          </w:tcPr>
          <w:p>
            <w:pPr>
              <w:spacing w:after="0" w:line="168"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rPr>
              <w:t>(38,919)</w:t>
            </w:r>
          </w:p>
        </w:tc>
        <w:tc>
          <w:tcPr>
            <w:tcW w:w="20" w:type="dxa"/>
            <w:vAlign w:val="bottom"/>
            <w:tcBorders>
              <w:top w:val="single" w:sz="8" w:color="E0E0E0"/>
            </w:tcBorders>
          </w:tcPr>
          <w:p>
            <w:pPr>
              <w:spacing w:after="0"/>
              <w:rPr>
                <w:sz w:val="18"/>
                <w:szCs w:val="18"/>
                <w:color w:val="auto"/>
              </w:rPr>
            </w:pPr>
          </w:p>
        </w:tc>
        <w:tc>
          <w:tcPr>
            <w:tcW w:w="240" w:type="dxa"/>
            <w:vAlign w:val="bottom"/>
            <w:tcBorders>
              <w:top w:val="single" w:sz="8" w:color="E0E0E0"/>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rPr>
              <w:t>37,149</w:t>
            </w:r>
          </w:p>
        </w:tc>
        <w:tc>
          <w:tcPr>
            <w:tcW w:w="20" w:type="dxa"/>
            <w:vAlign w:val="bottom"/>
            <w:tcBorders>
              <w:top w:val="single" w:sz="8" w:color="E0E0E0"/>
            </w:tcBorders>
          </w:tcPr>
          <w:p>
            <w:pPr>
              <w:spacing w:after="0"/>
              <w:rPr>
                <w:sz w:val="18"/>
                <w:szCs w:val="18"/>
                <w:color w:val="auto"/>
              </w:rPr>
            </w:pPr>
          </w:p>
        </w:tc>
        <w:tc>
          <w:tcPr>
            <w:tcW w:w="240" w:type="dxa"/>
            <w:vAlign w:val="bottom"/>
            <w:tcBorders>
              <w:top w:val="single" w:sz="8" w:color="E0E0E0"/>
            </w:tcBorders>
          </w:tcPr>
          <w:p>
            <w:pPr>
              <w:spacing w:after="0"/>
              <w:rPr>
                <w:sz w:val="18"/>
                <w:szCs w:val="18"/>
                <w:color w:val="auto"/>
              </w:rPr>
            </w:pPr>
          </w:p>
        </w:tc>
        <w:tc>
          <w:tcPr>
            <w:tcW w:w="14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color w:val="auto"/>
              </w:rPr>
              <w:t>74,004</w:t>
            </w:r>
          </w:p>
        </w:tc>
        <w:tc>
          <w:tcPr>
            <w:tcW w:w="20" w:type="dxa"/>
            <w:vAlign w:val="bottom"/>
            <w:tcBorders>
              <w:top w:val="single" w:sz="8" w:color="E0E0E0"/>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000" w:type="dxa"/>
            <w:vAlign w:val="bottom"/>
            <w:tcBorders>
              <w:top w:val="single" w:sz="8" w:color="E0E0E0"/>
            </w:tcBorders>
            <w:gridSpan w:val="2"/>
            <w:shd w:val="clear" w:color="auto" w:fill="E0E0E0"/>
          </w:tcPr>
          <w:p>
            <w:pPr>
              <w:spacing w:after="0" w:line="145"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980" w:type="dxa"/>
            <w:vAlign w:val="bottom"/>
            <w:tcBorders>
              <w:top w:val="single" w:sz="8" w:color="auto"/>
            </w:tcBorders>
            <w:shd w:val="clear" w:color="auto" w:fill="E0E0E0"/>
          </w:tcPr>
          <w:p>
            <w:pPr>
              <w:spacing w:after="0"/>
              <w:rPr>
                <w:sz w:val="12"/>
                <w:szCs w:val="12"/>
                <w:color w:val="auto"/>
              </w:rPr>
            </w:pPr>
          </w:p>
        </w:tc>
        <w:tc>
          <w:tcPr>
            <w:tcW w:w="16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240" w:type="dxa"/>
            <w:vAlign w:val="bottom"/>
            <w:tcBorders>
              <w:top w:val="single" w:sz="8" w:color="auto"/>
            </w:tcBorders>
            <w:shd w:val="clear" w:color="auto" w:fill="E0E0E0"/>
          </w:tcPr>
          <w:p>
            <w:pPr>
              <w:spacing w:after="0"/>
              <w:rPr>
                <w:sz w:val="12"/>
                <w:szCs w:val="12"/>
                <w:color w:val="auto"/>
              </w:rPr>
            </w:pPr>
          </w:p>
        </w:tc>
        <w:tc>
          <w:tcPr>
            <w:tcW w:w="36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98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280" w:type="dxa"/>
            <w:vAlign w:val="bottom"/>
            <w:tcBorders>
              <w:top w:val="single" w:sz="8" w:color="auto"/>
            </w:tcBorders>
            <w:shd w:val="clear" w:color="auto" w:fill="E0E0E0"/>
          </w:tcPr>
          <w:p>
            <w:pPr>
              <w:spacing w:after="0"/>
              <w:rPr>
                <w:sz w:val="12"/>
                <w:szCs w:val="12"/>
                <w:color w:val="auto"/>
              </w:rPr>
            </w:pPr>
          </w:p>
        </w:tc>
        <w:tc>
          <w:tcPr>
            <w:tcW w:w="36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auto"/>
            </w:tcBorders>
            <w:shd w:val="clear" w:color="auto" w:fill="E0E0E0"/>
          </w:tcPr>
          <w:p>
            <w:pPr>
              <w:spacing w:after="0"/>
              <w:rPr>
                <w:sz w:val="12"/>
                <w:szCs w:val="12"/>
                <w:color w:val="auto"/>
              </w:rPr>
            </w:pPr>
          </w:p>
        </w:tc>
        <w:tc>
          <w:tcPr>
            <w:tcW w:w="74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106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60" w:type="dxa"/>
            <w:vAlign w:val="bottom"/>
            <w:tcBorders>
              <w:top w:val="single" w:sz="8" w:color="auto"/>
            </w:tcBorders>
            <w:shd w:val="clear" w:color="auto" w:fill="E0E0E0"/>
          </w:tcPr>
          <w:p>
            <w:pPr>
              <w:spacing w:after="0"/>
              <w:rPr>
                <w:sz w:val="12"/>
                <w:szCs w:val="12"/>
                <w:color w:val="auto"/>
              </w:rPr>
            </w:pPr>
          </w:p>
        </w:tc>
        <w:tc>
          <w:tcPr>
            <w:tcW w:w="82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80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124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employee equity plans, net of shares</w:t>
            </w:r>
          </w:p>
        </w:tc>
        <w:tc>
          <w:tcPr>
            <w:tcW w:w="9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38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38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76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(162)</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08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4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820" w:type="dxa"/>
            <w:vAlign w:val="bottom"/>
            <w:gridSpan w:val="2"/>
            <w:vMerge w:val="restart"/>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24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withheld for tax settlement</w:t>
            </w:r>
          </w:p>
        </w:tc>
        <w:tc>
          <w:tcPr>
            <w:tcW w:w="980" w:type="dxa"/>
            <w:vAlign w:val="bottom"/>
            <w:vMerge w:val="continue"/>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38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38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76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080" w:type="dxa"/>
            <w:vAlign w:val="bottom"/>
            <w:gridSpan w:val="2"/>
            <w:vMerge w:val="continue"/>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4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20" w:type="dxa"/>
            <w:vAlign w:val="bottom"/>
            <w:gridSpan w:val="2"/>
            <w:vMerge w:val="continue"/>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240" w:type="dxa"/>
            <w:vAlign w:val="bottom"/>
            <w:vMerge w:val="continue"/>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355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000" w:type="dxa"/>
            <w:vAlign w:val="bottom"/>
            <w:gridSpan w:val="2"/>
            <w:shd w:val="clear" w:color="auto" w:fill="E0E0E0"/>
          </w:tcPr>
          <w:p>
            <w:pPr>
              <w:spacing w:after="0" w:line="164" w:lineRule="exact"/>
              <w:rPr>
                <w:sz w:val="20"/>
                <w:szCs w:val="20"/>
                <w:color w:val="auto"/>
              </w:rPr>
            </w:pPr>
            <w:r>
              <w:rPr>
                <w:rFonts w:ascii="Times New Roman" w:cs="Times New Roman" w:eastAsia="Times New Roman" w:hAnsi="Times New Roman"/>
                <w:sz w:val="17"/>
                <w:szCs w:val="17"/>
                <w:color w:val="auto"/>
              </w:rPr>
              <w:t>Effect of exchanges of Paired Interests</w:t>
            </w:r>
          </w:p>
        </w:tc>
        <w:tc>
          <w:tcPr>
            <w:tcW w:w="980" w:type="dxa"/>
            <w:vAlign w:val="bottom"/>
            <w:shd w:val="clear" w:color="auto" w:fill="E0E0E0"/>
          </w:tcPr>
          <w:p>
            <w:pPr>
              <w:spacing w:after="0"/>
              <w:rPr>
                <w:sz w:val="14"/>
                <w:szCs w:val="14"/>
                <w:color w:val="auto"/>
              </w:rPr>
            </w:pPr>
          </w:p>
        </w:tc>
        <w:tc>
          <w:tcPr>
            <w:tcW w:w="16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3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98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80" w:type="dxa"/>
            <w:vAlign w:val="bottom"/>
            <w:shd w:val="clear" w:color="auto" w:fill="E0E0E0"/>
          </w:tcPr>
          <w:p>
            <w:pPr>
              <w:spacing w:after="0"/>
              <w:rPr>
                <w:sz w:val="14"/>
                <w:szCs w:val="14"/>
                <w:color w:val="auto"/>
              </w:rPr>
            </w:pPr>
          </w:p>
        </w:tc>
        <w:tc>
          <w:tcPr>
            <w:tcW w:w="3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7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80" w:type="dxa"/>
            <w:vAlign w:val="bottom"/>
            <w:shd w:val="clear" w:color="auto" w:fill="E0E0E0"/>
          </w:tcPr>
          <w:p>
            <w:pPr>
              <w:spacing w:after="0"/>
              <w:rPr>
                <w:sz w:val="14"/>
                <w:szCs w:val="14"/>
                <w:color w:val="auto"/>
              </w:rPr>
            </w:pPr>
          </w:p>
        </w:tc>
        <w:tc>
          <w:tcPr>
            <w:tcW w:w="106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4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60" w:type="dxa"/>
            <w:vAlign w:val="bottom"/>
            <w:shd w:val="clear" w:color="auto" w:fill="E0E0E0"/>
          </w:tcPr>
          <w:p>
            <w:pPr>
              <w:spacing w:after="0"/>
              <w:rPr>
                <w:sz w:val="14"/>
                <w:szCs w:val="14"/>
                <w:color w:val="auto"/>
              </w:rPr>
            </w:pPr>
          </w:p>
        </w:tc>
        <w:tc>
          <w:tcPr>
            <w:tcW w:w="82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20" w:type="dxa"/>
            <w:vAlign w:val="bottom"/>
            <w:shd w:val="clear" w:color="auto" w:fill="E0E0E0"/>
          </w:tcPr>
          <w:p>
            <w:pPr>
              <w:spacing w:after="0"/>
              <w:rPr>
                <w:sz w:val="14"/>
                <w:szCs w:val="14"/>
                <w:color w:val="auto"/>
              </w:rPr>
            </w:pPr>
          </w:p>
        </w:tc>
        <w:tc>
          <w:tcPr>
            <w:tcW w:w="80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20" w:type="dxa"/>
            <w:vAlign w:val="bottom"/>
            <w:shd w:val="clear" w:color="auto" w:fill="E0E0E0"/>
          </w:tcPr>
          <w:p>
            <w:pPr>
              <w:spacing w:after="0"/>
              <w:rPr>
                <w:sz w:val="14"/>
                <w:szCs w:val="14"/>
                <w:color w:val="auto"/>
              </w:rPr>
            </w:pPr>
          </w:p>
        </w:tc>
        <w:tc>
          <w:tcPr>
            <w:tcW w:w="1240" w:type="dxa"/>
            <w:vAlign w:val="bottom"/>
            <w:shd w:val="clear" w:color="auto" w:fill="E0E0E0"/>
          </w:tcPr>
          <w:p>
            <w:pPr>
              <w:spacing w:after="0"/>
              <w:rPr>
                <w:sz w:val="14"/>
                <w:szCs w:val="14"/>
                <w:color w:val="auto"/>
              </w:rPr>
            </w:pPr>
          </w:p>
        </w:tc>
        <w:tc>
          <w:tcPr>
            <w:tcW w:w="20" w:type="dxa"/>
            <w:vAlign w:val="bottom"/>
            <w:shd w:val="clear" w:color="auto" w:fill="E0E0E0"/>
          </w:tcPr>
          <w:p>
            <w:pPr>
              <w:spacing w:after="0"/>
              <w:rPr>
                <w:sz w:val="14"/>
                <w:szCs w:val="14"/>
                <w:color w:val="auto"/>
              </w:rPr>
            </w:pPr>
          </w:p>
        </w:tc>
        <w:tc>
          <w:tcPr>
            <w:tcW w:w="100" w:type="dxa"/>
            <w:vAlign w:val="bottom"/>
            <w:shd w:val="clear" w:color="auto" w:fill="E0E0E0"/>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and non-corresponding Class A Units of</w:t>
            </w:r>
          </w:p>
        </w:tc>
        <w:tc>
          <w:tcPr>
            <w:tcW w:w="98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3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3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7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0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2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8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Rani LLC</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6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20"/>
                <w:szCs w:val="20"/>
                <w:color w:val="auto"/>
              </w:rPr>
            </w:pPr>
          </w:p>
        </w:tc>
        <w:tc>
          <w:tcPr>
            <w:tcW w:w="62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0E0E0"/>
          </w:tcPr>
          <w:p>
            <w:pPr>
              <w:spacing w:after="0"/>
              <w:rPr>
                <w:sz w:val="20"/>
                <w:szCs w:val="20"/>
                <w:color w:val="auto"/>
              </w:rPr>
            </w:pP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6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36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7"/>
                <w:szCs w:val="17"/>
                <w:color w:val="auto"/>
              </w:rPr>
              <w:t>Non-controlling interest adjustment for</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changes in proportionate ownership in</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6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181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(181)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Rani LLC</w:t>
            </w: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Forfeiture of restricted stock awards</w:t>
            </w:r>
          </w:p>
        </w:tc>
        <w:tc>
          <w:tcPr>
            <w:tcW w:w="11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6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7"/>
                <w:szCs w:val="17"/>
                <w:color w:val="auto"/>
              </w:rPr>
            </w:pPr>
          </w:p>
        </w:tc>
        <w:tc>
          <w:tcPr>
            <w:tcW w:w="62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0" w:type="dxa"/>
            <w:vAlign w:val="bottom"/>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060" w:type="dxa"/>
            <w:vAlign w:val="bottom"/>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360" w:type="dxa"/>
            <w:vAlign w:val="bottom"/>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9,552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9,468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7"/>
                <w:szCs w:val="17"/>
                <w:color w:val="auto"/>
              </w:rPr>
              <w:t>Net loss</w:t>
            </w:r>
          </w:p>
        </w:tc>
        <w:tc>
          <w:tcPr>
            <w:tcW w:w="114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6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E0E0E0"/>
          </w:tcPr>
          <w:p>
            <w:pPr>
              <w:spacing w:after="0"/>
              <w:rPr>
                <w:sz w:val="17"/>
                <w:szCs w:val="17"/>
                <w:color w:val="auto"/>
              </w:rPr>
            </w:pPr>
          </w:p>
        </w:tc>
        <w:tc>
          <w:tcPr>
            <w:tcW w:w="62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2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0E0E0"/>
          </w:tcPr>
          <w:p>
            <w:pPr>
              <w:spacing w:after="0"/>
              <w:rPr>
                <w:sz w:val="17"/>
                <w:szCs w:val="17"/>
                <w:color w:val="auto"/>
              </w:rPr>
            </w:pPr>
          </w:p>
        </w:tc>
        <w:tc>
          <w:tcPr>
            <w:tcW w:w="122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7"/>
                <w:szCs w:val="17"/>
                <w:color w:val="auto"/>
              </w:rPr>
              <w:t>(33,970)</w:t>
            </w:r>
          </w:p>
        </w:tc>
        <w:tc>
          <w:tcPr>
            <w:tcW w:w="2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060" w:type="dxa"/>
            <w:vAlign w:val="bottom"/>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7"/>
                <w:szCs w:val="17"/>
                <w:color w:val="auto"/>
              </w:rPr>
              <w:t>(33,913)</w:t>
            </w: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360" w:type="dxa"/>
            <w:vAlign w:val="bottom"/>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17"/>
                <w:szCs w:val="17"/>
                <w:color w:val="auto"/>
              </w:rPr>
              <w:t>(67,883)</w:t>
            </w: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00" w:type="dxa"/>
            <w:vAlign w:val="bottom"/>
            <w:tcBorders>
              <w:top w:val="single" w:sz="8" w:color="E0E0E0"/>
            </w:tcBorders>
            <w:gridSpan w:val="2"/>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rPr>
              <w:t>Balance at December 31, 2023</w:t>
            </w:r>
          </w:p>
        </w:tc>
        <w:tc>
          <w:tcPr>
            <w:tcW w:w="980" w:type="dxa"/>
            <w:vAlign w:val="bottom"/>
            <w:tcBorders>
              <w:top w:val="single" w:sz="8" w:color="auto"/>
              <w:bottom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rPr>
              <w:t>26,036</w:t>
            </w:r>
          </w:p>
        </w:tc>
        <w:tc>
          <w:tcPr>
            <w:tcW w:w="16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240" w:type="dxa"/>
            <w:vAlign w:val="bottom"/>
            <w:tcBorders>
              <w:top w:val="single" w:sz="8" w:color="auto"/>
              <w:bottom w:val="single" w:sz="8" w:color="auto"/>
            </w:tcBorders>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top w:val="single" w:sz="8" w:color="auto"/>
              <w:bottom w:val="single" w:sz="8" w:color="auto"/>
            </w:tcBorders>
            <w:shd w:val="clear" w:color="auto" w:fill="E0E0E0"/>
          </w:tcPr>
          <w:p>
            <w:pPr>
              <w:spacing w:after="0"/>
              <w:rPr>
                <w:sz w:val="16"/>
                <w:szCs w:val="16"/>
                <w:color w:val="auto"/>
              </w:rPr>
            </w:pP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980" w:type="dxa"/>
            <w:vAlign w:val="bottom"/>
            <w:tcBorders>
              <w:top w:val="single" w:sz="8" w:color="auto"/>
              <w:bottom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rPr>
              <w:t>24,116</w:t>
            </w:r>
          </w:p>
        </w:tc>
        <w:tc>
          <w:tcPr>
            <w:tcW w:w="20" w:type="dxa"/>
            <w:vAlign w:val="bottom"/>
            <w:tcBorders>
              <w:top w:val="single" w:sz="8" w:color="auto"/>
              <w:bottom w:val="single" w:sz="8" w:color="auto"/>
            </w:tcBorders>
            <w:shd w:val="clear" w:color="auto" w:fill="E0E0E0"/>
          </w:tcPr>
          <w:p>
            <w:pPr>
              <w:spacing w:after="0"/>
              <w:rPr>
                <w:sz w:val="16"/>
                <w:szCs w:val="16"/>
                <w:color w:val="auto"/>
              </w:rPr>
            </w:pP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280" w:type="dxa"/>
            <w:vAlign w:val="bottom"/>
            <w:tcBorders>
              <w:top w:val="single" w:sz="8" w:color="auto"/>
              <w:bottom w:val="single" w:sz="8" w:color="auto"/>
            </w:tcBorders>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2</w:t>
            </w: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bottom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85,762</w:t>
            </w: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bottom w:val="single" w:sz="8" w:color="auto"/>
            </w:tcBorders>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(12)</w:t>
            </w:r>
          </w:p>
        </w:tc>
        <w:tc>
          <w:tcPr>
            <w:tcW w:w="14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auto"/>
              <w:bottom w:val="single" w:sz="8" w:color="auto"/>
            </w:tcBorders>
            <w:shd w:val="clear" w:color="auto" w:fill="E0E0E0"/>
          </w:tcPr>
          <w:p>
            <w:pPr>
              <w:spacing w:after="0"/>
              <w:rPr>
                <w:sz w:val="16"/>
                <w:szCs w:val="16"/>
                <w:color w:val="auto"/>
              </w:rPr>
            </w:pPr>
          </w:p>
        </w:tc>
        <w:tc>
          <w:tcPr>
            <w:tcW w:w="160" w:type="dxa"/>
            <w:vAlign w:val="bottom"/>
            <w:tcBorders>
              <w:top w:val="single" w:sz="8" w:color="auto"/>
              <w:bottom w:val="single" w:sz="8" w:color="auto"/>
            </w:tcBorders>
            <w:shd w:val="clear" w:color="auto" w:fill="E0E0E0"/>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(72,889)</w:t>
            </w: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auto"/>
              <w:bottom w:val="single" w:sz="8" w:color="auto"/>
            </w:tcBorders>
            <w:shd w:val="clear" w:color="auto" w:fill="E0E0E0"/>
          </w:tcPr>
          <w:p>
            <w:pPr>
              <w:spacing w:after="0"/>
              <w:rPr>
                <w:sz w:val="16"/>
                <w:szCs w:val="16"/>
                <w:color w:val="auto"/>
              </w:rPr>
            </w:pPr>
          </w:p>
        </w:tc>
        <w:tc>
          <w:tcPr>
            <w:tcW w:w="120" w:type="dxa"/>
            <w:vAlign w:val="bottom"/>
            <w:tcBorders>
              <w:top w:val="single" w:sz="8" w:color="auto"/>
              <w:bottom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E0E0E0"/>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12,577</w:t>
            </w:r>
          </w:p>
        </w:tc>
        <w:tc>
          <w:tcPr>
            <w:tcW w:w="240" w:type="dxa"/>
            <w:vAlign w:val="bottom"/>
            <w:tcBorders>
              <w:top w:val="single" w:sz="8" w:color="E0E0E0"/>
            </w:tcBorders>
            <w:shd w:val="clear" w:color="auto" w:fill="E0E0E0"/>
          </w:tcPr>
          <w:p>
            <w:pPr>
              <w:spacing w:after="0"/>
              <w:rPr>
                <w:sz w:val="16"/>
                <w:szCs w:val="16"/>
                <w:color w:val="auto"/>
              </w:rPr>
            </w:pPr>
          </w:p>
        </w:tc>
        <w:tc>
          <w:tcPr>
            <w:tcW w:w="20" w:type="dxa"/>
            <w:vAlign w:val="bottom"/>
            <w:tcBorders>
              <w:top w:val="single" w:sz="8" w:color="auto"/>
              <w:bottom w:val="single" w:sz="8" w:color="auto"/>
            </w:tcBorders>
            <w:shd w:val="clear" w:color="auto" w:fill="E0E0E0"/>
          </w:tcPr>
          <w:p>
            <w:pPr>
              <w:spacing w:after="0"/>
              <w:rPr>
                <w:sz w:val="16"/>
                <w:szCs w:val="16"/>
                <w:color w:val="auto"/>
              </w:rPr>
            </w:pPr>
          </w:p>
        </w:tc>
        <w:tc>
          <w:tcPr>
            <w:tcW w:w="120" w:type="dxa"/>
            <w:vAlign w:val="bottom"/>
            <w:tcBorders>
              <w:top w:val="single" w:sz="8" w:color="auto"/>
              <w:bottom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0E0E0"/>
          </w:tcPr>
          <w:p>
            <w:pPr>
              <w:jc w:val="right"/>
              <w:spacing w:after="0" w:line="188" w:lineRule="exact"/>
              <w:rPr>
                <w:sz w:val="20"/>
                <w:szCs w:val="20"/>
                <w:color w:val="auto"/>
              </w:rPr>
            </w:pPr>
            <w:r>
              <w:rPr>
                <w:rFonts w:ascii="Times New Roman" w:cs="Times New Roman" w:eastAsia="Times New Roman" w:hAnsi="Times New Roman"/>
                <w:sz w:val="17"/>
                <w:szCs w:val="17"/>
                <w:color w:val="auto"/>
              </w:rPr>
              <w:t>25,443</w:t>
            </w:r>
          </w:p>
        </w:tc>
        <w:tc>
          <w:tcPr>
            <w:tcW w:w="20" w:type="dxa"/>
            <w:vAlign w:val="bottom"/>
            <w:tcBorders>
              <w:top w:val="single" w:sz="8" w:color="auto"/>
              <w:bottom w:val="single" w:sz="8" w:color="auto"/>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5840" w:h="12240" w:orient="landscape"/>
          <w:cols w:equalWidth="0" w:num="2">
            <w:col w:w="230" w:space="331"/>
            <w:col w:w="13800"/>
          </w:cols>
          <w:pgMar w:left="519" w:top="1303" w:right="960" w:bottom="988" w:gutter="0" w:footer="0" w:header="0"/>
        </w:sectPr>
      </w:pPr>
    </w:p>
    <w:p>
      <w:pPr>
        <w:ind w:left="4121"/>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5840" w:h="12240" w:orient="landscape"/>
          <w:cols w:equalWidth="0" w:num="1">
            <w:col w:w="14361"/>
          </w:cols>
          <w:pgMar w:left="519" w:top="1303" w:right="960" w:bottom="988"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RANI THERAPEUTICS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80" w:type="dxa"/>
            <w:vAlign w:val="bottom"/>
            <w:gridSpan w:val="6"/>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20"/>
        </w:trPr>
        <w:tc>
          <w:tcPr>
            <w:tcW w:w="74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top w:val="single" w:sz="8" w:color="auto"/>
              <w:bottom w:val="single" w:sz="8" w:color="E0E0E0"/>
            </w:tcBorders>
          </w:tcPr>
          <w:p>
            <w:pPr>
              <w:spacing w:after="0"/>
              <w:rPr>
                <w:sz w:val="19"/>
                <w:szCs w:val="19"/>
                <w:color w:val="auto"/>
              </w:rPr>
            </w:pPr>
          </w:p>
        </w:tc>
        <w:tc>
          <w:tcPr>
            <w:tcW w:w="120" w:type="dxa"/>
            <w:vAlign w:val="bottom"/>
            <w:tcBorders>
              <w:top w:val="single" w:sz="8" w:color="auto"/>
              <w:bottom w:val="single" w:sz="8" w:color="E0E0E0"/>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6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4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822</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operating lease expense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Amortization of debt discount and issuance costs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accretion and amortization of investments in marketable 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(851)</w:t>
            </w: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3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(245)</w:t>
            </w: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2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4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3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(540)</w:t>
            </w: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(764)</w:t>
            </w:r>
          </w:p>
        </w:tc>
        <w:tc>
          <w:tcPr>
            <w:tcW w:w="0" w:type="dxa"/>
            <w:vAlign w:val="bottom"/>
          </w:tcPr>
          <w:p>
            <w:pPr>
              <w:spacing w:after="0"/>
              <w:rPr>
                <w:sz w:val="1"/>
                <w:szCs w:val="1"/>
                <w:color w:val="auto"/>
              </w:rPr>
            </w:pPr>
          </w:p>
        </w:tc>
      </w:tr>
      <w:tr>
        <w:trPr>
          <w:trHeight w:val="240"/>
        </w:trPr>
        <w:tc>
          <w:tcPr>
            <w:tcW w:w="7420" w:type="dxa"/>
            <w:vAlign w:val="bottom"/>
            <w:tcBorders>
              <w:top w:val="single" w:sz="8" w:color="E0E0E0"/>
              <w:bottom w:val="single" w:sz="8" w:color="E0E0E0"/>
            </w:tcBorders>
            <w:shd w:val="clear" w:color="auto" w:fill="E0E0E0"/>
          </w:tcPr>
          <w:p>
            <w:pPr>
              <w:ind w:left="600"/>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auto"/>
              <w:bottom w:val="single" w:sz="8" w:color="auto"/>
            </w:tcBorders>
            <w:shd w:val="clear" w:color="auto" w:fill="E0E0E0"/>
          </w:tcPr>
          <w:p>
            <w:pPr>
              <w:spacing w:after="0"/>
              <w:rPr>
                <w:sz w:val="20"/>
                <w:szCs w:val="20"/>
                <w:color w:val="auto"/>
              </w:rPr>
            </w:pPr>
          </w:p>
        </w:tc>
        <w:tc>
          <w:tcPr>
            <w:tcW w:w="260" w:type="dxa"/>
            <w:vAlign w:val="bottom"/>
            <w:tcBorders>
              <w:top w:val="single" w:sz="8" w:color="auto"/>
              <w:bottom w:val="single" w:sz="8" w:color="auto"/>
            </w:tcBorders>
            <w:shd w:val="clear" w:color="auto" w:fill="E0E0E0"/>
          </w:tcPr>
          <w:p>
            <w:pPr>
              <w:spacing w:after="0"/>
              <w:rPr>
                <w:sz w:val="20"/>
                <w:szCs w:val="20"/>
                <w:color w:val="auto"/>
              </w:rPr>
            </w:pPr>
          </w:p>
        </w:tc>
        <w:tc>
          <w:tcPr>
            <w:tcW w:w="120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(51,236)</w:t>
            </w:r>
          </w:p>
        </w:tc>
        <w:tc>
          <w:tcPr>
            <w:tcW w:w="16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E0E0E0"/>
              <w:bottom w:val="single" w:sz="8" w:color="E0E0E0"/>
            </w:tcBorders>
            <w:shd w:val="clear" w:color="auto" w:fill="E0E0E0"/>
          </w:tcPr>
          <w:p>
            <w:pPr>
              <w:spacing w:after="0"/>
              <w:rPr>
                <w:sz w:val="20"/>
                <w:szCs w:val="20"/>
                <w:color w:val="auto"/>
              </w:rPr>
            </w:pPr>
          </w:p>
        </w:tc>
        <w:tc>
          <w:tcPr>
            <w:tcW w:w="320" w:type="dxa"/>
            <w:vAlign w:val="bottom"/>
            <w:tcBorders>
              <w:top w:val="single" w:sz="8" w:color="auto"/>
              <w:bottom w:val="single" w:sz="8" w:color="auto"/>
            </w:tcBorders>
            <w:shd w:val="clear" w:color="auto" w:fill="E0E0E0"/>
          </w:tcPr>
          <w:p>
            <w:pPr>
              <w:spacing w:after="0"/>
              <w:rPr>
                <w:sz w:val="20"/>
                <w:szCs w:val="20"/>
                <w:color w:val="auto"/>
              </w:rPr>
            </w:pPr>
          </w:p>
        </w:tc>
        <w:tc>
          <w:tcPr>
            <w:tcW w:w="118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(46,515)</w:t>
            </w: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4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Proceeds from maturities of marketable securities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104,350</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marketable 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(73,261)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(73,817)</w:t>
            </w:r>
          </w:p>
        </w:tc>
        <w:tc>
          <w:tcPr>
            <w:tcW w:w="0" w:type="dxa"/>
            <w:vAlign w:val="bottom"/>
          </w:tcPr>
          <w:p>
            <w:pPr>
              <w:spacing w:after="0"/>
              <w:rPr>
                <w:sz w:val="1"/>
                <w:szCs w:val="1"/>
                <w:color w:val="auto"/>
              </w:rPr>
            </w:pPr>
          </w:p>
        </w:tc>
      </w:tr>
      <w:tr>
        <w:trPr>
          <w:trHeight w:val="250"/>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3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(1,229)</w:t>
            </w:r>
          </w:p>
        </w:tc>
        <w:tc>
          <w:tcPr>
            <w:tcW w:w="12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(1,619)</w:t>
            </w:r>
          </w:p>
        </w:tc>
        <w:tc>
          <w:tcPr>
            <w:tcW w:w="0" w:type="dxa"/>
            <w:vAlign w:val="bottom"/>
          </w:tcPr>
          <w:p>
            <w:pPr>
              <w:spacing w:after="0"/>
              <w:rPr>
                <w:sz w:val="1"/>
                <w:szCs w:val="1"/>
                <w:color w:val="auto"/>
              </w:rPr>
            </w:pPr>
          </w:p>
        </w:tc>
      </w:tr>
      <w:tr>
        <w:trPr>
          <w:trHeight w:val="200"/>
        </w:trPr>
        <w:tc>
          <w:tcPr>
            <w:tcW w:w="7420" w:type="dxa"/>
            <w:vAlign w:val="bottom"/>
            <w:tcBorders>
              <w:top w:val="single" w:sz="8" w:color="E0E0E0"/>
              <w:bottom w:val="single" w:sz="8" w:color="E0E0E0"/>
            </w:tcBorders>
          </w:tcPr>
          <w:p>
            <w:pPr>
              <w:ind w:left="600"/>
              <w:spacing w:after="0" w:line="200" w:lineRule="exact"/>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20" w:type="dxa"/>
            <w:vAlign w:val="bottom"/>
            <w:tcBorders>
              <w:top w:val="single" w:sz="8" w:color="E0E0E0"/>
              <w:bottom w:val="single" w:sz="8" w:color="E0E0E0"/>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29,860</w:t>
            </w:r>
          </w:p>
        </w:tc>
        <w:tc>
          <w:tcPr>
            <w:tcW w:w="160" w:type="dxa"/>
            <w:vAlign w:val="bottom"/>
            <w:tcBorders>
              <w:top w:val="single" w:sz="8" w:color="E0E0E0"/>
              <w:bottom w:val="single" w:sz="8" w:color="E0E0E0"/>
            </w:tcBorders>
          </w:tcPr>
          <w:p>
            <w:pPr>
              <w:spacing w:after="0"/>
              <w:rPr>
                <w:sz w:val="17"/>
                <w:szCs w:val="17"/>
                <w:color w:val="auto"/>
              </w:rPr>
            </w:pPr>
          </w:p>
        </w:tc>
        <w:tc>
          <w:tcPr>
            <w:tcW w:w="120" w:type="dxa"/>
            <w:vAlign w:val="bottom"/>
            <w:tcBorders>
              <w:top w:val="single" w:sz="8" w:color="E0E0E0"/>
              <w:bottom w:val="single" w:sz="8" w:color="E0E0E0"/>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(72,436)</w:t>
            </w:r>
          </w:p>
        </w:tc>
        <w:tc>
          <w:tcPr>
            <w:tcW w:w="100" w:type="dxa"/>
            <w:vAlign w:val="bottom"/>
            <w:tcBorders>
              <w:top w:val="single" w:sz="8" w:color="E0E0E0"/>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4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under employee stock purchase plan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Proceeds from employee stock purchase plan</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Tax withholdings paid on behalf of employees for net share settlement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(626)</w:t>
            </w: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Proceeds from the issuance of long-term debt and warrants, net of issuance costs</w:t>
            </w:r>
          </w:p>
        </w:tc>
        <w:tc>
          <w:tcPr>
            <w:tcW w:w="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3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29,574</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Payment of deferred financing costs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240"/>
        </w:trPr>
        <w:tc>
          <w:tcPr>
            <w:tcW w:w="7420" w:type="dxa"/>
            <w:vAlign w:val="bottom"/>
            <w:tcBorders>
              <w:top w:val="single" w:sz="8" w:color="E0E0E0"/>
              <w:bottom w:val="single" w:sz="8" w:color="E0E0E0"/>
            </w:tcBorders>
            <w:shd w:val="clear" w:color="auto" w:fill="E0E0E0"/>
          </w:tcPr>
          <w:p>
            <w:pPr>
              <w:ind w:left="600"/>
              <w:spacing w:after="0" w:line="220"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auto"/>
              <w:bottom w:val="single" w:sz="8" w:color="auto"/>
            </w:tcBorders>
            <w:shd w:val="clear" w:color="auto" w:fill="E0E0E0"/>
          </w:tcPr>
          <w:p>
            <w:pPr>
              <w:spacing w:after="0"/>
              <w:rPr>
                <w:sz w:val="20"/>
                <w:szCs w:val="20"/>
                <w:color w:val="auto"/>
              </w:rPr>
            </w:pPr>
          </w:p>
        </w:tc>
        <w:tc>
          <w:tcPr>
            <w:tcW w:w="260" w:type="dxa"/>
            <w:vAlign w:val="bottom"/>
            <w:tcBorders>
              <w:top w:val="single" w:sz="8" w:color="auto"/>
              <w:bottom w:val="single" w:sz="8" w:color="auto"/>
            </w:tcBorders>
            <w:shd w:val="clear" w:color="auto" w:fill="E0E0E0"/>
          </w:tcPr>
          <w:p>
            <w:pPr>
              <w:spacing w:after="0"/>
              <w:rPr>
                <w:sz w:val="20"/>
                <w:szCs w:val="20"/>
                <w:color w:val="auto"/>
              </w:rPr>
            </w:pPr>
          </w:p>
        </w:tc>
        <w:tc>
          <w:tcPr>
            <w:tcW w:w="120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233</w:t>
            </w:r>
          </w:p>
        </w:tc>
        <w:tc>
          <w:tcPr>
            <w:tcW w:w="16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E0E0E0"/>
              <w:bottom w:val="single" w:sz="8" w:color="E0E0E0"/>
            </w:tcBorders>
            <w:shd w:val="clear" w:color="auto" w:fill="E0E0E0"/>
          </w:tcPr>
          <w:p>
            <w:pPr>
              <w:spacing w:after="0"/>
              <w:rPr>
                <w:sz w:val="20"/>
                <w:szCs w:val="20"/>
                <w:color w:val="auto"/>
              </w:rPr>
            </w:pPr>
          </w:p>
        </w:tc>
        <w:tc>
          <w:tcPr>
            <w:tcW w:w="320" w:type="dxa"/>
            <w:vAlign w:val="bottom"/>
            <w:tcBorders>
              <w:top w:val="single" w:sz="8" w:color="auto"/>
              <w:bottom w:val="single" w:sz="8" w:color="auto"/>
            </w:tcBorders>
            <w:shd w:val="clear" w:color="auto" w:fill="E0E0E0"/>
          </w:tcPr>
          <w:p>
            <w:pPr>
              <w:spacing w:after="0"/>
              <w:rPr>
                <w:sz w:val="20"/>
                <w:szCs w:val="20"/>
                <w:color w:val="auto"/>
              </w:rPr>
            </w:pPr>
          </w:p>
        </w:tc>
        <w:tc>
          <w:tcPr>
            <w:tcW w:w="118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29,005</w:t>
            </w:r>
          </w:p>
        </w:tc>
        <w:tc>
          <w:tcPr>
            <w:tcW w:w="100" w:type="dxa"/>
            <w:vAlign w:val="bottom"/>
            <w:tcBorders>
              <w:top w:val="single" w:sz="8" w:color="E0E0E0"/>
              <w:bottom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420" w:type="dxa"/>
            <w:vAlign w:val="bottom"/>
          </w:tcPr>
          <w:p>
            <w:pPr>
              <w:ind w:left="600"/>
              <w:spacing w:after="0" w:line="200" w:lineRule="exact"/>
              <w:rPr>
                <w:sz w:val="20"/>
                <w:szCs w:val="20"/>
                <w:color w:val="auto"/>
              </w:rPr>
            </w:pPr>
            <w:r>
              <w:rPr>
                <w:rFonts w:ascii="Times New Roman" w:cs="Times New Roman" w:eastAsia="Times New Roman" w:hAnsi="Times New Roman"/>
                <w:sz w:val="20"/>
                <w:szCs w:val="20"/>
                <w:color w:val="auto"/>
              </w:rPr>
              <w:t>Net decrease in cash, cash equivalents and restricted cash equivalents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(21,143)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(89,946)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equivalents, beginning of period</w:t>
            </w:r>
          </w:p>
        </w:tc>
        <w:tc>
          <w:tcPr>
            <w:tcW w:w="2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27,507</w:t>
            </w:r>
          </w:p>
        </w:tc>
        <w:tc>
          <w:tcPr>
            <w:tcW w:w="16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E0E0E0"/>
            </w:tcBorders>
            <w:shd w:val="clear" w:color="auto" w:fill="E0E0E0"/>
          </w:tcPr>
          <w:p>
            <w:pPr>
              <w:spacing w:after="0"/>
              <w:rPr>
                <w:sz w:val="21"/>
                <w:szCs w:val="21"/>
                <w:color w:val="auto"/>
              </w:rPr>
            </w:pPr>
          </w:p>
        </w:tc>
        <w:tc>
          <w:tcPr>
            <w:tcW w:w="320" w:type="dxa"/>
            <w:vAlign w:val="bottom"/>
            <w:tcBorders>
              <w:bottom w:val="single" w:sz="8" w:color="auto"/>
            </w:tcBorders>
            <w:shd w:val="clear" w:color="auto" w:fill="E0E0E0"/>
          </w:tcPr>
          <w:p>
            <w:pPr>
              <w:spacing w:after="0"/>
              <w:rPr>
                <w:sz w:val="21"/>
                <w:szCs w:val="21"/>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117,453</w:t>
            </w:r>
          </w:p>
        </w:tc>
        <w:tc>
          <w:tcPr>
            <w:tcW w:w="100" w:type="dxa"/>
            <w:vAlign w:val="bottom"/>
            <w:tcBorders>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420" w:type="dxa"/>
            <w:vAlign w:val="bottom"/>
            <w:tcBorders>
              <w:bottom w:val="single" w:sz="8" w:color="E0E0E0"/>
            </w:tcBorders>
          </w:tcPr>
          <w:p>
            <w:pPr>
              <w:spacing w:after="0" w:line="200" w:lineRule="exact"/>
              <w:rPr>
                <w:sz w:val="20"/>
                <w:szCs w:val="20"/>
                <w:color w:val="auto"/>
              </w:rPr>
            </w:pPr>
            <w:r>
              <w:rPr>
                <w:rFonts w:ascii="Times New Roman" w:cs="Times New Roman" w:eastAsia="Times New Roman" w:hAnsi="Times New Roman"/>
                <w:sz w:val="20"/>
                <w:szCs w:val="20"/>
                <w:color w:val="auto"/>
              </w:rPr>
              <w:t>Cash, cash equivalents and restricted cash equivalents, end of period</w:t>
            </w:r>
          </w:p>
        </w:tc>
        <w:tc>
          <w:tcPr>
            <w:tcW w:w="2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6,364</w:t>
            </w:r>
          </w:p>
        </w:tc>
        <w:tc>
          <w:tcPr>
            <w:tcW w:w="160" w:type="dxa"/>
            <w:vAlign w:val="bottom"/>
            <w:tcBorders>
              <w:bottom w:val="single" w:sz="8" w:color="E0E0E0"/>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320" w:type="dxa"/>
            <w:vAlign w:val="bottom"/>
            <w:tcBorders>
              <w:bottom w:val="single" w:sz="8" w:color="auto"/>
            </w:tcBorders>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27,507</w:t>
            </w:r>
          </w:p>
        </w:tc>
        <w:tc>
          <w:tcPr>
            <w:tcW w:w="10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20" w:type="dxa"/>
            <w:vAlign w:val="bottom"/>
            <w:shd w:val="clear" w:color="auto" w:fill="E0E0E0"/>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tc>
        <w:tc>
          <w:tcPr>
            <w:tcW w:w="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12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11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40" w:type="dxa"/>
            <w:vAlign w:val="bottom"/>
            <w:gridSpan w:val="2"/>
          </w:tcPr>
          <w:p>
            <w:pPr>
              <w:spacing w:after="0"/>
              <w:rPr>
                <w:sz w:val="23"/>
                <w:szCs w:val="2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42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Cash paid for income taxes</w:t>
            </w:r>
          </w:p>
        </w:tc>
        <w:tc>
          <w:tcPr>
            <w:tcW w:w="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bottom w:val="single" w:sz="8" w:color="auto"/>
            </w:tcBorders>
            <w:shd w:val="clear" w:color="auto" w:fill="E0E0E0"/>
          </w:tcPr>
          <w:p>
            <w:pPr>
              <w:spacing w:after="0"/>
              <w:rPr>
                <w:sz w:val="18"/>
                <w:szCs w:val="18"/>
                <w:color w:val="auto"/>
              </w:rPr>
            </w:pPr>
          </w:p>
        </w:tc>
        <w:tc>
          <w:tcPr>
            <w:tcW w:w="260" w:type="dxa"/>
            <w:vAlign w:val="bottom"/>
            <w:tcBorders>
              <w:top w:val="single" w:sz="8" w:color="auto"/>
              <w:bottom w:val="single" w:sz="8" w:color="auto"/>
            </w:tcBorders>
            <w:shd w:val="clear" w:color="auto" w:fill="E0E0E0"/>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35</w:t>
            </w:r>
          </w:p>
        </w:tc>
        <w:tc>
          <w:tcPr>
            <w:tcW w:w="16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320" w:type="dxa"/>
            <w:vAlign w:val="bottom"/>
            <w:tcBorders>
              <w:top w:val="single" w:sz="8" w:color="auto"/>
              <w:bottom w:val="single" w:sz="8" w:color="auto"/>
            </w:tcBorders>
            <w:shd w:val="clear" w:color="auto" w:fill="E0E0E0"/>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48</w:t>
            </w:r>
          </w:p>
        </w:tc>
        <w:tc>
          <w:tcPr>
            <w:tcW w:w="10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investing and financing activities</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tc>
        <w:tc>
          <w:tcPr>
            <w:tcW w:w="300" w:type="dxa"/>
            <w:vAlign w:val="bottom"/>
            <w:gridSpan w:val="3"/>
            <w:shd w:val="clear" w:color="auto" w:fill="E0E0E0"/>
          </w:tcPr>
          <w:p>
            <w:pPr>
              <w:jc w:val="right"/>
              <w:ind w:right="145"/>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160" w:type="dxa"/>
            <w:vAlign w:val="bottom"/>
            <w:shd w:val="clear" w:color="auto" w:fill="E0E0E0"/>
          </w:tcPr>
          <w:p>
            <w:pPr>
              <w:spacing w:after="0"/>
              <w:rPr>
                <w:sz w:val="19"/>
                <w:szCs w:val="19"/>
                <w:color w:val="auto"/>
              </w:rPr>
            </w:pPr>
          </w:p>
        </w:tc>
        <w:tc>
          <w:tcPr>
            <w:tcW w:w="4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Exchanges of Paired Interests and non-corresponding Class A Units of Rani LLC</w:t>
            </w:r>
          </w:p>
        </w:tc>
        <w:tc>
          <w:tcPr>
            <w:tcW w:w="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420" w:type="dxa"/>
            <w:vAlign w:val="bottom"/>
            <w:tcBorders>
              <w:bottom w:val="single" w:sz="8" w:color="E0E0E0"/>
            </w:tcBorders>
            <w:vMerge w:val="continue"/>
          </w:tcPr>
          <w:p>
            <w:pPr>
              <w:spacing w:after="0"/>
              <w:rPr>
                <w:sz w:val="22"/>
                <w:szCs w:val="22"/>
                <w:color w:val="auto"/>
              </w:rPr>
            </w:pPr>
          </w:p>
        </w:tc>
        <w:tc>
          <w:tcPr>
            <w:tcW w:w="20" w:type="dxa"/>
            <w:vAlign w:val="bottom"/>
            <w:tcBorders>
              <w:bottom w:val="single" w:sz="8" w:color="E0E0E0"/>
            </w:tcBorders>
            <w:vMerge w:val="continue"/>
          </w:tcPr>
          <w:p>
            <w:pPr>
              <w:spacing w:after="0"/>
              <w:rPr>
                <w:sz w:val="22"/>
                <w:szCs w:val="22"/>
                <w:color w:val="auto"/>
              </w:rPr>
            </w:pPr>
          </w:p>
        </w:tc>
        <w:tc>
          <w:tcPr>
            <w:tcW w:w="280" w:type="dxa"/>
            <w:vAlign w:val="bottom"/>
            <w:tcBorders>
              <w:bottom w:val="single" w:sz="8" w:color="auto"/>
            </w:tcBorders>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169</w:t>
            </w:r>
          </w:p>
        </w:tc>
        <w:tc>
          <w:tcPr>
            <w:tcW w:w="160" w:type="dxa"/>
            <w:vAlign w:val="bottom"/>
            <w:tcBorders>
              <w:bottom w:val="single" w:sz="8" w:color="E0E0E0"/>
            </w:tcBorders>
          </w:tcPr>
          <w:p>
            <w:pPr>
              <w:spacing w:after="0"/>
              <w:rPr>
                <w:sz w:val="22"/>
                <w:szCs w:val="22"/>
                <w:color w:val="auto"/>
              </w:rPr>
            </w:pPr>
          </w:p>
        </w:tc>
        <w:tc>
          <w:tcPr>
            <w:tcW w:w="120" w:type="dxa"/>
            <w:vAlign w:val="bottom"/>
            <w:tcBorders>
              <w:bottom w:val="single" w:sz="8" w:color="E0E0E0"/>
            </w:tcBorders>
            <w:vMerge w:val="continue"/>
          </w:tcPr>
          <w:p>
            <w:pPr>
              <w:spacing w:after="0"/>
              <w:rPr>
                <w:sz w:val="22"/>
                <w:szCs w:val="22"/>
                <w:color w:val="auto"/>
              </w:rPr>
            </w:pPr>
          </w:p>
        </w:tc>
        <w:tc>
          <w:tcPr>
            <w:tcW w:w="320" w:type="dxa"/>
            <w:vAlign w:val="bottom"/>
            <w:tcBorders>
              <w:bottom w:val="single" w:sz="8" w:color="auto"/>
            </w:tcBorders>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78,487</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420" w:type="dxa"/>
            <w:vAlign w:val="bottom"/>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Interest income receivable included in prepaid expenses</w:t>
            </w:r>
          </w:p>
        </w:tc>
        <w:tc>
          <w:tcPr>
            <w:tcW w:w="20" w:type="dxa"/>
            <w:vAlign w:val="bottom"/>
            <w:shd w:val="clear" w:color="auto" w:fill="E0E0E0"/>
          </w:tcPr>
          <w:p>
            <w:pPr>
              <w:spacing w:after="0"/>
              <w:rPr>
                <w:sz w:val="18"/>
                <w:szCs w:val="18"/>
                <w:color w:val="auto"/>
              </w:rPr>
            </w:pPr>
          </w:p>
        </w:tc>
        <w:tc>
          <w:tcPr>
            <w:tcW w:w="20" w:type="dxa"/>
            <w:vAlign w:val="bottom"/>
            <w:tcBorders>
              <w:bottom w:val="single" w:sz="8" w:color="auto"/>
            </w:tcBorders>
            <w:shd w:val="clear" w:color="auto" w:fill="E0E0E0"/>
          </w:tcPr>
          <w:p>
            <w:pPr>
              <w:spacing w:after="0"/>
              <w:rPr>
                <w:sz w:val="18"/>
                <w:szCs w:val="18"/>
                <w:color w:val="auto"/>
              </w:rPr>
            </w:pPr>
          </w:p>
        </w:tc>
        <w:tc>
          <w:tcPr>
            <w:tcW w:w="260" w:type="dxa"/>
            <w:vAlign w:val="bottom"/>
            <w:tcBorders>
              <w:bottom w:val="single" w:sz="8" w:color="auto"/>
            </w:tcBorders>
            <w:shd w:val="clear" w:color="auto" w:fill="E0E0E0"/>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148</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320" w:type="dxa"/>
            <w:vAlign w:val="bottom"/>
            <w:tcBorders>
              <w:bottom w:val="single" w:sz="8" w:color="auto"/>
            </w:tcBorders>
            <w:shd w:val="clear" w:color="auto" w:fill="E0E0E0"/>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44</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Property and equipment purchases included in accounts payable and accrued expenses</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and other current liabilities</w:t>
            </w:r>
          </w:p>
        </w:tc>
        <w:tc>
          <w:tcPr>
            <w:tcW w:w="300" w:type="dxa"/>
            <w:vAlign w:val="bottom"/>
            <w:gridSpan w:val="3"/>
          </w:tcPr>
          <w:p>
            <w:pPr>
              <w:jc w:val="right"/>
              <w:ind w:right="145"/>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6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2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Issuance of costs deducted from long-term debt proceeds</w:t>
            </w:r>
          </w:p>
        </w:tc>
        <w:tc>
          <w:tcPr>
            <w:tcW w:w="2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auto"/>
              <w:bottom w:val="single" w:sz="8" w:color="auto"/>
            </w:tcBorders>
            <w:shd w:val="clear" w:color="auto" w:fill="E0E0E0"/>
          </w:tcPr>
          <w:p>
            <w:pPr>
              <w:spacing w:after="0"/>
              <w:rPr>
                <w:sz w:val="18"/>
                <w:szCs w:val="18"/>
                <w:color w:val="auto"/>
              </w:rPr>
            </w:pPr>
          </w:p>
        </w:tc>
        <w:tc>
          <w:tcPr>
            <w:tcW w:w="260" w:type="dxa"/>
            <w:vAlign w:val="bottom"/>
            <w:tcBorders>
              <w:top w:val="single" w:sz="8" w:color="auto"/>
              <w:bottom w:val="single" w:sz="8" w:color="auto"/>
            </w:tcBorders>
            <w:shd w:val="clear" w:color="auto" w:fill="E0E0E0"/>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320" w:type="dxa"/>
            <w:vAlign w:val="bottom"/>
            <w:tcBorders>
              <w:top w:val="single" w:sz="8" w:color="auto"/>
              <w:bottom w:val="single" w:sz="8" w:color="auto"/>
            </w:tcBorders>
            <w:shd w:val="clear" w:color="auto" w:fill="E0E0E0"/>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851</w:t>
            </w:r>
          </w:p>
        </w:tc>
        <w:tc>
          <w:tcPr>
            <w:tcW w:w="10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financing costs included in prepaid expenses</w:t>
            </w:r>
          </w:p>
        </w:tc>
        <w:tc>
          <w:tcPr>
            <w:tcW w:w="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4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80" w:type="dxa"/>
            <w:vAlign w:val="bottom"/>
            <w:tcBorders>
              <w:bottom w:val="single" w:sz="8" w:color="auto"/>
            </w:tcBorders>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800"/>
          </w:cols>
          <w:pgMar w:left="720" w:top="926" w:right="720" w:bottom="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RANI THERAPEUTICS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Nature of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Business</w:t>
      </w:r>
    </w:p>
    <w:p>
      <w:pPr>
        <w:spacing w:after="0" w:line="240" w:lineRule="exact"/>
        <w:rPr>
          <w:sz w:val="20"/>
          <w:szCs w:val="20"/>
          <w:color w:val="auto"/>
        </w:rPr>
      </w:pPr>
    </w:p>
    <w:p>
      <w:pPr>
        <w:jc w:val="both"/>
        <w:ind w:right="120" w:firstLine="979"/>
        <w:spacing w:after="0" w:line="249" w:lineRule="auto"/>
        <w:rPr>
          <w:sz w:val="20"/>
          <w:szCs w:val="20"/>
          <w:color w:val="auto"/>
        </w:rPr>
      </w:pPr>
      <w:r>
        <w:rPr>
          <w:rFonts w:ascii="Times New Roman" w:cs="Times New Roman" w:eastAsia="Times New Roman" w:hAnsi="Times New Roman"/>
          <w:sz w:val="20"/>
          <w:szCs w:val="20"/>
          <w:color w:val="auto"/>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w:t>
      </w:r>
    </w:p>
    <w:p>
      <w:pPr>
        <w:spacing w:after="0" w:line="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(“RMS”). Rani Holdings and its consolidated subsidiaries, Rani LLC and RMS (prior to December 15, 2022), are collectively referred to herein as “Rani” or the “Company.” RMS was dissolved on December 15, 2022.</w:t>
      </w:r>
    </w:p>
    <w:p>
      <w:pPr>
        <w:spacing w:after="0" w:line="197"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The Company is a clinical stage biotherapeutics company focusing on advancing technologies to enable the administration of biologics and drugs orally, to provide patients, physicians, and healthcare systems with a convenient alternative to painful injections. The Company is advancing a portfolio of oral therapeutics using its proprietary delivery technology, the RaniPill capsule. The Company is headquartered in San Jose, California and operates in one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Organizational Transactions</w:t>
      </w:r>
    </w:p>
    <w:p>
      <w:pPr>
        <w:spacing w:after="0" w:line="240" w:lineRule="exact"/>
        <w:rPr>
          <w:sz w:val="20"/>
          <w:szCs w:val="20"/>
          <w:color w:val="auto"/>
        </w:rPr>
      </w:pPr>
    </w:p>
    <w:p>
      <w:pPr>
        <w:ind w:right="480" w:firstLine="979"/>
        <w:spacing w:after="0" w:line="277" w:lineRule="auto"/>
        <w:rPr>
          <w:sz w:val="20"/>
          <w:szCs w:val="20"/>
          <w:color w:val="auto"/>
        </w:rPr>
      </w:pPr>
      <w:r>
        <w:rPr>
          <w:rFonts w:ascii="Times New Roman" w:cs="Times New Roman" w:eastAsia="Times New Roman" w:hAnsi="Times New Roman"/>
          <w:sz w:val="20"/>
          <w:szCs w:val="20"/>
          <w:color w:val="auto"/>
        </w:rPr>
        <w:t>In connection with the IPO in August 2021, the Company was party to the following organizational transactions (the “Organizational Transactions”):</w:t>
      </w:r>
    </w:p>
    <w:p>
      <w:pPr>
        <w:spacing w:after="0" w:line="183" w:lineRule="exact"/>
        <w:rPr>
          <w:sz w:val="20"/>
          <w:szCs w:val="20"/>
          <w:color w:val="auto"/>
        </w:rPr>
      </w:pPr>
    </w:p>
    <w:p>
      <w:pPr>
        <w:ind w:left="980" w:right="80" w:hanging="491"/>
        <w:spacing w:after="0" w:line="246" w:lineRule="auto"/>
        <w:tabs>
          <w:tab w:leader="none" w:pos="98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economic nonvoting Class A units (“Class A Units”) and an equal number of voting noneconomic Class B units (“Class B Units”) and (ii) all non-vested incentive units (“Profits Interests”) into Class A Units. In connection with the closing of the IPO, each LLC interest was exchanged 1 for 0.5282 as determined and predicated on the initial public offering price of the Company’s Class A common stock;</w:t>
      </w:r>
    </w:p>
    <w:p>
      <w:pPr>
        <w:spacing w:after="0" w:line="213" w:lineRule="exact"/>
        <w:rPr>
          <w:rFonts w:ascii="Arial" w:cs="Arial" w:eastAsia="Arial" w:hAnsi="Arial"/>
          <w:sz w:val="20"/>
          <w:szCs w:val="20"/>
          <w:color w:val="auto"/>
        </w:rPr>
      </w:pPr>
    </w:p>
    <w:p>
      <w:pPr>
        <w:ind w:left="980" w:right="180" w:hanging="491"/>
        <w:spacing w:after="0" w:line="252" w:lineRule="auto"/>
        <w:tabs>
          <w:tab w:leader="none" w:pos="98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207" w:lineRule="exact"/>
        <w:rPr>
          <w:rFonts w:ascii="Arial" w:cs="Arial" w:eastAsia="Arial" w:hAnsi="Arial"/>
          <w:sz w:val="20"/>
          <w:szCs w:val="20"/>
          <w:color w:val="auto"/>
        </w:rPr>
      </w:pPr>
    </w:p>
    <w:p>
      <w:pPr>
        <w:ind w:left="980" w:right="880" w:hanging="491"/>
        <w:spacing w:after="0" w:line="276" w:lineRule="auto"/>
        <w:tabs>
          <w:tab w:leader="none" w:pos="98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Exchanged 12,047,925 shares of Class A common stock for existing Class A Units of Rani LLC held by certain individuals and entities (the “Former LLC Owners”) on a one-for-one basis;</w:t>
      </w:r>
    </w:p>
    <w:p>
      <w:pPr>
        <w:spacing w:after="0" w:line="184" w:lineRule="exact"/>
        <w:rPr>
          <w:rFonts w:ascii="Arial" w:cs="Arial" w:eastAsia="Arial" w:hAnsi="Arial"/>
          <w:sz w:val="20"/>
          <w:szCs w:val="20"/>
          <w:color w:val="auto"/>
        </w:rPr>
      </w:pPr>
    </w:p>
    <w:p>
      <w:pPr>
        <w:ind w:left="980" w:right="40" w:hanging="491"/>
        <w:spacing w:after="0" w:line="304" w:lineRule="auto"/>
        <w:tabs>
          <w:tab w:leader="none" w:pos="980" w:val="left"/>
        </w:tabs>
        <w:numPr>
          <w:ilvl w:val="0"/>
          <w:numId w:val="74"/>
        </w:numPr>
        <w:rPr>
          <w:rFonts w:ascii="Arial" w:cs="Arial" w:eastAsia="Arial" w:hAnsi="Arial"/>
          <w:sz w:val="19"/>
          <w:szCs w:val="19"/>
          <w:color w:val="auto"/>
        </w:rPr>
      </w:pPr>
      <w:r>
        <w:rPr>
          <w:rFonts w:ascii="Times New Roman" w:cs="Times New Roman" w:eastAsia="Times New Roman" w:hAnsi="Times New Roman"/>
          <w:sz w:val="19"/>
          <w:szCs w:val="19"/>
          <w:color w:val="auto"/>
        </w:rPr>
        <w:t>Issued 29,290,391 shares of Class B common stock to certain individuals and entities that continued to hold Class A Units in Rani LLC after the IPO (the “Continuing LLC Owners”) in return for an equal amount of Rani LLC Class B Units;</w:t>
      </w:r>
    </w:p>
    <w:p>
      <w:pPr>
        <w:spacing w:after="0" w:line="159" w:lineRule="exact"/>
        <w:rPr>
          <w:rFonts w:ascii="Arial" w:cs="Arial" w:eastAsia="Arial" w:hAnsi="Arial"/>
          <w:sz w:val="19"/>
          <w:szCs w:val="19"/>
          <w:color w:val="auto"/>
        </w:rPr>
      </w:pPr>
    </w:p>
    <w:p>
      <w:pPr>
        <w:ind w:left="980" w:hanging="491"/>
        <w:spacing w:after="0"/>
        <w:tabs>
          <w:tab w:leader="none" w:pos="98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Entered into a Registration Rights Agreement with certain of the Continuing LLC Owners.</w:t>
      </w:r>
    </w:p>
    <w:p>
      <w:pPr>
        <w:spacing w:after="0" w:line="239"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December 31, 2023, certain individuals who continue to own interests in Rani LLC but do not hold shares of the Company’s Class B common stock (“non-corresponding Class A Units”) have the ability to exchange their non-corresponding Class A Units of Rani LLC for 1,345,067 shares of the Company’s Class A common stock.</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800"/>
          </w:cols>
          <w:pgMar w:left="720" w:top="926" w:right="72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240"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The Company has incurred recurring losses since its inception, including net losses of $67.9 million for the year ended December 31, 2023. As of December 31, 2023, the Company had an accumulated deficit of $72.9 million and for the year ended December 31, 2023 had negative cash flows from operations of $51.2 million. As of December 31, 2023, cash, cash equivalents and marketable securities totaled $48.5 million. Based on its available cash resources and current operating plan, there is substantial doubt regarding the Company’s ability to continue as a going concern for a period of one year after the date that its financial statements for the year ended December 31, 2023 are issued. The Company’s existing capital resources, including the net proceeds from our IPO and Loans, will not be sufficient to enable it to initiate any pivotal clinical trials. The Company will need to raise substantial additional funds in the future in order to complete the development of the RaniPill platform, to complete the clinical development of its product candidates and seek regulatory approval thereof, to expand its manufacturing capabilities, to further develop the RaniPill HC device and to commercialize any of its product candidates.</w:t>
      </w:r>
    </w:p>
    <w:p>
      <w:pPr>
        <w:spacing w:after="0" w:line="202"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(“Tranche 2”) is uncommitted and is subject to certain conditions and approval by the Lender.</w:t>
      </w:r>
    </w:p>
    <w:p>
      <w:pPr>
        <w:spacing w:after="0" w:line="200" w:lineRule="exact"/>
        <w:rPr>
          <w:sz w:val="20"/>
          <w:szCs w:val="20"/>
          <w:color w:val="auto"/>
        </w:rPr>
      </w:pPr>
    </w:p>
    <w:p>
      <w:pPr>
        <w:ind w:right="280" w:firstLine="979"/>
        <w:spacing w:after="0" w:line="247" w:lineRule="auto"/>
        <w:rPr>
          <w:sz w:val="20"/>
          <w:szCs w:val="20"/>
          <w:color w:val="auto"/>
        </w:rPr>
      </w:pPr>
      <w:r>
        <w:rPr>
          <w:rFonts w:ascii="Times New Roman" w:cs="Times New Roman" w:eastAsia="Times New Roman" w:hAnsi="Times New Roman"/>
          <w:sz w:val="20"/>
          <w:szCs w:val="20"/>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December 31, 2023, the Company has no sales under the Sales Agreement.</w:t>
      </w:r>
    </w:p>
    <w:p>
      <w:pPr>
        <w:spacing w:after="0" w:line="200" w:lineRule="exact"/>
        <w:rPr>
          <w:sz w:val="20"/>
          <w:szCs w:val="20"/>
          <w:color w:val="auto"/>
        </w:rPr>
      </w:pPr>
    </w:p>
    <w:p>
      <w:pPr>
        <w:ind w:right="20" w:firstLine="979"/>
        <w:spacing w:after="0" w:line="245" w:lineRule="auto"/>
        <w:rPr>
          <w:sz w:val="20"/>
          <w:szCs w:val="20"/>
          <w:color w:val="auto"/>
        </w:rPr>
      </w:pPr>
      <w:r>
        <w:rPr>
          <w:rFonts w:ascii="Times New Roman" w:cs="Times New Roman" w:eastAsia="Times New Roman" w:hAnsi="Times New Roman"/>
          <w:sz w:val="20"/>
          <w:szCs w:val="20"/>
          <w:color w:val="auto"/>
        </w:rPr>
        <w:t>In November 2023, the Company underwent a reduction in workforce and paused or discontinued certain programs to reduce expenses and focus its financial resources on key priorities. 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such as “at the market offerings” as defined in Rule 415(a)(4) under the Securities Act, collaboration or licensing agreements, or the incurrence of debt. However, there is no guarantee that any of these strategic or financing opportunities will be executed or realized on favorable terms, if at all. As a result, the Company has concluded that management’s plans do not alleviate substantial doubt about the Company’s ability to continue as a going concern.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40" w:lineRule="exact"/>
        <w:rPr>
          <w:sz w:val="20"/>
          <w:szCs w:val="20"/>
          <w:color w:val="auto"/>
        </w:rPr>
      </w:pPr>
    </w:p>
    <w:p>
      <w:pPr>
        <w:ind w:right="160" w:firstLine="979"/>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have been prepared in accordance with accounting principles generally accepted in the United States of America (“U.S. GAAP”). Certain prior period amounts have been reclassified to be consistent with current period presentation.</w:t>
      </w:r>
    </w:p>
    <w:p>
      <w:pPr>
        <w:spacing w:after="0" w:line="188" w:lineRule="exact"/>
        <w:rPr>
          <w:sz w:val="20"/>
          <w:szCs w:val="20"/>
          <w:color w:val="auto"/>
        </w:rPr>
      </w:pPr>
    </w:p>
    <w:p>
      <w:pPr>
        <w:ind w:right="40" w:firstLine="979"/>
        <w:spacing w:after="0" w:line="249" w:lineRule="auto"/>
        <w:rPr>
          <w:sz w:val="20"/>
          <w:szCs w:val="20"/>
          <w:color w:val="auto"/>
        </w:rPr>
      </w:pPr>
      <w:r>
        <w:rPr>
          <w:rFonts w:ascii="Times New Roman" w:cs="Times New Roman" w:eastAsia="Times New Roman" w:hAnsi="Times New Roman"/>
          <w:sz w:val="20"/>
          <w:szCs w:val="20"/>
          <w:color w:val="auto"/>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Variable Interest Entities</w:t>
      </w:r>
    </w:p>
    <w:p>
      <w:pPr>
        <w:spacing w:after="0" w:line="240" w:lineRule="exact"/>
        <w:rPr>
          <w:sz w:val="20"/>
          <w:szCs w:val="20"/>
          <w:color w:val="auto"/>
        </w:rPr>
      </w:pPr>
    </w:p>
    <w:p>
      <w:pPr>
        <w:ind w:right="40" w:firstLine="979"/>
        <w:spacing w:after="0" w:line="262" w:lineRule="auto"/>
        <w:rPr>
          <w:sz w:val="20"/>
          <w:szCs w:val="20"/>
          <w:color w:val="auto"/>
        </w:rPr>
      </w:pPr>
      <w:r>
        <w:rPr>
          <w:rFonts w:ascii="Times New Roman" w:cs="Times New Roman" w:eastAsia="Times New Roman" w:hAnsi="Times New Roman"/>
          <w:sz w:val="19"/>
          <w:szCs w:val="19"/>
          <w:color w:val="auto"/>
        </w:rPr>
        <w:t>The Company consolidates all entities that it controls through a majority voting interest or as the primary beneficiary of a variable interest entity (“VIE”). In determining whether the Company is the primary beneficiary of an entity, the Company applies a qualitative approach that determines whether it has both (1) the power to direct the economically significant activities of the entity and</w:t>
      </w:r>
    </w:p>
    <w:p>
      <w:pPr>
        <w:spacing w:after="0" w:line="2" w:lineRule="exact"/>
        <w:rPr>
          <w:sz w:val="20"/>
          <w:szCs w:val="20"/>
          <w:color w:val="auto"/>
        </w:rPr>
      </w:pPr>
    </w:p>
    <w:p>
      <w:pPr>
        <w:ind w:right="100"/>
        <w:spacing w:after="0" w:line="244" w:lineRule="auto"/>
        <w:tabs>
          <w:tab w:leader="none" w:pos="28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to absorb losses of, or the right to receive benefits from, the entity that could potentially be significant to that entity. The Company’s determination about whether it should consolidate such VIEs is made continuously as changes to existing relationships or future transactions may result in a consolidation event.</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800"/>
          </w:cols>
          <w:pgMar w:left="720" w:top="930" w:right="72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5" w:lineRule="exact"/>
        <w:rPr>
          <w:sz w:val="20"/>
          <w:szCs w:val="20"/>
          <w:color w:val="auto"/>
        </w:rPr>
      </w:pPr>
    </w:p>
    <w:p>
      <w:pPr>
        <w:ind w:right="60" w:firstLine="979"/>
        <w:spacing w:after="0" w:line="244"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Other Risks and Uncertainties</w:t>
      </w:r>
    </w:p>
    <w:p>
      <w:pPr>
        <w:spacing w:after="0" w:line="235" w:lineRule="exact"/>
        <w:rPr>
          <w:sz w:val="20"/>
          <w:szCs w:val="20"/>
          <w:color w:val="auto"/>
        </w:rPr>
      </w:pPr>
    </w:p>
    <w:p>
      <w:pPr>
        <w:ind w:right="60" w:firstLine="979"/>
        <w:spacing w:after="0" w:line="244"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 Equivalents</w:t>
      </w:r>
    </w:p>
    <w:p>
      <w:pPr>
        <w:spacing w:after="0" w:line="235" w:lineRule="exact"/>
        <w:rPr>
          <w:sz w:val="20"/>
          <w:szCs w:val="20"/>
          <w:color w:val="auto"/>
        </w:rPr>
      </w:pPr>
    </w:p>
    <w:p>
      <w:pPr>
        <w:ind w:firstLine="979"/>
        <w:spacing w:after="0" w:line="242" w:lineRule="auto"/>
        <w:rPr>
          <w:sz w:val="20"/>
          <w:szCs w:val="20"/>
          <w:color w:val="auto"/>
        </w:rPr>
      </w:pPr>
      <w:r>
        <w:rPr>
          <w:rFonts w:ascii="Times New Roman" w:cs="Times New Roman" w:eastAsia="Times New Roman" w:hAnsi="Times New Roman"/>
          <w:sz w:val="20"/>
          <w:szCs w:val="20"/>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Restricted cash equivalents consist of cash collateral required by a bank in connection with the Company's commercial credit cards program. The Company limits its credit risk associated with cash, cash equivalents and restricted cash equivalents by maintaining its bank accounts at major financial institutions.</w:t>
      </w:r>
    </w:p>
    <w:p>
      <w:pPr>
        <w:spacing w:after="0" w:line="200" w:lineRule="exact"/>
        <w:rPr>
          <w:sz w:val="20"/>
          <w:szCs w:val="20"/>
          <w:color w:val="auto"/>
        </w:rPr>
      </w:pPr>
    </w:p>
    <w:p>
      <w:pPr>
        <w:ind w:right="140" w:firstLine="979"/>
        <w:spacing w:after="0" w:line="253" w:lineRule="auto"/>
        <w:rPr>
          <w:sz w:val="20"/>
          <w:szCs w:val="20"/>
          <w:color w:val="auto"/>
        </w:rPr>
      </w:pPr>
      <w:r>
        <w:rPr>
          <w:rFonts w:ascii="Times New Roman" w:cs="Times New Roman" w:eastAsia="Times New Roman" w:hAnsi="Times New Roman"/>
          <w:sz w:val="20"/>
          <w:szCs w:val="20"/>
          <w:color w:val="auto"/>
        </w:rPr>
        <w:t>The following table provides a reconciliation of cash and cash equivalents and restricted cash equivalents reported as a component of prepaid expenses and other current assets on the consolidated balance sheet which, in aggregate, represents the amount reported in the consolidated statements of cash flows for the years ended December 31, 2023 and 2022 (in thousands):</w:t>
      </w:r>
    </w:p>
    <w:p>
      <w:pPr>
        <w:spacing w:after="0" w:line="269"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auto"/>
            </w:tcBorders>
            <w:gridSpan w:val="5"/>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7"/>
                <w:szCs w:val="17"/>
                <w:color w:val="auto"/>
              </w:rPr>
            </w:pPr>
          </w:p>
        </w:tc>
      </w:tr>
      <w:tr>
        <w:trPr>
          <w:trHeight w:val="220"/>
        </w:trPr>
        <w:tc>
          <w:tcPr>
            <w:tcW w:w="6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0"/>
        </w:trPr>
        <w:tc>
          <w:tcPr>
            <w:tcW w:w="628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End of Period:</w:t>
            </w:r>
          </w:p>
        </w:tc>
        <w:tc>
          <w:tcPr>
            <w:tcW w:w="20" w:type="dxa"/>
            <w:vAlign w:val="bottom"/>
            <w:tcBorders>
              <w:top w:val="single" w:sz="8" w:color="E0E0E0"/>
            </w:tcBorders>
            <w:shd w:val="clear" w:color="auto" w:fill="E0E0E0"/>
          </w:tcPr>
          <w:p>
            <w:pPr>
              <w:spacing w:after="0"/>
              <w:rPr>
                <w:sz w:val="19"/>
                <w:szCs w:val="19"/>
                <w:color w:val="auto"/>
              </w:rPr>
            </w:pPr>
          </w:p>
        </w:tc>
        <w:tc>
          <w:tcPr>
            <w:tcW w:w="800" w:type="dxa"/>
            <w:vAlign w:val="bottom"/>
            <w:tcBorders>
              <w:top w:val="single" w:sz="8" w:color="auto"/>
            </w:tcBorders>
            <w:shd w:val="clear" w:color="auto" w:fill="E0E0E0"/>
          </w:tcPr>
          <w:p>
            <w:pPr>
              <w:spacing w:after="0"/>
              <w:rPr>
                <w:sz w:val="19"/>
                <w:szCs w:val="19"/>
                <w:color w:val="auto"/>
              </w:rPr>
            </w:pPr>
          </w:p>
        </w:tc>
        <w:tc>
          <w:tcPr>
            <w:tcW w:w="460" w:type="dxa"/>
            <w:vAlign w:val="bottom"/>
            <w:tcBorders>
              <w:top w:val="single" w:sz="8" w:color="auto"/>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300" w:type="dxa"/>
            <w:vAlign w:val="bottom"/>
            <w:tcBorders>
              <w:top w:val="single" w:sz="8" w:color="auto"/>
            </w:tcBorders>
            <w:shd w:val="clear" w:color="auto" w:fill="E0E0E0"/>
          </w:tcPr>
          <w:p>
            <w:pPr>
              <w:spacing w:after="0"/>
              <w:rPr>
                <w:sz w:val="19"/>
                <w:szCs w:val="19"/>
                <w:color w:val="auto"/>
              </w:rPr>
            </w:pPr>
          </w:p>
        </w:tc>
        <w:tc>
          <w:tcPr>
            <w:tcW w:w="98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 w:type="dxa"/>
            <w:vAlign w:val="bottom"/>
          </w:tcPr>
          <w:p>
            <w:pPr>
              <w:spacing w:after="0"/>
              <w:rPr>
                <w:sz w:val="19"/>
                <w:szCs w:val="19"/>
                <w:color w:val="auto"/>
              </w:rPr>
            </w:pPr>
          </w:p>
        </w:tc>
        <w:tc>
          <w:tcPr>
            <w:tcW w:w="80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5,864</w:t>
            </w:r>
          </w:p>
        </w:tc>
        <w:tc>
          <w:tcPr>
            <w:tcW w:w="240" w:type="dxa"/>
            <w:vAlign w:val="bottom"/>
          </w:tcPr>
          <w:p>
            <w:pPr>
              <w:spacing w:after="0"/>
              <w:rPr>
                <w:sz w:val="19"/>
                <w:szCs w:val="19"/>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27,007</w:t>
            </w:r>
          </w:p>
        </w:tc>
        <w:tc>
          <w:tcPr>
            <w:tcW w:w="100" w:type="dxa"/>
            <w:vAlign w:val="bottom"/>
          </w:tcPr>
          <w:p>
            <w:pPr>
              <w:spacing w:after="0"/>
              <w:rPr>
                <w:sz w:val="19"/>
                <w:szCs w:val="19"/>
                <w:color w:val="auto"/>
              </w:rPr>
            </w:pPr>
          </w:p>
        </w:tc>
      </w:tr>
      <w:tr>
        <w:trPr>
          <w:trHeight w:val="230"/>
        </w:trPr>
        <w:tc>
          <w:tcPr>
            <w:tcW w:w="62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Restricted cash equivalents</w:t>
            </w:r>
          </w:p>
        </w:tc>
        <w:tc>
          <w:tcPr>
            <w:tcW w:w="20" w:type="dxa"/>
            <w:vAlign w:val="bottom"/>
            <w:shd w:val="clear" w:color="auto" w:fill="E0E0E0"/>
          </w:tcPr>
          <w:p>
            <w:pPr>
              <w:spacing w:after="0"/>
              <w:rPr>
                <w:sz w:val="19"/>
                <w:szCs w:val="19"/>
                <w:color w:val="auto"/>
              </w:rPr>
            </w:pPr>
          </w:p>
        </w:tc>
        <w:tc>
          <w:tcPr>
            <w:tcW w:w="800" w:type="dxa"/>
            <w:vAlign w:val="bottom"/>
            <w:tcBorders>
              <w:bottom w:val="single" w:sz="8" w:color="auto"/>
            </w:tcBorders>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4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shd w:val="clear" w:color="auto" w:fill="E0E0E0"/>
          </w:tcPr>
          <w:p>
            <w:pPr>
              <w:spacing w:after="0"/>
              <w:rPr>
                <w:sz w:val="19"/>
                <w:szCs w:val="19"/>
                <w:color w:val="auto"/>
              </w:rPr>
            </w:pPr>
          </w:p>
        </w:tc>
      </w:tr>
      <w:tr>
        <w:trPr>
          <w:trHeight w:val="220"/>
        </w:trPr>
        <w:tc>
          <w:tcPr>
            <w:tcW w:w="628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cash, cash equivalents and restricted cash equivalents</w:t>
            </w: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6,364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27,507</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235" w:lineRule="exact"/>
        <w:rPr>
          <w:sz w:val="20"/>
          <w:szCs w:val="20"/>
          <w:color w:val="auto"/>
        </w:rPr>
      </w:pPr>
    </w:p>
    <w:p>
      <w:pPr>
        <w:ind w:right="140" w:firstLine="979"/>
        <w:spacing w:after="0" w:line="239" w:lineRule="auto"/>
        <w:rPr>
          <w:sz w:val="20"/>
          <w:szCs w:val="20"/>
          <w:color w:val="auto"/>
        </w:rPr>
      </w:pPr>
      <w:r>
        <w:rPr>
          <w:rFonts w:ascii="Times New Roman" w:cs="Times New Roman" w:eastAsia="Times New Roman" w:hAnsi="Times New Roman"/>
          <w:sz w:val="20"/>
          <w:szCs w:val="20"/>
          <w:color w:val="auto"/>
        </w:rPr>
        <w:t>The Company invests its excess cash in marketable securities with high credit ratings including securities issued by U.S. and international governments and their agencies, corporate debt securities and commercial paper. The Company has assessed U.S. government treasuries as Level 1 and all other marketable securities as Level 2 within the fair value hierarchy. All the Company's marketable securities have been accounted for as available-for-sale and carried at fair value. The Company classifies all its available-for-sale marketable securities, including those with maturity dates beyond one year, as current assets on the consolidated balance sheets as the Company may sell these securities at any time for use in current operations even if they have not yet reached maturity. The amortized cost of debt securities is adjusted for amortization of premiums and accretion of discounts to maturity, which is included in interest income and other, net on the consolidated statements of operations and comprehensive loss. Realized gains and losses on marketable securities are included in other income (expense) on the consolidated statements of operations. Gains and losses on sales are recorded based on the trade date and determined using the specific identification method.</w:t>
      </w:r>
    </w:p>
    <w:p>
      <w:pPr>
        <w:spacing w:after="0" w:line="202" w:lineRule="exact"/>
        <w:rPr>
          <w:sz w:val="20"/>
          <w:szCs w:val="20"/>
          <w:color w:val="auto"/>
        </w:rPr>
      </w:pPr>
    </w:p>
    <w:p>
      <w:pPr>
        <w:ind w:right="80" w:firstLine="979"/>
        <w:spacing w:after="0" w:line="238" w:lineRule="auto"/>
        <w:rPr>
          <w:sz w:val="20"/>
          <w:szCs w:val="20"/>
          <w:color w:val="auto"/>
        </w:rPr>
      </w:pPr>
      <w:r>
        <w:rPr>
          <w:rFonts w:ascii="Times New Roman" w:cs="Times New Roman" w:eastAsia="Times New Roman" w:hAnsi="Times New Roman"/>
          <w:sz w:val="20"/>
          <w:szCs w:val="20"/>
          <w:color w:val="auto"/>
        </w:rPr>
        <w:t>The Company regularly reviews its investments for declines in fair value below their amortized cost basis to determine whether the impairment is due to credit-related factors or noncredit-related factors. The Company's review includes the creditworthiness of the security issuers, the severity of the unrealized losses, whether the Company has the intent to sell the securities and whether it is more likely than not that the Company will be required to sell the securities before the recovery of its amortized cost bases. When the Company determines that a portion of the unrealized loss is due to an expected credit loss, the Company recognizes the loss amount in Other income (expense), net, with a corresponding allowance against the carrying value of the security the Company holds. The portion of the unrealized loss related to factors other than credit losses is recognized in Accumulated other comprehensive loss. The Company has made an accounting policy election to not measure an allowance for credit loss for accrued interest receivables and will recognize a credit loss for accrued interest receivables when the loss becomes probable and estimable. As of December 31, 2023 and 2022, interest income receivable recorded as a component of prepaid expenses and other current assets on the consolidated balance sheet was $0.2 million and de minimis, respectively.</w:t>
      </w:r>
    </w:p>
    <w:p>
      <w:pPr>
        <w:sectPr>
          <w:pgSz w:w="12240" w:h="15840" w:orient="portrait"/>
          <w:cols w:equalWidth="0" w:num="1">
            <w:col w:w="10800"/>
          </w:cols>
          <w:pgMar w:left="720" w:top="926" w:right="720" w:bottom="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800"/>
          </w:cols>
          <w:pgMar w:left="720" w:top="926" w:right="72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40" w:lineRule="exact"/>
        <w:rPr>
          <w:sz w:val="20"/>
          <w:szCs w:val="20"/>
          <w:color w:val="auto"/>
        </w:rPr>
      </w:pPr>
    </w:p>
    <w:p>
      <w:pPr>
        <w:ind w:right="100" w:firstLine="979"/>
        <w:spacing w:after="0" w:line="265" w:lineRule="auto"/>
        <w:rPr>
          <w:sz w:val="20"/>
          <w:szCs w:val="20"/>
          <w:color w:val="auto"/>
        </w:rPr>
      </w:pPr>
      <w:r>
        <w:rPr>
          <w:rFonts w:ascii="Times New Roman" w:cs="Times New Roman" w:eastAsia="Times New Roman" w:hAnsi="Times New Roman"/>
          <w:sz w:val="19"/>
          <w:szCs w:val="19"/>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Level 1—Quoted prices in active markets for identical assets or liabilities.</w:t>
      </w:r>
    </w:p>
    <w:p>
      <w:pPr>
        <w:spacing w:after="0" w:line="240" w:lineRule="exact"/>
        <w:rPr>
          <w:sz w:val="20"/>
          <w:szCs w:val="20"/>
          <w:color w:val="auto"/>
        </w:rPr>
      </w:pPr>
    </w:p>
    <w:p>
      <w:pPr>
        <w:ind w:left="980" w:right="40"/>
        <w:spacing w:after="0" w:line="258" w:lineRule="auto"/>
        <w:rPr>
          <w:sz w:val="20"/>
          <w:szCs w:val="20"/>
          <w:color w:val="auto"/>
        </w:rPr>
      </w:pPr>
      <w:r>
        <w:rPr>
          <w:rFonts w:ascii="Times New Roman" w:cs="Times New Roman" w:eastAsia="Times New Roman" w:hAnsi="Times New Roman"/>
          <w:sz w:val="20"/>
          <w:szCs w:val="20"/>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8" w:lineRule="exact"/>
        <w:rPr>
          <w:sz w:val="20"/>
          <w:szCs w:val="20"/>
          <w:color w:val="auto"/>
        </w:rPr>
      </w:pPr>
    </w:p>
    <w:p>
      <w:pPr>
        <w:ind w:left="980"/>
        <w:spacing w:after="0" w:line="277" w:lineRule="auto"/>
        <w:rPr>
          <w:sz w:val="20"/>
          <w:szCs w:val="20"/>
          <w:color w:val="auto"/>
        </w:rPr>
      </w:pPr>
      <w:r>
        <w:rPr>
          <w:rFonts w:ascii="Times New Roman" w:cs="Times New Roman" w:eastAsia="Times New Roman" w:hAnsi="Times New Roman"/>
          <w:sz w:val="20"/>
          <w:szCs w:val="20"/>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9" w:lineRule="exact"/>
        <w:rPr>
          <w:sz w:val="20"/>
          <w:szCs w:val="20"/>
          <w:color w:val="auto"/>
        </w:rPr>
      </w:pPr>
    </w:p>
    <w:p>
      <w:pPr>
        <w:ind w:right="380" w:firstLine="979"/>
        <w:spacing w:after="0" w:line="258" w:lineRule="auto"/>
        <w:rPr>
          <w:sz w:val="20"/>
          <w:szCs w:val="20"/>
          <w:color w:val="auto"/>
        </w:rPr>
      </w:pPr>
      <w:r>
        <w:rPr>
          <w:rFonts w:ascii="Times New Roman" w:cs="Times New Roman" w:eastAsia="Times New Roman" w:hAnsi="Times New Roman"/>
          <w:sz w:val="20"/>
          <w:szCs w:val="20"/>
          <w:color w:val="auto"/>
        </w:rPr>
        <w:t>As of December 31, 2023 and 2022, the carrying values of current assets and liabilities approximates fair value due to their short-term nature, respectively. The fair value of the Company’s long-term debt approximated its carrying value based on borrowing rates currently available to the Company for debt with similar terms and maturities (Level 2 inputs).</w:t>
      </w:r>
    </w:p>
    <w:p>
      <w:pPr>
        <w:spacing w:after="0" w:line="188" w:lineRule="exact"/>
        <w:rPr>
          <w:sz w:val="20"/>
          <w:szCs w:val="20"/>
          <w:color w:val="auto"/>
        </w:rPr>
      </w:pPr>
    </w:p>
    <w:p>
      <w:pPr>
        <w:ind w:right="160" w:firstLine="979"/>
        <w:spacing w:after="0" w:line="252" w:lineRule="auto"/>
        <w:rPr>
          <w:sz w:val="20"/>
          <w:szCs w:val="20"/>
          <w:color w:val="auto"/>
        </w:rPr>
      </w:pPr>
      <w:r>
        <w:rPr>
          <w:rFonts w:ascii="Times New Roman" w:cs="Times New Roman" w:eastAsia="Times New Roman" w:hAnsi="Times New Roman"/>
          <w:sz w:val="20"/>
          <w:szCs w:val="20"/>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40"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The Company determines whether the arrangement is or contains a lease based on the unique facts and circumstances present at the inception of the arrangement and if such a lease is classified as a financing lease or operating lease. The Company has elected not to recognize on the balance sheet leases with terms of one year or less. For any arrangement that is considered to be a lease with a term greater than one year, the Company recognizes a lease asset for its right to use the underlying asset and a lease liability for the corresponding lease obligation. Operating leases are included in operating lease right-of-use ("ROU") assets and operating lease liabilities in the Company’s consolidated balance sheet as of December 31, 2023.</w:t>
      </w:r>
    </w:p>
    <w:p>
      <w:pPr>
        <w:spacing w:after="0" w:line="200" w:lineRule="exact"/>
        <w:rPr>
          <w:sz w:val="20"/>
          <w:szCs w:val="20"/>
          <w:color w:val="auto"/>
        </w:rPr>
      </w:pPr>
    </w:p>
    <w:p>
      <w:pPr>
        <w:ind w:right="40" w:firstLine="979"/>
        <w:spacing w:after="0" w:line="258" w:lineRule="auto"/>
        <w:rPr>
          <w:sz w:val="20"/>
          <w:szCs w:val="20"/>
          <w:color w:val="auto"/>
        </w:rPr>
      </w:pPr>
      <w:r>
        <w:rPr>
          <w:rFonts w:ascii="Times New Roman" w:cs="Times New Roman" w:eastAsia="Times New Roman" w:hAnsi="Times New Roman"/>
          <w:sz w:val="19"/>
          <w:szCs w:val="19"/>
          <w:color w:val="auto"/>
        </w:rPr>
        <w:t>ROU assets represent the Company’s right to use an underlying asset for the lease term and lease liabilities represent the Company’s obligation to make lease payments arising from the lease contract. Operating lease ROU assets and liabilities are recognized at the lease commencement date based on the present value of lease payments over the expected lease term. In determining the net present value of lease payments, the interest rate implicit in lease contracts is typically not readily determinable. As such, the Company utilizes the appropriate incremental borrowing rate (“IBR”), which is the rate incurred to borrow on a collateralized basis over a similar term an amount equal to the lease payments in a similar economic environment. Certain adjustments to the ROU asset may be required for items such as initial direct costs paid or incentives received and impairment charges if the Company determines the ROU asset is impaired. The Company considers a lease term to be the noncancelable period during which it has the right to use the underlying asset, including any periods where it is reasonably certain the Company will exercise the option to extend the contract. Periods covered by an option to extend are included in the lease term if the lessor controls the exercise of that option.</w:t>
      </w:r>
    </w:p>
    <w:p>
      <w:pPr>
        <w:spacing w:after="0" w:line="191" w:lineRule="exact"/>
        <w:rPr>
          <w:sz w:val="20"/>
          <w:szCs w:val="20"/>
          <w:color w:val="auto"/>
        </w:rPr>
      </w:pPr>
    </w:p>
    <w:p>
      <w:pPr>
        <w:ind w:right="100" w:firstLine="979"/>
        <w:spacing w:after="0" w:line="252" w:lineRule="auto"/>
        <w:rPr>
          <w:sz w:val="20"/>
          <w:szCs w:val="20"/>
          <w:color w:val="auto"/>
        </w:rPr>
      </w:pPr>
      <w:r>
        <w:rPr>
          <w:rFonts w:ascii="Times New Roman" w:cs="Times New Roman" w:eastAsia="Times New Roman" w:hAnsi="Times New Roman"/>
          <w:sz w:val="20"/>
          <w:szCs w:val="20"/>
          <w:color w:val="auto"/>
        </w:rPr>
        <w:t>The operating lease ROU assets also include any lease payments made and exclude lease incentives. The Company has elected to not separate lease and non-lease components for its leased assets and accounts for all lease and non-lease components of its agreements as a single lease component. The lease components resulting in a ROU asset have been recorded on the consolidated balance sheet and amortized as lease expense on a straight-line basis over the lease term.</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800"/>
          </w:cols>
          <w:pgMar w:left="720" w:top="930" w:right="72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Debt with Detachable Warrants</w:t>
      </w:r>
    </w:p>
    <w:p>
      <w:pPr>
        <w:spacing w:after="0" w:line="233" w:lineRule="exact"/>
        <w:rPr>
          <w:sz w:val="20"/>
          <w:szCs w:val="20"/>
          <w:color w:val="auto"/>
        </w:rPr>
      </w:pPr>
    </w:p>
    <w:p>
      <w:pPr>
        <w:jc w:val="both"/>
        <w:ind w:right="220" w:firstLine="979"/>
        <w:spacing w:after="0" w:line="255" w:lineRule="auto"/>
        <w:rPr>
          <w:sz w:val="20"/>
          <w:szCs w:val="20"/>
          <w:color w:val="auto"/>
        </w:rPr>
      </w:pPr>
      <w:r>
        <w:rPr>
          <w:rFonts w:ascii="Times New Roman" w:cs="Times New Roman" w:eastAsia="Times New Roman" w:hAnsi="Times New Roman"/>
          <w:sz w:val="19"/>
          <w:szCs w:val="19"/>
          <w:color w:val="auto"/>
        </w:rPr>
        <w:t>Detachable warrants are evaluated for the classification of warrants as either equity instruments, derivative liabilities, or liabilities depending on the specific terms of the warrant agreement. In circumstances in which debt is issued with equity-classified warrants, the proceeds from the issuance of debt are first allocated to the debt and the warrants at their relative estimated fair values.</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0"/>
          <w:szCs w:val="20"/>
          <w:color w:val="auto"/>
        </w:rPr>
        <w:t>The portion of the proceeds allocated to the warrants are accounted for as paid in capital and a debt discount. The remaining proceeds, as further reduced by discounts created by the bifurcation of embedded derivatives and beneficial conversion features, are allocated to the debt.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 accounting as derivative financial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233" w:lineRule="exact"/>
        <w:rPr>
          <w:sz w:val="20"/>
          <w:szCs w:val="20"/>
          <w:color w:val="auto"/>
        </w:rPr>
      </w:pPr>
    </w:p>
    <w:p>
      <w:pPr>
        <w:ind w:right="180" w:firstLine="979"/>
        <w:spacing w:after="0" w:line="238"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the Company's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202" w:lineRule="exact"/>
        <w:rPr>
          <w:sz w:val="20"/>
          <w:szCs w:val="20"/>
          <w:color w:val="auto"/>
        </w:rPr>
      </w:pPr>
    </w:p>
    <w:p>
      <w:pPr>
        <w:ind w:right="80" w:firstLine="979"/>
        <w:spacing w:after="0" w:line="245" w:lineRule="auto"/>
        <w:rPr>
          <w:sz w:val="20"/>
          <w:szCs w:val="20"/>
          <w:color w:val="auto"/>
        </w:rPr>
      </w:pPr>
      <w:r>
        <w:rPr>
          <w:rFonts w:ascii="Times New Roman" w:cs="Times New Roman" w:eastAsia="Times New Roman" w:hAnsi="Times New Roman"/>
          <w:sz w:val="20"/>
          <w:szCs w:val="20"/>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3" w:lineRule="exact"/>
        <w:rPr>
          <w:sz w:val="20"/>
          <w:szCs w:val="20"/>
          <w:color w:val="auto"/>
        </w:rPr>
      </w:pPr>
    </w:p>
    <w:p>
      <w:pPr>
        <w:ind w:right="40" w:firstLine="979"/>
        <w:spacing w:after="0" w:line="237" w:lineRule="auto"/>
        <w:rPr>
          <w:sz w:val="20"/>
          <w:szCs w:val="20"/>
          <w:color w:val="auto"/>
        </w:rPr>
      </w:pPr>
      <w:r>
        <w:rPr>
          <w:rFonts w:ascii="Times New Roman" w:cs="Times New Roman" w:eastAsia="Times New Roman" w:hAnsi="Times New Roman"/>
          <w:sz w:val="20"/>
          <w:szCs w:val="20"/>
          <w:color w:val="auto"/>
        </w:rPr>
        <w:t>In July 2021, the Company adopted and its stockholders approved, the Rani Therapeutics Holdings, Inc. 2021 Equity Incentive Plan (the “2021 Plan”). The Company has subsequently granted stock options to purchase shares of its Class A common stock as well as restricted stock units (“RSUs”) and restricted stock awards ("RSAs") from the 2021 Plan to both employees and non-employees. The Company measures stock-based compensation at fair value on the grant date of the award. The fair value of employee and nonemployee RSUs is determined based on the number of shares granted and the closing market price of the Company’s Class A common stock on the date of grant. The fair value of employee RSAs is determined based on the estimated fair value of the Company’s Class A common stock on the grant date and is subject to the Company's reacquisition right which is accounted for as a forfeiture provision (Note 10). For awards that vest subject to the satisfaction of service requirements, compensation expense is measured based on the fair value of the award on the date of grant and expense is recognized on a straight-line basis over the requisite service period. The Company accounts for forfeitures as they occur. Stock-based compensation is classified in the accompanying consolidated statements of operations and comprehensive loss based on the function to which the related services are provided.</w:t>
      </w:r>
    </w:p>
    <w:p>
      <w:pPr>
        <w:spacing w:after="0" w:line="198" w:lineRule="exact"/>
        <w:rPr>
          <w:sz w:val="20"/>
          <w:szCs w:val="20"/>
          <w:color w:val="auto"/>
        </w:rPr>
      </w:pPr>
    </w:p>
    <w:p>
      <w:pPr>
        <w:ind w:right="40" w:firstLine="979"/>
        <w:spacing w:after="0" w:line="239" w:lineRule="auto"/>
        <w:rPr>
          <w:sz w:val="20"/>
          <w:szCs w:val="20"/>
          <w:color w:val="auto"/>
        </w:rPr>
      </w:pPr>
      <w:r>
        <w:rPr>
          <w:rFonts w:ascii="Times New Roman" w:cs="Times New Roman" w:eastAsia="Times New Roman" w:hAnsi="Times New Roman"/>
          <w:sz w:val="20"/>
          <w:szCs w:val="20"/>
          <w:color w:val="auto"/>
        </w:rPr>
        <w:t>The Company determines the grant-date fair value of options to purchase common shares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3" w:lineRule="exact"/>
        <w:rPr>
          <w:sz w:val="20"/>
          <w:szCs w:val="20"/>
          <w:color w:val="auto"/>
        </w:rPr>
      </w:pPr>
    </w:p>
    <w:p>
      <w:pPr>
        <w:ind w:firstLine="979"/>
        <w:spacing w:after="0" w:line="237" w:lineRule="auto"/>
        <w:rPr>
          <w:sz w:val="20"/>
          <w:szCs w:val="20"/>
          <w:color w:val="auto"/>
        </w:rPr>
      </w:pPr>
      <w:r>
        <w:rPr>
          <w:rFonts w:ascii="Times New Roman" w:cs="Times New Roman" w:eastAsia="Times New Roman" w:hAnsi="Times New Roman"/>
          <w:sz w:val="20"/>
          <w:szCs w:val="20"/>
          <w:color w:val="auto"/>
        </w:rPr>
        <w:t>The Company is the managing member of Rani LLC and, as a result, consolidates the financial results of Rani LLC and, prior to December 15, 2022, its taxable subsidiary RMS in the consolidated financial statements. RMS was dissolved on December 15, 2022. 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it, based on its economic interest in Rani LLC. The Company's tax provision also includes the activity of RMS prior to its dissolution, which is taxed as a corporation for United States federal and state income tax purposes.</w:t>
      </w:r>
    </w:p>
    <w:p>
      <w:pPr>
        <w:sectPr>
          <w:pgSz w:w="12240" w:h="15840" w:orient="portrait"/>
          <w:cols w:equalWidth="0" w:num="1">
            <w:col w:w="10800"/>
          </w:cols>
          <w:pgMar w:left="720" w:top="925" w:right="720" w:bottom="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800"/>
          </w:cols>
          <w:pgMar w:left="720" w:top="925" w:right="720" w:bottom="0" w:gutter="0" w:footer="0" w:header="0"/>
          <w:type w:val="continuous"/>
        </w:sectPr>
      </w:pPr>
    </w:p>
    <w:bookmarkStart w:id="126" w:name="page127"/>
    <w:bookmarkEnd w:id="126"/>
    <w:p>
      <w:pPr>
        <w:ind w:right="60" w:firstLine="979"/>
        <w:spacing w:after="0" w:line="244"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of accounting. Current income tax expense or benefit represents the amount of income taxes expected to be payable or refundable for the current year. The Company recognizes deferred tax assets and liabilities for the future tax consequences attributable to differences between the financial statement carrying amounts of existing assets and liabilities and their respective tax bases, as well as for operating loss and tax credit carryforwards.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w:t>
      </w:r>
    </w:p>
    <w:p>
      <w:pPr>
        <w:spacing w:after="0" w:line="206" w:lineRule="exact"/>
        <w:rPr>
          <w:sz w:val="20"/>
          <w:szCs w:val="20"/>
          <w:color w:val="auto"/>
        </w:rPr>
      </w:pPr>
    </w:p>
    <w:p>
      <w:pPr>
        <w:ind w:right="60" w:firstLine="979"/>
        <w:spacing w:after="0" w:line="245" w:lineRule="auto"/>
        <w:rPr>
          <w:sz w:val="20"/>
          <w:szCs w:val="20"/>
          <w:color w:val="auto"/>
        </w:rPr>
      </w:pPr>
      <w:r>
        <w:rPr>
          <w:rFonts w:ascii="Times New Roman" w:cs="Times New Roman" w:eastAsia="Times New Roman" w:hAnsi="Times New Roman"/>
          <w:sz w:val="20"/>
          <w:szCs w:val="20"/>
          <w:color w:val="auto"/>
        </w:rPr>
        <w:t>The Company’s tax positions are subject to income tax audits.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income tax expense in the accompanying consolidated statements of operations and comprehensive loss. No such interest and penalties were recognized for any period presented.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40"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200" w:lineRule="exact"/>
        <w:rPr>
          <w:sz w:val="20"/>
          <w:szCs w:val="20"/>
          <w:color w:val="auto"/>
        </w:rPr>
      </w:pPr>
    </w:p>
    <w:p>
      <w:pPr>
        <w:ind w:right="160" w:firstLine="979"/>
        <w:spacing w:after="0" w:line="252" w:lineRule="auto"/>
        <w:rPr>
          <w:sz w:val="20"/>
          <w:szCs w:val="20"/>
          <w:color w:val="auto"/>
        </w:rPr>
      </w:pPr>
      <w:r>
        <w:rPr>
          <w:rFonts w:ascii="Times New Roman" w:cs="Times New Roman" w:eastAsia="Times New Roman" w:hAnsi="Times New Roman"/>
          <w:sz w:val="20"/>
          <w:szCs w:val="20"/>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40" w:lineRule="exact"/>
        <w:rPr>
          <w:sz w:val="20"/>
          <w:szCs w:val="20"/>
          <w:color w:val="auto"/>
        </w:rPr>
      </w:pPr>
    </w:p>
    <w:p>
      <w:pPr>
        <w:ind w:right="200" w:firstLine="979"/>
        <w:spacing w:after="0" w:line="258" w:lineRule="auto"/>
        <w:rPr>
          <w:sz w:val="20"/>
          <w:szCs w:val="20"/>
          <w:color w:val="auto"/>
        </w:rPr>
      </w:pPr>
      <w:r>
        <w:rPr>
          <w:rFonts w:ascii="Times New Roman" w:cs="Times New Roman" w:eastAsia="Times New Roman" w:hAnsi="Times New Roman"/>
          <w:sz w:val="20"/>
          <w:szCs w:val="20"/>
          <w:color w:val="auto"/>
        </w:rPr>
        <w:t>Comprehensive loss is defined as a change in equity of a business enterprise during a period, resulting from transactions and other events and/or circumstances from non-owner sources. Other comprehensive loss represents changes in fair value of the Company's available-for-sale marketable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w:t>
      </w:r>
    </w:p>
    <w:p>
      <w:pPr>
        <w:spacing w:after="0" w:line="240" w:lineRule="exact"/>
        <w:rPr>
          <w:sz w:val="20"/>
          <w:szCs w:val="20"/>
          <w:color w:val="auto"/>
        </w:rPr>
      </w:pPr>
    </w:p>
    <w:p>
      <w:pPr>
        <w:ind w:right="300" w:firstLine="979"/>
        <w:spacing w:after="0" w:line="258" w:lineRule="auto"/>
        <w:rPr>
          <w:sz w:val="20"/>
          <w:szCs w:val="20"/>
          <w:color w:val="auto"/>
        </w:rPr>
      </w:pPr>
      <w:r>
        <w:rPr>
          <w:rFonts w:ascii="Times New Roman" w:cs="Times New Roman" w:eastAsia="Times New Roman" w:hAnsi="Times New Roman"/>
          <w:sz w:val="20"/>
          <w:szCs w:val="20"/>
          <w:color w:val="auto"/>
        </w:rPr>
        <w:t>Non-controlling interest ("NCI") represents the portion of income or loss, net assets and comprehensive loss of the Company's consolidated subsidiary that is not allocable to Rani Holdings based on the Company's percentage of ownership of Rani LLC.</w:t>
      </w:r>
    </w:p>
    <w:p>
      <w:pPr>
        <w:spacing w:after="0" w:line="188" w:lineRule="exact"/>
        <w:rPr>
          <w:sz w:val="20"/>
          <w:szCs w:val="20"/>
          <w:color w:val="auto"/>
        </w:rPr>
      </w:pPr>
    </w:p>
    <w:p>
      <w:pPr>
        <w:ind w:right="20" w:firstLine="979"/>
        <w:spacing w:after="0" w:line="247" w:lineRule="auto"/>
        <w:rPr>
          <w:sz w:val="20"/>
          <w:szCs w:val="20"/>
          <w:color w:val="auto"/>
        </w:rPr>
      </w:pPr>
      <w:r>
        <w:rPr>
          <w:rFonts w:ascii="Times New Roman" w:cs="Times New Roman" w:eastAsia="Times New Roman" w:hAnsi="Times New Roman"/>
          <w:sz w:val="20"/>
          <w:szCs w:val="20"/>
          <w:color w:val="auto"/>
        </w:rPr>
        <w:t>In August 2021, based on the Organizational Transactions, Rani Holdings became the sole managing member of Rani LLC. As of December 31, 2023, Rani Holdings held approximately 51% of the Class A Units of Rani LLC, and approximately 49% of the outstanding Class A Units of Rani LLC are held by the Continuing LLC Owners. Therefore, the Company reports NCI based on the Class A Units of Rani LLC held by the Continuing LLC Owners on its consolidated balance sheet as of December 31, 2023. Income or loss attributed to the NCI in Rani LLC is based on the Class A Units outstanding during the period for which the income or loss is generated and is presented on the consolidated statements of operations and comprehensive loss.</w:t>
      </w:r>
    </w:p>
    <w:p>
      <w:pPr>
        <w:spacing w:after="0" w:line="200"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December 31, 2023, there were 5,173,947 exchanges of Paired Interests and 200,455 exchanges of non-corresponding Class A Units of Rani LLC for an equal number of shares of the Company's Class A common stock.</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10800"/>
          </w:cols>
          <w:pgMar w:left="720" w:top="930" w:right="72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40" w:lineRule="exact"/>
        <w:rPr>
          <w:sz w:val="20"/>
          <w:szCs w:val="20"/>
          <w:color w:val="auto"/>
        </w:rPr>
      </w:pPr>
    </w:p>
    <w:p>
      <w:pPr>
        <w:ind w:right="60" w:firstLine="979"/>
        <w:spacing w:after="0" w:line="245" w:lineRule="auto"/>
        <w:rPr>
          <w:sz w:val="20"/>
          <w:szCs w:val="20"/>
          <w:color w:val="auto"/>
        </w:rPr>
      </w:pPr>
      <w:r>
        <w:rPr>
          <w:rFonts w:ascii="Times New Roman" w:cs="Times New Roman" w:eastAsia="Times New Roman" w:hAnsi="Times New Roman"/>
          <w:sz w:val="20"/>
          <w:szCs w:val="20"/>
          <w:color w:val="auto"/>
        </w:rPr>
        <w:t>Property and equipment, net are stated at cost, less accumulated depreciation and amortization calculated using the straight-line method over the estimated useful lives of the assets, generally between three and five years. Leasehold improvements are amortized over the shorter of the related lease term or useful life. Maintenance and repairs are charged to operations when incurred, while betterments or renewals are capitalized. When property and equipment are sold or otherwise disposed of, the asset account and related accumulated depreciation and amortization accounts are relieved, and any gain or loss is included in the results of operations. Construction-in-progress consists of production equipment that will be used to scale-up the manufacturing of the RaniPill capsule for clinical trials and that has been determined to have an alternative future use. Construction-in-progress is stated at cost and does not begin to depreciate until it is put into production.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40" w:lineRule="exact"/>
        <w:rPr>
          <w:sz w:val="20"/>
          <w:szCs w:val="20"/>
          <w:color w:val="auto"/>
        </w:rPr>
      </w:pPr>
    </w:p>
    <w:p>
      <w:pPr>
        <w:ind w:right="80" w:firstLine="979"/>
        <w:spacing w:after="0" w:line="246" w:lineRule="auto"/>
        <w:rPr>
          <w:sz w:val="20"/>
          <w:szCs w:val="20"/>
          <w:color w:val="auto"/>
        </w:rPr>
      </w:pPr>
      <w:r>
        <w:rPr>
          <w:rFonts w:ascii="Times New Roman" w:cs="Times New Roman" w:eastAsia="Times New Roman" w:hAnsi="Times New Roman"/>
          <w:sz w:val="20"/>
          <w:szCs w:val="20"/>
          <w:color w:val="auto"/>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Class A Common Share Attributable to Rani Holdings</w:t>
      </w:r>
    </w:p>
    <w:p>
      <w:pPr>
        <w:spacing w:after="0" w:line="240" w:lineRule="exact"/>
        <w:rPr>
          <w:sz w:val="20"/>
          <w:szCs w:val="20"/>
          <w:color w:val="auto"/>
        </w:rPr>
      </w:pPr>
    </w:p>
    <w:p>
      <w:pPr>
        <w:ind w:right="20" w:firstLine="979"/>
        <w:spacing w:after="0" w:line="249" w:lineRule="auto"/>
        <w:rPr>
          <w:sz w:val="20"/>
          <w:szCs w:val="20"/>
          <w:color w:val="auto"/>
        </w:rPr>
      </w:pPr>
      <w:r>
        <w:rPr>
          <w:rFonts w:ascii="Times New Roman" w:cs="Times New Roman" w:eastAsia="Times New Roman" w:hAnsi="Times New Roman"/>
          <w:sz w:val="20"/>
          <w:szCs w:val="20"/>
          <w:color w:val="auto"/>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Status</w:t>
      </w:r>
    </w:p>
    <w:p>
      <w:pPr>
        <w:spacing w:after="0" w:line="240"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780"/>
          </w:cols>
          <w:pgMar w:left="720" w:top="930" w:right="74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3. Cash Equivalents, Restricted Cash Equivalents and Marketable Securities</w:t>
      </w:r>
    </w:p>
    <w:p>
      <w:pPr>
        <w:spacing w:after="0" w:line="244" w:lineRule="exact"/>
        <w:rPr>
          <w:sz w:val="20"/>
          <w:szCs w:val="20"/>
          <w:color w:val="auto"/>
        </w:rPr>
      </w:pPr>
    </w:p>
    <w:p>
      <w:pPr>
        <w:ind w:right="280" w:firstLine="979"/>
        <w:spacing w:after="0" w:line="277" w:lineRule="auto"/>
        <w:rPr>
          <w:sz w:val="20"/>
          <w:szCs w:val="20"/>
          <w:color w:val="auto"/>
        </w:rPr>
      </w:pPr>
      <w:r>
        <w:rPr>
          <w:rFonts w:ascii="Times New Roman" w:cs="Times New Roman" w:eastAsia="Times New Roman" w:hAnsi="Times New Roman"/>
          <w:sz w:val="20"/>
          <w:szCs w:val="20"/>
          <w:color w:val="auto"/>
        </w:rPr>
        <w:t>The following tables summarizes the amortized cost and fair value of the Company's cash equivalents, restricted cash equivalents and marketable securities by major investment category (in thousands):</w:t>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
              <w:spacing w:after="0" w:line="15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9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tcPr>
          <w:p>
            <w:pPr>
              <w:spacing w:after="0"/>
              <w:rPr>
                <w:sz w:val="13"/>
                <w:szCs w:val="13"/>
                <w:color w:val="auto"/>
              </w:rPr>
            </w:pPr>
          </w:p>
        </w:tc>
        <w:tc>
          <w:tcPr>
            <w:tcW w:w="108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2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84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78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76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84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equivalents: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2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3,339</w:t>
            </w:r>
          </w:p>
        </w:tc>
        <w:tc>
          <w:tcPr>
            <w:tcW w:w="3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3,339</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cash equivalents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3,339</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Restricted cash equivalents:</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top w:val="single" w:sz="8" w:color="E0E0E0"/>
            </w:tcBorders>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cash equivalents and restricted cash equivalents</w:t>
            </w:r>
          </w:p>
        </w:tc>
        <w:tc>
          <w:tcPr>
            <w:tcW w:w="1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3,839</w:t>
            </w:r>
          </w:p>
        </w:tc>
        <w:tc>
          <w:tcPr>
            <w:tcW w:w="20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780" w:type="dxa"/>
            <w:vAlign w:val="bottom"/>
            <w:tcBorders>
              <w:top w:val="single" w:sz="8" w:color="auto"/>
              <w:bottom w:val="single" w:sz="8" w:color="auto"/>
            </w:tcBorders>
            <w:shd w:val="clear" w:color="auto" w:fill="E0E0E0"/>
          </w:tcPr>
          <w:p>
            <w:pPr>
              <w:ind w:left="5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bottom w:val="single" w:sz="8" w:color="auto"/>
            </w:tcBorders>
            <w:shd w:val="clear" w:color="auto" w:fill="E0E0E0"/>
          </w:tcPr>
          <w:p>
            <w:pPr>
              <w:spacing w:after="0"/>
              <w:rPr>
                <w:sz w:val="19"/>
                <w:szCs w:val="19"/>
                <w:color w:val="auto"/>
              </w:rPr>
            </w:pPr>
          </w:p>
        </w:tc>
        <w:tc>
          <w:tcPr>
            <w:tcW w:w="7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3,839</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U.S. Treasuries and agencies</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35,513</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9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35,495</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Commercial paper</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5,219</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9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5,217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bottom w:val="single" w:sz="8" w:color="E0E0E0"/>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marketable securities</w:t>
            </w:r>
          </w:p>
        </w:tc>
        <w:tc>
          <w:tcPr>
            <w:tcW w:w="100" w:type="dxa"/>
            <w:vAlign w:val="bottom"/>
            <w:tcBorders>
              <w:bottom w:val="single" w:sz="8" w:color="E0E0E0"/>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42,703</w:t>
            </w:r>
          </w:p>
        </w:tc>
        <w:tc>
          <w:tcPr>
            <w:tcW w:w="200" w:type="dxa"/>
            <w:vAlign w:val="bottom"/>
            <w:tcBorders>
              <w:bottom w:val="single" w:sz="8" w:color="E0E0E0"/>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E0E0E0"/>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w:t>
            </w:r>
          </w:p>
        </w:tc>
        <w:tc>
          <w:tcPr>
            <w:tcW w:w="14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42,675</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2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20"/>
                <w:szCs w:val="20"/>
                <w:color w:val="auto"/>
              </w:rPr>
              <w:t>Total cash equivalents, restricted cash equivalents and</w:t>
            </w:r>
          </w:p>
        </w:tc>
        <w:tc>
          <w:tcPr>
            <w:tcW w:w="1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40" w:type="dxa"/>
            <w:vAlign w:val="bottom"/>
            <w:shd w:val="clear" w:color="auto" w:fill="E0E0E0"/>
          </w:tcPr>
          <w:p>
            <w:pPr>
              <w:spacing w:after="0"/>
              <w:rPr>
                <w:sz w:val="17"/>
                <w:szCs w:val="17"/>
                <w:color w:val="auto"/>
              </w:rPr>
            </w:pPr>
          </w:p>
        </w:tc>
        <w:tc>
          <w:tcPr>
            <w:tcW w:w="20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780" w:type="dxa"/>
            <w:vAlign w:val="bottom"/>
            <w:shd w:val="clear" w:color="auto" w:fill="E0E0E0"/>
          </w:tcPr>
          <w:p>
            <w:pPr>
              <w:spacing w:after="0"/>
              <w:rPr>
                <w:sz w:val="17"/>
                <w:szCs w:val="17"/>
                <w:color w:val="auto"/>
              </w:rPr>
            </w:pPr>
          </w:p>
        </w:tc>
        <w:tc>
          <w:tcPr>
            <w:tcW w:w="200" w:type="dxa"/>
            <w:vAlign w:val="bottom"/>
            <w:shd w:val="clear" w:color="auto" w:fill="E0E0E0"/>
          </w:tcPr>
          <w:p>
            <w:pPr>
              <w:spacing w:after="0"/>
              <w:rPr>
                <w:sz w:val="17"/>
                <w:szCs w:val="17"/>
                <w:color w:val="auto"/>
              </w:rPr>
            </w:pPr>
          </w:p>
        </w:tc>
        <w:tc>
          <w:tcPr>
            <w:tcW w:w="180" w:type="dxa"/>
            <w:vAlign w:val="bottom"/>
            <w:shd w:val="clear" w:color="auto" w:fill="E0E0E0"/>
          </w:tcPr>
          <w:p>
            <w:pPr>
              <w:spacing w:after="0"/>
              <w:rPr>
                <w:sz w:val="17"/>
                <w:szCs w:val="17"/>
                <w:color w:val="auto"/>
              </w:rPr>
            </w:pPr>
          </w:p>
        </w:tc>
        <w:tc>
          <w:tcPr>
            <w:tcW w:w="76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10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46,542</w:t>
            </w:r>
          </w:p>
        </w:tc>
        <w:tc>
          <w:tcPr>
            <w:tcW w:w="200" w:type="dxa"/>
            <w:vAlign w:val="bottom"/>
            <w:shd w:val="clear" w:color="auto" w:fill="E0E0E0"/>
          </w:tcPr>
          <w:p>
            <w:pPr>
              <w:spacing w:after="0"/>
              <w:rPr>
                <w:sz w:val="21"/>
                <w:szCs w:val="21"/>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4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46,514</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
              <w:spacing w:after="0" w:line="15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9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tcPr>
          <w:p>
            <w:pPr>
              <w:spacing w:after="0"/>
              <w:rPr>
                <w:sz w:val="13"/>
                <w:szCs w:val="13"/>
                <w:color w:val="auto"/>
              </w:rPr>
            </w:pPr>
          </w:p>
        </w:tc>
        <w:tc>
          <w:tcPr>
            <w:tcW w:w="108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2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84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78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76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84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equivalents: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2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25,313</w:t>
            </w:r>
          </w:p>
        </w:tc>
        <w:tc>
          <w:tcPr>
            <w:tcW w:w="3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25,313</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cash equivalents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25,313</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Restricted cash equivalents:</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top w:val="single" w:sz="8" w:color="E0E0E0"/>
            </w:tcBorders>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cash equivalents and restricted cash equivalents</w:t>
            </w:r>
          </w:p>
        </w:tc>
        <w:tc>
          <w:tcPr>
            <w:tcW w:w="1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25,813</w:t>
            </w:r>
          </w:p>
        </w:tc>
        <w:tc>
          <w:tcPr>
            <w:tcW w:w="20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780" w:type="dxa"/>
            <w:vAlign w:val="bottom"/>
            <w:tcBorders>
              <w:top w:val="single" w:sz="8" w:color="auto"/>
              <w:bottom w:val="single" w:sz="8" w:color="auto"/>
            </w:tcBorders>
            <w:shd w:val="clear" w:color="auto" w:fill="E0E0E0"/>
          </w:tcPr>
          <w:p>
            <w:pPr>
              <w:ind w:left="5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bottom w:val="single" w:sz="8" w:color="auto"/>
            </w:tcBorders>
            <w:shd w:val="clear" w:color="auto" w:fill="E0E0E0"/>
          </w:tcPr>
          <w:p>
            <w:pPr>
              <w:spacing w:after="0"/>
              <w:rPr>
                <w:sz w:val="19"/>
                <w:szCs w:val="19"/>
                <w:color w:val="auto"/>
              </w:rPr>
            </w:pPr>
          </w:p>
        </w:tc>
        <w:tc>
          <w:tcPr>
            <w:tcW w:w="7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25,813</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U.S. Treasuries and agencies</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36,563</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9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36,456</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Commercial paper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6,939</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9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International government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top w:val="single" w:sz="8" w:color="E0E0E0"/>
            </w:tcBorders>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marketable securities</w:t>
            </w:r>
          </w:p>
        </w:tc>
        <w:tc>
          <w:tcPr>
            <w:tcW w:w="1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71,624</w:t>
            </w:r>
          </w:p>
        </w:tc>
        <w:tc>
          <w:tcPr>
            <w:tcW w:w="200" w:type="dxa"/>
            <w:vAlign w:val="bottom"/>
            <w:tcBorders>
              <w:top w:val="single" w:sz="8" w:color="E0E0E0"/>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780" w:type="dxa"/>
            <w:vAlign w:val="bottom"/>
            <w:tcBorders>
              <w:top w:val="single" w:sz="8" w:color="auto"/>
              <w:bottom w:val="single" w:sz="8" w:color="auto"/>
            </w:tcBorders>
            <w:shd w:val="clear" w:color="auto" w:fill="E0E0E0"/>
          </w:tcPr>
          <w:p>
            <w:pPr>
              <w:ind w:left="5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bottom w:val="single" w:sz="8" w:color="auto"/>
            </w:tcBorders>
            <w:shd w:val="clear" w:color="auto" w:fill="E0E0E0"/>
          </w:tcPr>
          <w:p>
            <w:pPr>
              <w:spacing w:after="0"/>
              <w:rPr>
                <w:sz w:val="19"/>
                <w:szCs w:val="19"/>
                <w:color w:val="auto"/>
              </w:rPr>
            </w:pPr>
          </w:p>
        </w:tc>
        <w:tc>
          <w:tcPr>
            <w:tcW w:w="7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(149)</w:t>
            </w:r>
          </w:p>
        </w:tc>
        <w:tc>
          <w:tcPr>
            <w:tcW w:w="140" w:type="dxa"/>
            <w:vAlign w:val="bottom"/>
            <w:tcBorders>
              <w:top w:val="single" w:sz="8" w:color="E0E0E0"/>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71,475</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Total cash equivalents, restricted cash equivalents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December 31, 2023,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December 31, 2023.</w:t>
      </w:r>
    </w:p>
    <w:p>
      <w:pPr>
        <w:sectPr>
          <w:pgSz w:w="12240" w:h="15840" w:orient="portrait"/>
          <w:cols w:equalWidth="0" w:num="1">
            <w:col w:w="10660"/>
          </w:cols>
          <w:pgMar w:left="720" w:top="92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10660"/>
          </w:cols>
          <w:pgMar w:left="720" w:top="926" w:right="86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244" w:lineRule="exact"/>
        <w:rPr>
          <w:sz w:val="20"/>
          <w:szCs w:val="20"/>
          <w:color w:val="auto"/>
        </w:rPr>
      </w:pPr>
    </w:p>
    <w:p>
      <w:pPr>
        <w:ind w:right="240" w:firstLine="979"/>
        <w:spacing w:after="0" w:line="277" w:lineRule="auto"/>
        <w:rPr>
          <w:sz w:val="20"/>
          <w:szCs w:val="20"/>
          <w:color w:val="auto"/>
        </w:rPr>
      </w:pPr>
      <w:r>
        <w:rPr>
          <w:rFonts w:ascii="Times New Roman" w:cs="Times New Roman" w:eastAsia="Times New Roman" w:hAnsi="Times New Roman"/>
          <w:sz w:val="20"/>
          <w:szCs w:val="20"/>
          <w:color w:val="auto"/>
        </w:rPr>
        <w:t>The following tables detail information about the Company’s financial assets and liabilities measured at fair value on a recurring basis and indicates the level of inputs used in such measurements (in thousands):</w:t>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46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3"/>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3"/>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E0E0E0"/>
            </w:tcBorders>
          </w:tcPr>
          <w:p>
            <w:pPr>
              <w:spacing w:after="0"/>
              <w:rPr>
                <w:sz w:val="15"/>
                <w:szCs w:val="15"/>
                <w:color w:val="auto"/>
              </w:rPr>
            </w:pPr>
          </w:p>
        </w:tc>
      </w:tr>
      <w:tr>
        <w:trPr>
          <w:trHeight w:val="220"/>
        </w:trPr>
        <w:tc>
          <w:tcPr>
            <w:tcW w:w="46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Assets: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equivalents: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3,339</w:t>
            </w:r>
          </w:p>
        </w:tc>
        <w:tc>
          <w:tcPr>
            <w:tcW w:w="3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3,339</w:t>
            </w: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Restricted cash equivalents: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U.S. Treasuries and agencies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35,495</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35,495</w:t>
            </w: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100" w:type="dxa"/>
            <w:vAlign w:val="bottom"/>
          </w:tcPr>
          <w:p>
            <w:pPr>
              <w:spacing w:after="0"/>
              <w:rPr>
                <w:sz w:val="19"/>
                <w:szCs w:val="19"/>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Commercial paper</w:t>
            </w:r>
          </w:p>
        </w:tc>
        <w:tc>
          <w:tcPr>
            <w:tcW w:w="1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5,217</w:t>
            </w:r>
          </w:p>
        </w:tc>
        <w:tc>
          <w:tcPr>
            <w:tcW w:w="2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spacing w:after="0"/>
              <w:rPr>
                <w:sz w:val="19"/>
                <w:szCs w:val="19"/>
                <w:color w:val="auto"/>
              </w:rPr>
            </w:pPr>
          </w:p>
        </w:tc>
        <w:tc>
          <w:tcPr>
            <w:tcW w:w="780" w:type="dxa"/>
            <w:vAlign w:val="bottom"/>
            <w:tcBorders>
              <w:bottom w:val="single" w:sz="8" w:color="auto"/>
            </w:tcBorders>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spacing w:after="0"/>
              <w:rPr>
                <w:sz w:val="19"/>
                <w:szCs w:val="19"/>
                <w:color w:val="auto"/>
              </w:rPr>
            </w:pPr>
          </w:p>
        </w:tc>
        <w:tc>
          <w:tcPr>
            <w:tcW w:w="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5,217</w:t>
            </w:r>
          </w:p>
        </w:tc>
        <w:tc>
          <w:tcPr>
            <w:tcW w:w="100" w:type="dxa"/>
            <w:vAlign w:val="bottom"/>
            <w:shd w:val="clear" w:color="auto" w:fill="E0E0E0"/>
          </w:tcPr>
          <w:p>
            <w:pPr>
              <w:spacing w:after="0"/>
              <w:rPr>
                <w:sz w:val="19"/>
                <w:szCs w:val="19"/>
                <w:color w:val="auto"/>
              </w:rPr>
            </w:pPr>
          </w:p>
        </w:tc>
      </w:tr>
      <w:tr>
        <w:trPr>
          <w:trHeight w:val="220"/>
        </w:trPr>
        <w:tc>
          <w:tcPr>
            <w:tcW w:w="46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39,334</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7,180</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ind w:left="5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46,514</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5"/>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46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3"/>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Borders>
              <w:bottom w:val="single" w:sz="8" w:color="E0E0E0"/>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3"/>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E0E0E0"/>
            </w:tcBorders>
          </w:tcPr>
          <w:p>
            <w:pPr>
              <w:spacing w:after="0"/>
              <w:rPr>
                <w:sz w:val="15"/>
                <w:szCs w:val="15"/>
                <w:color w:val="auto"/>
              </w:rPr>
            </w:pPr>
          </w:p>
        </w:tc>
      </w:tr>
      <w:tr>
        <w:trPr>
          <w:trHeight w:val="220"/>
        </w:trPr>
        <w:tc>
          <w:tcPr>
            <w:tcW w:w="46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Assets: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equivalents: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25,313</w:t>
            </w:r>
          </w:p>
        </w:tc>
        <w:tc>
          <w:tcPr>
            <w:tcW w:w="3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25,313</w:t>
            </w: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Restricted cash equivalents: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U.S. Treasuries and agencies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36,456</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36,456</w:t>
            </w: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Commercial paper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26,631</w:t>
            </w:r>
          </w:p>
        </w:tc>
        <w:tc>
          <w:tcPr>
            <w:tcW w:w="100" w:type="dxa"/>
            <w:vAlign w:val="bottom"/>
          </w:tcPr>
          <w:p>
            <w:pPr>
              <w:spacing w:after="0"/>
              <w:rPr>
                <w:sz w:val="19"/>
                <w:szCs w:val="19"/>
                <w:color w:val="auto"/>
              </w:rPr>
            </w:pPr>
          </w:p>
        </w:tc>
      </w:tr>
      <w:tr>
        <w:trPr>
          <w:trHeight w:val="230"/>
        </w:trPr>
        <w:tc>
          <w:tcPr>
            <w:tcW w:w="46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80" w:type="dxa"/>
            <w:vAlign w:val="bottom"/>
            <w:shd w:val="clear" w:color="auto" w:fill="E0E0E0"/>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100" w:type="dxa"/>
            <w:vAlign w:val="bottom"/>
            <w:shd w:val="clear" w:color="auto" w:fill="E0E0E0"/>
          </w:tcPr>
          <w:p>
            <w:pPr>
              <w:spacing w:after="0"/>
              <w:rPr>
                <w:sz w:val="19"/>
                <w:szCs w:val="19"/>
                <w:color w:val="auto"/>
              </w:rPr>
            </w:pPr>
          </w:p>
        </w:tc>
      </w:tr>
      <w:tr>
        <w:trPr>
          <w:trHeight w:val="230"/>
        </w:trPr>
        <w:tc>
          <w:tcPr>
            <w:tcW w:w="46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International government</w:t>
            </w:r>
          </w:p>
        </w:tc>
        <w:tc>
          <w:tcPr>
            <w:tcW w:w="10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w:t>
            </w:r>
          </w:p>
        </w:tc>
        <w:tc>
          <w:tcPr>
            <w:tcW w:w="200" w:type="dxa"/>
            <w:vAlign w:val="bottom"/>
            <w:tcBorders>
              <w:bottom w:val="single" w:sz="8" w:color="E0E0E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E0E0E0"/>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w:t>
            </w:r>
          </w:p>
        </w:tc>
        <w:tc>
          <w:tcPr>
            <w:tcW w:w="100" w:type="dxa"/>
            <w:vAlign w:val="bottom"/>
            <w:tcBorders>
              <w:bottom w:val="single" w:sz="8" w:color="E0E0E0"/>
            </w:tcBorders>
          </w:tcPr>
          <w:p>
            <w:pPr>
              <w:spacing w:after="0"/>
              <w:rPr>
                <w:sz w:val="19"/>
                <w:szCs w:val="19"/>
                <w:color w:val="auto"/>
              </w:rPr>
            </w:pPr>
          </w:p>
        </w:tc>
      </w:tr>
      <w:tr>
        <w:trPr>
          <w:trHeight w:val="220"/>
        </w:trPr>
        <w:tc>
          <w:tcPr>
            <w:tcW w:w="46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0E0E0"/>
              </w:rPr>
              <w:t>62,269</w:t>
            </w:r>
          </w:p>
        </w:tc>
        <w:tc>
          <w:tcPr>
            <w:tcW w:w="2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0E0E0"/>
              </w:rPr>
              <w:t>35,019</w:t>
            </w:r>
          </w:p>
        </w:tc>
        <w:tc>
          <w:tcPr>
            <w:tcW w:w="200" w:type="dxa"/>
            <w:vAlign w:val="bottom"/>
            <w:shd w:val="clear" w:color="auto" w:fill="E0E0E0"/>
          </w:tcPr>
          <w:p>
            <w:pPr>
              <w:spacing w:after="0"/>
              <w:rPr>
                <w:sz w:val="19"/>
                <w:szCs w:val="19"/>
                <w:color w:val="auto"/>
              </w:rPr>
            </w:pPr>
          </w:p>
        </w:tc>
        <w:tc>
          <w:tcPr>
            <w:tcW w:w="1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shd w:val="clear" w:color="auto" w:fill="E0E0E0"/>
          </w:tcPr>
          <w:p>
            <w:pPr>
              <w:ind w:left="5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E0E0E0"/>
          </w:tcPr>
          <w:p>
            <w:pPr>
              <w:spacing w:after="0"/>
              <w:rPr>
                <w:sz w:val="19"/>
                <w:szCs w:val="19"/>
                <w:color w:val="auto"/>
              </w:rPr>
            </w:pPr>
          </w:p>
        </w:tc>
        <w:tc>
          <w:tcPr>
            <w:tcW w:w="20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0E0E0"/>
              </w:rPr>
              <w:t>97,288</w:t>
            </w:r>
          </w:p>
        </w:tc>
        <w:tc>
          <w:tcPr>
            <w:tcW w:w="100" w:type="dxa"/>
            <w:vAlign w:val="bottom"/>
            <w:shd w:val="clear" w:color="auto" w:fill="E0E0E0"/>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979"/>
        <w:spacing w:after="0" w:line="249" w:lineRule="auto"/>
        <w:rPr>
          <w:sz w:val="20"/>
          <w:szCs w:val="20"/>
          <w:color w:val="auto"/>
        </w:rPr>
      </w:pPr>
      <w:r>
        <w:rPr>
          <w:rFonts w:ascii="Times New Roman" w:cs="Times New Roman" w:eastAsia="Times New Roman" w:hAnsi="Times New Roman"/>
          <w:sz w:val="20"/>
          <w:szCs w:val="20"/>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There were no transfers between Level 1, Level 2 and Level 3 of the fair value hierarchy for any of the periods presented.</w:t>
      </w:r>
    </w:p>
    <w:p>
      <w:pPr>
        <w:spacing w:after="0" w:line="240" w:lineRule="exact"/>
        <w:rPr>
          <w:sz w:val="20"/>
          <w:szCs w:val="20"/>
          <w:color w:val="auto"/>
        </w:rPr>
      </w:pPr>
    </w:p>
    <w:p>
      <w:pPr>
        <w:ind w:firstLine="979"/>
        <w:spacing w:after="0" w:line="247" w:lineRule="auto"/>
        <w:rPr>
          <w:sz w:val="20"/>
          <w:szCs w:val="20"/>
          <w:color w:val="auto"/>
        </w:rPr>
      </w:pPr>
      <w:r>
        <w:rPr>
          <w:rFonts w:ascii="Times New Roman" w:cs="Times New Roman" w:eastAsia="Times New Roman" w:hAnsi="Times New Roman"/>
          <w:sz w:val="20"/>
          <w:szCs w:val="20"/>
          <w:color w:val="auto"/>
        </w:rPr>
        <w:t>In 2022, as further discussed in Note 8, the Company issued Level 3 equity classified warrants totaling $0.5 million in connection with the loan and security agreement that were estimated on the date of issuance using the Black-Scholes valuation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w:t>
      </w:r>
    </w:p>
    <w:p>
      <w:pPr>
        <w:sectPr>
          <w:pgSz w:w="12240" w:h="15840" w:orient="portrait"/>
          <w:cols w:equalWidth="0" w:num="1">
            <w:col w:w="10740"/>
          </w:cols>
          <w:pgMar w:left="720" w:top="92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10740"/>
          </w:cols>
          <w:pgMar w:left="720" w:top="926" w:right="78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5. Balance Sheet Components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Property and equipment, net consist of the following (in thousands):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080" w:type="dxa"/>
            <w:vAlign w:val="bottom"/>
            <w:tcBorders>
              <w:bottom w:val="single" w:sz="8" w:color="E0E0E0"/>
            </w:tcBorders>
          </w:tcPr>
          <w:p>
            <w:pPr>
              <w:spacing w:after="0"/>
              <w:rPr>
                <w:sz w:val="15"/>
                <w:szCs w:val="15"/>
                <w:color w:val="auto"/>
              </w:rPr>
            </w:pPr>
          </w:p>
        </w:tc>
        <w:tc>
          <w:tcPr>
            <w:tcW w:w="1200" w:type="dxa"/>
            <w:vAlign w:val="bottom"/>
            <w:tcBorders>
              <w:bottom w:val="single" w:sz="8" w:color="E0E0E0"/>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50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Laboratory equipment</w:t>
            </w:r>
          </w:p>
        </w:tc>
        <w:tc>
          <w:tcPr>
            <w:tcW w:w="1200" w:type="dxa"/>
            <w:vAlign w:val="bottom"/>
            <w:shd w:val="clear" w:color="auto" w:fill="E0E0E0"/>
          </w:tcPr>
          <w:p>
            <w:pPr>
              <w:spacing w:after="0"/>
              <w:rPr>
                <w:sz w:val="19"/>
                <w:szCs w:val="19"/>
                <w:color w:val="auto"/>
              </w:rPr>
            </w:pPr>
          </w:p>
        </w:tc>
        <w:tc>
          <w:tcPr>
            <w:tcW w:w="300" w:type="dxa"/>
            <w:vAlign w:val="bottom"/>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4,023</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420" w:type="dxa"/>
            <w:vAlign w:val="bottom"/>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2,661</w:t>
            </w:r>
          </w:p>
        </w:tc>
        <w:tc>
          <w:tcPr>
            <w:tcW w:w="100" w:type="dxa"/>
            <w:vAlign w:val="bottom"/>
            <w:shd w:val="clear" w:color="auto" w:fill="E0E0E0"/>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1,549</w:t>
            </w:r>
          </w:p>
        </w:tc>
        <w:tc>
          <w:tcPr>
            <w:tcW w:w="100" w:type="dxa"/>
            <w:vAlign w:val="bottom"/>
          </w:tcPr>
          <w:p>
            <w:pPr>
              <w:spacing w:after="0"/>
              <w:rPr>
                <w:sz w:val="19"/>
                <w:szCs w:val="19"/>
                <w:color w:val="auto"/>
              </w:rPr>
            </w:pPr>
          </w:p>
        </w:tc>
      </w:tr>
      <w:tr>
        <w:trPr>
          <w:trHeight w:val="230"/>
        </w:trPr>
        <w:tc>
          <w:tcPr>
            <w:tcW w:w="50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Software</w:t>
            </w:r>
          </w:p>
        </w:tc>
        <w:tc>
          <w:tcPr>
            <w:tcW w:w="120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shd w:val="clear" w:color="auto" w:fill="E0E0E0"/>
          </w:tcPr>
          <w:p>
            <w:pPr>
              <w:spacing w:after="0"/>
              <w:rPr>
                <w:sz w:val="19"/>
                <w:szCs w:val="19"/>
                <w:color w:val="auto"/>
              </w:rPr>
            </w:pPr>
          </w:p>
        </w:tc>
      </w:tr>
      <w:tr>
        <w:trPr>
          <w:trHeight w:val="230"/>
        </w:trPr>
        <w:tc>
          <w:tcPr>
            <w:tcW w:w="5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120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16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100" w:type="dxa"/>
            <w:vAlign w:val="bottom"/>
            <w:tcBorders>
              <w:bottom w:val="single" w:sz="8" w:color="E0E0E0"/>
            </w:tcBorders>
          </w:tcPr>
          <w:p>
            <w:pPr>
              <w:spacing w:after="0"/>
              <w:rPr>
                <w:sz w:val="19"/>
                <w:szCs w:val="19"/>
                <w:color w:val="auto"/>
              </w:rPr>
            </w:pPr>
          </w:p>
        </w:tc>
      </w:tr>
      <w:tr>
        <w:trPr>
          <w:trHeight w:val="220"/>
        </w:trPr>
        <w:tc>
          <w:tcPr>
            <w:tcW w:w="5080" w:type="dxa"/>
            <w:vAlign w:val="bottom"/>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20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5,872</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4,471</w:t>
            </w:r>
          </w:p>
        </w:tc>
        <w:tc>
          <w:tcPr>
            <w:tcW w:w="100" w:type="dxa"/>
            <w:vAlign w:val="bottom"/>
            <w:shd w:val="clear" w:color="auto" w:fill="E0E0E0"/>
          </w:tcPr>
          <w:p>
            <w:pPr>
              <w:spacing w:after="0"/>
              <w:rPr>
                <w:sz w:val="19"/>
                <w:szCs w:val="19"/>
                <w:color w:val="auto"/>
              </w:rPr>
            </w:pPr>
          </w:p>
        </w:tc>
      </w:tr>
      <w:tr>
        <w:trPr>
          <w:trHeight w:val="230"/>
        </w:trPr>
        <w:tc>
          <w:tcPr>
            <w:tcW w:w="5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20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(3,671)</w:t>
            </w:r>
          </w:p>
        </w:tc>
        <w:tc>
          <w:tcPr>
            <w:tcW w:w="16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(2,849)</w:t>
            </w:r>
          </w:p>
        </w:tc>
        <w:tc>
          <w:tcPr>
            <w:tcW w:w="100" w:type="dxa"/>
            <w:vAlign w:val="bottom"/>
            <w:tcBorders>
              <w:bottom w:val="single" w:sz="8" w:color="E0E0E0"/>
            </w:tcBorders>
          </w:tcPr>
          <w:p>
            <w:pPr>
              <w:spacing w:after="0"/>
              <w:rPr>
                <w:sz w:val="19"/>
                <w:szCs w:val="19"/>
                <w:color w:val="auto"/>
              </w:rPr>
            </w:pPr>
          </w:p>
        </w:tc>
      </w:tr>
      <w:tr>
        <w:trPr>
          <w:trHeight w:val="220"/>
        </w:trPr>
        <w:tc>
          <w:tcPr>
            <w:tcW w:w="5080" w:type="dxa"/>
            <w:vAlign w:val="bottom"/>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200" w:type="dxa"/>
            <w:vAlign w:val="bottom"/>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9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2,201</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1,622</w:t>
            </w:r>
          </w:p>
        </w:tc>
        <w:tc>
          <w:tcPr>
            <w:tcW w:w="100" w:type="dxa"/>
            <w:vAlign w:val="bottom"/>
            <w:shd w:val="clear" w:color="auto" w:fill="E0E0E0"/>
          </w:tcPr>
          <w:p>
            <w:pPr>
              <w:spacing w:after="0"/>
              <w:rPr>
                <w:sz w:val="19"/>
                <w:szCs w:val="19"/>
                <w:color w:val="auto"/>
              </w:rPr>
            </w:pPr>
          </w:p>
        </w:tc>
      </w:tr>
      <w:tr>
        <w:trPr>
          <w:trHeight w:val="230"/>
        </w:trPr>
        <w:tc>
          <w:tcPr>
            <w:tcW w:w="5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Construction-in-progress</w:t>
            </w:r>
          </w:p>
        </w:tc>
        <w:tc>
          <w:tcPr>
            <w:tcW w:w="120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3,904</w:t>
            </w:r>
          </w:p>
        </w:tc>
        <w:tc>
          <w:tcPr>
            <w:tcW w:w="16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4,416</w:t>
            </w:r>
          </w:p>
        </w:tc>
        <w:tc>
          <w:tcPr>
            <w:tcW w:w="100" w:type="dxa"/>
            <w:vAlign w:val="bottom"/>
            <w:tcBorders>
              <w:bottom w:val="single" w:sz="8" w:color="E0E0E0"/>
            </w:tcBorders>
          </w:tcPr>
          <w:p>
            <w:pPr>
              <w:spacing w:after="0"/>
              <w:rPr>
                <w:sz w:val="19"/>
                <w:szCs w:val="19"/>
                <w:color w:val="auto"/>
              </w:rPr>
            </w:pPr>
          </w:p>
        </w:tc>
      </w:tr>
      <w:tr>
        <w:trPr>
          <w:trHeight w:val="220"/>
        </w:trPr>
        <w:tc>
          <w:tcPr>
            <w:tcW w:w="50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 property and equipment, net</w:t>
            </w:r>
          </w:p>
        </w:tc>
        <w:tc>
          <w:tcPr>
            <w:tcW w:w="1200" w:type="dxa"/>
            <w:vAlign w:val="bottom"/>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6,105</w:t>
            </w:r>
          </w:p>
        </w:tc>
        <w:tc>
          <w:tcPr>
            <w:tcW w:w="1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420" w:type="dxa"/>
            <w:vAlign w:val="bottom"/>
            <w:tcBorders>
              <w:bottom w:val="single" w:sz="8" w:color="auto"/>
            </w:tcBorders>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6,038</w:t>
            </w:r>
          </w:p>
        </w:tc>
        <w:tc>
          <w:tcPr>
            <w:tcW w:w="100" w:type="dxa"/>
            <w:vAlign w:val="bottom"/>
            <w:shd w:val="clear" w:color="auto" w:fill="E0E0E0"/>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979"/>
        <w:spacing w:after="0" w:line="277" w:lineRule="auto"/>
        <w:rPr>
          <w:sz w:val="20"/>
          <w:szCs w:val="20"/>
          <w:color w:val="auto"/>
        </w:rPr>
      </w:pPr>
      <w:r>
        <w:rPr>
          <w:rFonts w:ascii="Times New Roman" w:cs="Times New Roman" w:eastAsia="Times New Roman" w:hAnsi="Times New Roman"/>
          <w:sz w:val="20"/>
          <w:szCs w:val="20"/>
          <w:color w:val="auto"/>
        </w:rPr>
        <w:t>Depreciation and amortization expense totaled $0.8 million and $0.5 million for the years ended December 31, 2023 and 2022,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 and other current liabilities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Accrued expenses and other current liabilities consist of the following (in thousands):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180" w:type="dxa"/>
            <w:vAlign w:val="bottom"/>
            <w:tcBorders>
              <w:bottom w:val="single" w:sz="8" w:color="E0E0E0"/>
            </w:tcBorders>
          </w:tcPr>
          <w:p>
            <w:pPr>
              <w:spacing w:after="0"/>
              <w:rPr>
                <w:sz w:val="15"/>
                <w:szCs w:val="15"/>
                <w:color w:val="auto"/>
              </w:rPr>
            </w:pPr>
          </w:p>
        </w:tc>
        <w:tc>
          <w:tcPr>
            <w:tcW w:w="1100" w:type="dxa"/>
            <w:vAlign w:val="bottom"/>
            <w:tcBorders>
              <w:bottom w:val="single" w:sz="8" w:color="E0E0E0"/>
            </w:tcBorders>
          </w:tcPr>
          <w:p>
            <w:pPr>
              <w:spacing w:after="0"/>
              <w:rPr>
                <w:sz w:val="15"/>
                <w:szCs w:val="15"/>
                <w:color w:val="auto"/>
              </w:rPr>
            </w:pPr>
          </w:p>
        </w:tc>
        <w:tc>
          <w:tcPr>
            <w:tcW w:w="8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51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Accrued interest</w:t>
            </w:r>
          </w:p>
        </w:tc>
        <w:tc>
          <w:tcPr>
            <w:tcW w:w="1100" w:type="dxa"/>
            <w:vAlign w:val="bottom"/>
            <w:shd w:val="clear" w:color="auto" w:fill="E0E0E0"/>
          </w:tcPr>
          <w:p>
            <w:pPr>
              <w:spacing w:after="0"/>
              <w:rPr>
                <w:sz w:val="19"/>
                <w:szCs w:val="19"/>
                <w:color w:val="auto"/>
              </w:rPr>
            </w:pPr>
          </w:p>
        </w:tc>
        <w:tc>
          <w:tcPr>
            <w:tcW w:w="820" w:type="dxa"/>
            <w:vAlign w:val="bottom"/>
            <w:shd w:val="clear" w:color="auto" w:fill="E0E0E0"/>
          </w:tcPr>
          <w:p>
            <w:pPr>
              <w:jc w:val="right"/>
              <w:ind w:right="62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500</w:t>
            </w:r>
          </w:p>
        </w:tc>
        <w:tc>
          <w:tcPr>
            <w:tcW w:w="240" w:type="dxa"/>
            <w:vAlign w:val="bottom"/>
            <w:shd w:val="clear" w:color="auto" w:fill="E0E0E0"/>
          </w:tcPr>
          <w:p>
            <w:pPr>
              <w:spacing w:after="0"/>
              <w:rPr>
                <w:sz w:val="19"/>
                <w:szCs w:val="19"/>
                <w:color w:val="auto"/>
              </w:rPr>
            </w:pPr>
          </w:p>
        </w:tc>
        <w:tc>
          <w:tcPr>
            <w:tcW w:w="420" w:type="dxa"/>
            <w:vAlign w:val="bottom"/>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69</w:t>
            </w:r>
          </w:p>
        </w:tc>
        <w:tc>
          <w:tcPr>
            <w:tcW w:w="100" w:type="dxa"/>
            <w:vAlign w:val="bottom"/>
            <w:shd w:val="clear" w:color="auto" w:fill="E0E0E0"/>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Accrued preclinical and clinical trial costs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w:t>
            </w:r>
          </w:p>
        </w:tc>
        <w:tc>
          <w:tcPr>
            <w:tcW w:w="100" w:type="dxa"/>
            <w:vAlign w:val="bottom"/>
          </w:tcPr>
          <w:p>
            <w:pPr>
              <w:spacing w:after="0"/>
              <w:rPr>
                <w:sz w:val="19"/>
                <w:szCs w:val="19"/>
                <w:color w:val="auto"/>
              </w:rPr>
            </w:pPr>
          </w:p>
        </w:tc>
      </w:tr>
      <w:tr>
        <w:trPr>
          <w:trHeight w:val="230"/>
        </w:trPr>
        <w:tc>
          <w:tcPr>
            <w:tcW w:w="5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Payroll and related</w:t>
            </w:r>
          </w:p>
        </w:tc>
        <w:tc>
          <w:tcPr>
            <w:tcW w:w="1100" w:type="dxa"/>
            <w:vAlign w:val="bottom"/>
            <w:shd w:val="clear" w:color="auto" w:fill="E0E0E0"/>
          </w:tcPr>
          <w:p>
            <w:pPr>
              <w:spacing w:after="0"/>
              <w:rPr>
                <w:sz w:val="19"/>
                <w:szCs w:val="19"/>
                <w:color w:val="auto"/>
              </w:rPr>
            </w:pPr>
          </w:p>
        </w:tc>
        <w:tc>
          <w:tcPr>
            <w:tcW w:w="820" w:type="dxa"/>
            <w:vAlign w:val="bottom"/>
            <w:shd w:val="clear" w:color="auto" w:fill="E0E0E0"/>
          </w:tcPr>
          <w:p>
            <w:pPr>
              <w:spacing w:after="0"/>
              <w:rPr>
                <w:sz w:val="19"/>
                <w:szCs w:val="19"/>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24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100" w:type="dxa"/>
            <w:vAlign w:val="bottom"/>
            <w:shd w:val="clear" w:color="auto" w:fill="E0E0E0"/>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Accrued professional fees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00" w:type="dxa"/>
            <w:vAlign w:val="bottom"/>
          </w:tcPr>
          <w:p>
            <w:pPr>
              <w:spacing w:after="0"/>
              <w:rPr>
                <w:sz w:val="19"/>
                <w:szCs w:val="19"/>
                <w:color w:val="auto"/>
              </w:rPr>
            </w:pPr>
          </w:p>
        </w:tc>
      </w:tr>
      <w:tr>
        <w:trPr>
          <w:trHeight w:val="230"/>
        </w:trPr>
        <w:tc>
          <w:tcPr>
            <w:tcW w:w="5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Related party payable</w:t>
            </w:r>
          </w:p>
        </w:tc>
        <w:tc>
          <w:tcPr>
            <w:tcW w:w="1100" w:type="dxa"/>
            <w:vAlign w:val="bottom"/>
            <w:shd w:val="clear" w:color="auto" w:fill="E0E0E0"/>
          </w:tcPr>
          <w:p>
            <w:pPr>
              <w:spacing w:after="0"/>
              <w:rPr>
                <w:sz w:val="19"/>
                <w:szCs w:val="19"/>
                <w:color w:val="auto"/>
              </w:rPr>
            </w:pPr>
          </w:p>
        </w:tc>
        <w:tc>
          <w:tcPr>
            <w:tcW w:w="820" w:type="dxa"/>
            <w:vAlign w:val="bottom"/>
            <w:shd w:val="clear" w:color="auto" w:fill="E0E0E0"/>
          </w:tcPr>
          <w:p>
            <w:pPr>
              <w:spacing w:after="0"/>
              <w:rPr>
                <w:sz w:val="19"/>
                <w:szCs w:val="19"/>
                <w:color w:val="auto"/>
              </w:rPr>
            </w:pPr>
          </w:p>
        </w:tc>
        <w:tc>
          <w:tcPr>
            <w:tcW w:w="4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4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shd w:val="clear" w:color="auto" w:fill="E0E0E0"/>
          </w:tcPr>
          <w:p>
            <w:pPr>
              <w:spacing w:after="0"/>
              <w:rPr>
                <w:sz w:val="19"/>
                <w:szCs w:val="19"/>
                <w:color w:val="auto"/>
              </w:rPr>
            </w:pPr>
          </w:p>
        </w:tc>
      </w:tr>
      <w:tr>
        <w:trPr>
          <w:trHeight w:val="230"/>
        </w:trPr>
        <w:tc>
          <w:tcPr>
            <w:tcW w:w="51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1100" w:type="dxa"/>
            <w:vAlign w:val="bottom"/>
            <w:tcBorders>
              <w:bottom w:val="single" w:sz="8" w:color="E0E0E0"/>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40" w:type="dxa"/>
            <w:vAlign w:val="bottom"/>
            <w:tcBorders>
              <w:bottom w:val="single" w:sz="8" w:color="E0E0E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100" w:type="dxa"/>
            <w:vAlign w:val="bottom"/>
            <w:tcBorders>
              <w:bottom w:val="single" w:sz="8" w:color="E0E0E0"/>
            </w:tcBorders>
          </w:tcPr>
          <w:p>
            <w:pPr>
              <w:spacing w:after="0"/>
              <w:rPr>
                <w:sz w:val="19"/>
                <w:szCs w:val="19"/>
                <w:color w:val="auto"/>
              </w:rPr>
            </w:pPr>
          </w:p>
        </w:tc>
      </w:tr>
      <w:tr>
        <w:trPr>
          <w:trHeight w:val="220"/>
        </w:trPr>
        <w:tc>
          <w:tcPr>
            <w:tcW w:w="51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1100" w:type="dxa"/>
            <w:vAlign w:val="bottom"/>
            <w:shd w:val="clear" w:color="auto" w:fill="E0E0E0"/>
          </w:tcPr>
          <w:p>
            <w:pPr>
              <w:spacing w:after="0"/>
              <w:rPr>
                <w:sz w:val="19"/>
                <w:szCs w:val="19"/>
                <w:color w:val="auto"/>
              </w:rPr>
            </w:pPr>
          </w:p>
        </w:tc>
        <w:tc>
          <w:tcPr>
            <w:tcW w:w="820" w:type="dxa"/>
            <w:vAlign w:val="bottom"/>
            <w:tcBorders>
              <w:bottom w:val="single" w:sz="8" w:color="auto"/>
            </w:tcBorders>
            <w:shd w:val="clear" w:color="auto" w:fill="E0E0E0"/>
          </w:tcPr>
          <w:p>
            <w:pPr>
              <w:jc w:val="right"/>
              <w:ind w:right="62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1,726</w:t>
            </w:r>
          </w:p>
        </w:tc>
        <w:tc>
          <w:tcPr>
            <w:tcW w:w="240" w:type="dxa"/>
            <w:vAlign w:val="bottom"/>
            <w:shd w:val="clear" w:color="auto" w:fill="E0E0E0"/>
          </w:tcPr>
          <w:p>
            <w:pPr>
              <w:spacing w:after="0"/>
              <w:rPr>
                <w:sz w:val="19"/>
                <w:szCs w:val="19"/>
                <w:color w:val="auto"/>
              </w:rPr>
            </w:pPr>
          </w:p>
        </w:tc>
        <w:tc>
          <w:tcPr>
            <w:tcW w:w="420" w:type="dxa"/>
            <w:vAlign w:val="bottom"/>
            <w:tcBorders>
              <w:bottom w:val="single" w:sz="8" w:color="auto"/>
            </w:tcBorders>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2,349</w:t>
            </w:r>
          </w:p>
        </w:tc>
        <w:tc>
          <w:tcPr>
            <w:tcW w:w="100" w:type="dxa"/>
            <w:vAlign w:val="bottom"/>
            <w:shd w:val="clear" w:color="auto" w:fill="E0E0E0"/>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Related Party Transactions</w:t>
      </w:r>
    </w:p>
    <w:p>
      <w:pPr>
        <w:spacing w:after="0" w:line="244" w:lineRule="exact"/>
        <w:rPr>
          <w:sz w:val="20"/>
          <w:szCs w:val="20"/>
          <w:color w:val="auto"/>
        </w:rPr>
      </w:pPr>
    </w:p>
    <w:p>
      <w:pPr>
        <w:jc w:val="both"/>
        <w:ind w:right="220" w:firstLine="979"/>
        <w:spacing w:after="0" w:line="258" w:lineRule="auto"/>
        <w:rPr>
          <w:sz w:val="20"/>
          <w:szCs w:val="20"/>
          <w:color w:val="auto"/>
        </w:rPr>
      </w:pPr>
      <w:r>
        <w:rPr>
          <w:rFonts w:ascii="Times New Roman" w:cs="Times New Roman" w:eastAsia="Times New Roman" w:hAnsi="Times New Roman"/>
          <w:sz w:val="20"/>
          <w:szCs w:val="20"/>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Service Agreements</w:t>
      </w:r>
    </w:p>
    <w:p>
      <w:pPr>
        <w:spacing w:after="0" w:line="240" w:lineRule="exact"/>
        <w:rPr>
          <w:sz w:val="20"/>
          <w:szCs w:val="20"/>
          <w:color w:val="auto"/>
        </w:rPr>
      </w:pPr>
    </w:p>
    <w:p>
      <w:pPr>
        <w:ind w:firstLine="979"/>
        <w:spacing w:after="0" w:line="243" w:lineRule="auto"/>
        <w:rPr>
          <w:sz w:val="20"/>
          <w:szCs w:val="20"/>
          <w:color w:val="auto"/>
        </w:rPr>
      </w:pPr>
      <w:r>
        <w:rPr>
          <w:rFonts w:ascii="Times New Roman" w:cs="Times New Roman" w:eastAsia="Times New Roman" w:hAnsi="Times New Roman"/>
          <w:sz w:val="20"/>
          <w:szCs w:val="20"/>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Rani LLC provided to ICL notice of termination of the Occupancy Services in San Antonio in December 2023, which termination will take effect in June 2024.</w:t>
      </w:r>
    </w:p>
    <w:p>
      <w:pPr>
        <w:sectPr>
          <w:pgSz w:w="12240" w:h="15840" w:orient="portrait"/>
          <w:cols w:equalWidth="0" w:num="1">
            <w:col w:w="10760"/>
          </w:cols>
          <w:pgMar w:left="720" w:top="1202"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10760"/>
          </w:cols>
          <w:pgMar w:left="720" w:top="1202" w:right="760" w:bottom="0" w:gutter="0" w:footer="0" w:header="0"/>
          <w:type w:val="continuous"/>
        </w:sectPr>
      </w:pPr>
    </w:p>
    <w:bookmarkStart w:id="131" w:name="page132"/>
    <w:bookmarkEnd w:id="131"/>
    <w:p>
      <w:pPr>
        <w:ind w:right="160" w:firstLine="979"/>
        <w:spacing w:after="0" w:line="237" w:lineRule="auto"/>
        <w:rPr>
          <w:sz w:val="20"/>
          <w:szCs w:val="20"/>
          <w:color w:val="auto"/>
        </w:rPr>
      </w:pPr>
      <w:r>
        <w:rPr>
          <w:rFonts w:ascii="Times New Roman" w:cs="Times New Roman" w:eastAsia="Times New Roman" w:hAnsi="Times New Roman"/>
          <w:sz w:val="20"/>
          <w:szCs w:val="20"/>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table below details the amounts charged by ICL for services and rent, net of the amount that the Company charged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ICL, which is included in the consolidated statements of operations (in thousands):</w:t>
      </w:r>
    </w:p>
    <w:p>
      <w:pPr>
        <w:spacing w:after="0" w:line="239"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3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5"/>
                <w:szCs w:val="15"/>
                <w:color w:val="auto"/>
              </w:rPr>
            </w:pPr>
          </w:p>
        </w:tc>
        <w:tc>
          <w:tcPr>
            <w:tcW w:w="13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388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1740" w:type="dxa"/>
            <w:vAlign w:val="bottom"/>
            <w:tcBorders>
              <w:top w:val="single" w:sz="8" w:color="E0E0E0"/>
            </w:tcBorders>
            <w:shd w:val="clear" w:color="auto" w:fill="E0E0E0"/>
          </w:tcPr>
          <w:p>
            <w:pPr>
              <w:spacing w:after="0"/>
              <w:rPr>
                <w:sz w:val="19"/>
                <w:szCs w:val="19"/>
                <w:color w:val="auto"/>
              </w:rPr>
            </w:pPr>
          </w:p>
        </w:tc>
        <w:tc>
          <w:tcPr>
            <w:tcW w:w="1040" w:type="dxa"/>
            <w:vAlign w:val="bottom"/>
            <w:tcBorders>
              <w:top w:val="single" w:sz="8" w:color="auto"/>
            </w:tcBorders>
            <w:shd w:val="clear" w:color="auto" w:fill="E0E0E0"/>
          </w:tcPr>
          <w:p>
            <w:pPr>
              <w:jc w:val="right"/>
              <w:ind w:right="85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1,254</w:t>
            </w:r>
          </w:p>
        </w:tc>
        <w:tc>
          <w:tcPr>
            <w:tcW w:w="280" w:type="dxa"/>
            <w:vAlign w:val="bottom"/>
            <w:tcBorders>
              <w:top w:val="single" w:sz="8" w:color="E0E0E0"/>
            </w:tcBorders>
            <w:shd w:val="clear" w:color="auto" w:fill="E0E0E0"/>
          </w:tcPr>
          <w:p>
            <w:pPr>
              <w:spacing w:after="0"/>
              <w:rPr>
                <w:sz w:val="19"/>
                <w:szCs w:val="19"/>
                <w:color w:val="auto"/>
              </w:rPr>
            </w:pPr>
          </w:p>
        </w:tc>
        <w:tc>
          <w:tcPr>
            <w:tcW w:w="1060" w:type="dxa"/>
            <w:vAlign w:val="bottom"/>
            <w:tcBorders>
              <w:top w:val="single" w:sz="8" w:color="auto"/>
            </w:tcBorders>
            <w:shd w:val="clear" w:color="auto" w:fill="E0E0E0"/>
          </w:tcPr>
          <w:p>
            <w:pPr>
              <w:jc w:val="right"/>
              <w:ind w:right="8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1,170</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38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740" w:type="dxa"/>
            <w:vAlign w:val="bottom"/>
            <w:tcBorders>
              <w:bottom w:val="single" w:sz="8" w:color="E0E0E0"/>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280" w:type="dxa"/>
            <w:vAlign w:val="bottom"/>
            <w:tcBorders>
              <w:bottom w:val="single" w:sz="8" w:color="E0E0E0"/>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00" w:type="dxa"/>
            <w:vAlign w:val="bottom"/>
            <w:tcBorders>
              <w:bottom w:val="single" w:sz="8" w:color="E0E0E0"/>
            </w:tcBorders>
          </w:tcPr>
          <w:p>
            <w:pPr>
              <w:spacing w:after="0"/>
              <w:rPr>
                <w:sz w:val="19"/>
                <w:szCs w:val="19"/>
                <w:color w:val="auto"/>
              </w:rPr>
            </w:pPr>
          </w:p>
        </w:tc>
      </w:tr>
      <w:tr>
        <w:trPr>
          <w:trHeight w:val="220"/>
        </w:trPr>
        <w:tc>
          <w:tcPr>
            <w:tcW w:w="38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740" w:type="dxa"/>
            <w:vAlign w:val="bottom"/>
            <w:shd w:val="clear" w:color="auto" w:fill="E0E0E0"/>
          </w:tcPr>
          <w:p>
            <w:pPr>
              <w:spacing w:after="0"/>
              <w:rPr>
                <w:sz w:val="19"/>
                <w:szCs w:val="19"/>
                <w:color w:val="auto"/>
              </w:rPr>
            </w:pPr>
          </w:p>
        </w:tc>
        <w:tc>
          <w:tcPr>
            <w:tcW w:w="1040" w:type="dxa"/>
            <w:vAlign w:val="bottom"/>
            <w:tcBorders>
              <w:bottom w:val="single" w:sz="8" w:color="auto"/>
            </w:tcBorders>
            <w:shd w:val="clear" w:color="auto" w:fill="E0E0E0"/>
          </w:tcPr>
          <w:p>
            <w:pPr>
              <w:jc w:val="right"/>
              <w:ind w:right="85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1,508</w:t>
            </w:r>
          </w:p>
        </w:tc>
        <w:tc>
          <w:tcPr>
            <w:tcW w:w="280" w:type="dxa"/>
            <w:vAlign w:val="bottom"/>
            <w:shd w:val="clear" w:color="auto" w:fill="E0E0E0"/>
          </w:tcPr>
          <w:p>
            <w:pPr>
              <w:spacing w:after="0"/>
              <w:rPr>
                <w:sz w:val="19"/>
                <w:szCs w:val="19"/>
                <w:color w:val="auto"/>
              </w:rPr>
            </w:pPr>
          </w:p>
        </w:tc>
        <w:tc>
          <w:tcPr>
            <w:tcW w:w="1060" w:type="dxa"/>
            <w:vAlign w:val="bottom"/>
            <w:tcBorders>
              <w:bottom w:val="single" w:sz="8" w:color="auto"/>
            </w:tcBorders>
            <w:shd w:val="clear" w:color="auto" w:fill="E0E0E0"/>
          </w:tcPr>
          <w:p>
            <w:pPr>
              <w:jc w:val="right"/>
              <w:ind w:right="8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1,392</w:t>
            </w:r>
          </w:p>
        </w:tc>
        <w:tc>
          <w:tcPr>
            <w:tcW w:w="100" w:type="dxa"/>
            <w:vAlign w:val="bottom"/>
            <w:shd w:val="clear" w:color="auto" w:fill="E0E0E0"/>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ind w:firstLine="979"/>
        <w:spacing w:after="0" w:line="245" w:lineRule="auto"/>
        <w:rPr>
          <w:sz w:val="20"/>
          <w:szCs w:val="20"/>
          <w:color w:val="auto"/>
        </w:rPr>
      </w:pPr>
      <w:r>
        <w:rPr>
          <w:rFonts w:ascii="Times New Roman" w:cs="Times New Roman" w:eastAsia="Times New Roman" w:hAnsi="Times New Roman"/>
          <w:sz w:val="20"/>
          <w:szCs w:val="20"/>
          <w:color w:val="auto"/>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94" w:lineRule="exact"/>
        <w:rPr>
          <w:sz w:val="20"/>
          <w:szCs w:val="20"/>
          <w:color w:val="auto"/>
        </w:rPr>
      </w:pPr>
    </w:p>
    <w:p>
      <w:pPr>
        <w:ind w:right="180" w:firstLine="979"/>
        <w:spacing w:after="0" w:line="270" w:lineRule="auto"/>
        <w:rPr>
          <w:sz w:val="20"/>
          <w:szCs w:val="20"/>
          <w:color w:val="auto"/>
        </w:rPr>
      </w:pPr>
      <w:r>
        <w:rPr>
          <w:rFonts w:ascii="Times New Roman" w:cs="Times New Roman" w:eastAsia="Times New Roman" w:hAnsi="Times New Roman"/>
          <w:sz w:val="20"/>
          <w:szCs w:val="20"/>
          <w:color w:val="auto"/>
        </w:rPr>
        <w:t>As of December 31, 2023, all of the Company's facilities are owned or leased by an entity affiliated with the Company’s Chairman (Note 7). The Company pays for the use of these facilities through its services agreements with ICL.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Intellectual Property and Common Unit Purchase Agreement</w:t>
      </w:r>
    </w:p>
    <w:p>
      <w:pPr>
        <w:spacing w:after="0" w:line="233" w:lineRule="exact"/>
        <w:rPr>
          <w:sz w:val="20"/>
          <w:szCs w:val="20"/>
          <w:color w:val="auto"/>
        </w:rPr>
      </w:pPr>
    </w:p>
    <w:p>
      <w:pPr>
        <w:ind w:right="100" w:firstLine="979"/>
        <w:spacing w:after="0" w:line="239" w:lineRule="auto"/>
        <w:rPr>
          <w:sz w:val="20"/>
          <w:szCs w:val="20"/>
          <w:color w:val="auto"/>
        </w:rPr>
      </w:pPr>
      <w:r>
        <w:rPr>
          <w:rFonts w:ascii="Times New Roman" w:cs="Times New Roman" w:eastAsia="Times New Roman" w:hAnsi="Times New Roman"/>
          <w:sz w:val="20"/>
          <w:szCs w:val="20"/>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w:t>
      </w:r>
    </w:p>
    <w:p>
      <w:pPr>
        <w:spacing w:after="0" w:line="200" w:lineRule="exact"/>
        <w:rPr>
          <w:sz w:val="20"/>
          <w:szCs w:val="20"/>
          <w:color w:val="auto"/>
        </w:rPr>
      </w:pPr>
    </w:p>
    <w:p>
      <w:pPr>
        <w:ind w:right="40" w:firstLine="979"/>
        <w:spacing w:after="0" w:line="236" w:lineRule="auto"/>
        <w:rPr>
          <w:sz w:val="20"/>
          <w:szCs w:val="20"/>
          <w:color w:val="auto"/>
        </w:rPr>
      </w:pPr>
      <w:r>
        <w:rPr>
          <w:rFonts w:ascii="Times New Roman" w:cs="Times New Roman" w:eastAsia="Times New Roman" w:hAnsi="Times New Roman"/>
          <w:sz w:val="20"/>
          <w:szCs w:val="20"/>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Non-Exclusive License Agreement between Rani and ICL (“Non-Exclusive License Agreement”)</w:t>
      </w:r>
    </w:p>
    <w:p>
      <w:pPr>
        <w:spacing w:after="0" w:line="233" w:lineRule="exact"/>
        <w:rPr>
          <w:sz w:val="20"/>
          <w:szCs w:val="20"/>
          <w:color w:val="auto"/>
        </w:rPr>
      </w:pPr>
    </w:p>
    <w:p>
      <w:pPr>
        <w:ind w:right="20" w:firstLine="979"/>
        <w:spacing w:after="0" w:line="239" w:lineRule="auto"/>
        <w:rPr>
          <w:sz w:val="20"/>
          <w:szCs w:val="20"/>
          <w:color w:val="auto"/>
        </w:rPr>
      </w:pPr>
      <w:r>
        <w:rPr>
          <w:rFonts w:ascii="Times New Roman" w:cs="Times New Roman" w:eastAsia="Times New Roman" w:hAnsi="Times New Roman"/>
          <w:sz w:val="20"/>
          <w:szCs w:val="20"/>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ectPr>
          <w:pgSz w:w="12240" w:h="15840" w:orient="portrait"/>
          <w:cols w:equalWidth="0" w:num="1">
            <w:col w:w="10800"/>
          </w:cols>
          <w:pgMar w:left="720" w:top="925" w:right="72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10800"/>
          </w:cols>
          <w:pgMar w:left="720" w:top="925" w:right="72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Agreement with Mir Imran (the “Mir Agreement”)</w:t>
      </w:r>
    </w:p>
    <w:p>
      <w:pPr>
        <w:spacing w:after="0" w:line="240" w:lineRule="exact"/>
        <w:rPr>
          <w:sz w:val="20"/>
          <w:szCs w:val="20"/>
          <w:color w:val="auto"/>
        </w:rPr>
      </w:pPr>
    </w:p>
    <w:p>
      <w:pPr>
        <w:ind w:right="60" w:firstLine="979"/>
        <w:spacing w:after="0" w:line="246" w:lineRule="auto"/>
        <w:rPr>
          <w:sz w:val="20"/>
          <w:szCs w:val="20"/>
          <w:color w:val="auto"/>
        </w:rPr>
      </w:pPr>
      <w:r>
        <w:rPr>
          <w:rFonts w:ascii="Times New Roman" w:cs="Times New Roman" w:eastAsia="Times New Roman" w:hAnsi="Times New Roman"/>
          <w:sz w:val="20"/>
          <w:szCs w:val="20"/>
          <w:color w:val="auto"/>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40"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Certain parties to the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(Note 2). During the years ended December 31, 2023 and 2022, these parties to the TRA exchanged zero and 2,317,184 Paired Interests, respectively, that resulted in tax benefits subject to the TRA (Note 13).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Registration Rights Agreement</w:t>
      </w:r>
    </w:p>
    <w:p>
      <w:pPr>
        <w:spacing w:after="0" w:line="240" w:lineRule="exact"/>
        <w:rPr>
          <w:sz w:val="20"/>
          <w:szCs w:val="20"/>
          <w:color w:val="auto"/>
        </w:rPr>
      </w:pPr>
    </w:p>
    <w:p>
      <w:pPr>
        <w:ind w:right="20" w:firstLine="979"/>
        <w:spacing w:after="0" w:line="244" w:lineRule="auto"/>
        <w:rPr>
          <w:sz w:val="20"/>
          <w:szCs w:val="20"/>
          <w:color w:val="auto"/>
        </w:rPr>
      </w:pPr>
      <w:r>
        <w:rPr>
          <w:rFonts w:ascii="Times New Roman" w:cs="Times New Roman" w:eastAsia="Times New Roman" w:hAnsi="Times New Roman"/>
          <w:sz w:val="20"/>
          <w:szCs w:val="20"/>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Rani LLC Agreement</w:t>
      </w:r>
    </w:p>
    <w:p>
      <w:pPr>
        <w:spacing w:after="0" w:line="240" w:lineRule="exact"/>
        <w:rPr>
          <w:sz w:val="20"/>
          <w:szCs w:val="20"/>
          <w:color w:val="auto"/>
        </w:rPr>
      </w:pPr>
    </w:p>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200" w:lineRule="exact"/>
        <w:rPr>
          <w:sz w:val="20"/>
          <w:szCs w:val="20"/>
          <w:color w:val="auto"/>
        </w:rPr>
      </w:pPr>
    </w:p>
    <w:p>
      <w:pPr>
        <w:ind w:right="120" w:firstLine="979"/>
        <w:spacing w:after="0" w:line="277" w:lineRule="auto"/>
        <w:rPr>
          <w:sz w:val="20"/>
          <w:szCs w:val="20"/>
          <w:color w:val="auto"/>
        </w:rPr>
      </w:pPr>
      <w:r>
        <w:rPr>
          <w:rFonts w:ascii="Times New Roman" w:cs="Times New Roman" w:eastAsia="Times New Roman" w:hAnsi="Times New Roman"/>
          <w:sz w:val="20"/>
          <w:szCs w:val="20"/>
          <w:color w:val="auto"/>
        </w:rPr>
        <w:t>During the years ended December 31, 2023 and 2022, certain related parties that are party to the Rani LLC Agreement exchanged zero and 2,317,184 Paired Interests, respectively, for an equal number of shares of the Company's Class A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244" w:lineRule="exact"/>
        <w:rPr>
          <w:sz w:val="20"/>
          <w:szCs w:val="20"/>
          <w:color w:val="auto"/>
        </w:rPr>
      </w:pPr>
    </w:p>
    <w:p>
      <w:pPr>
        <w:ind w:right="60" w:firstLine="979"/>
        <w:spacing w:after="0" w:line="247" w:lineRule="auto"/>
        <w:rPr>
          <w:sz w:val="20"/>
          <w:szCs w:val="20"/>
          <w:color w:val="auto"/>
        </w:rPr>
      </w:pPr>
      <w:r>
        <w:rPr>
          <w:rFonts w:ascii="Times New Roman" w:cs="Times New Roman" w:eastAsia="Times New Roman" w:hAnsi="Times New Roman"/>
          <w:sz w:val="20"/>
          <w:szCs w:val="20"/>
          <w:color w:val="auto"/>
        </w:rPr>
        <w:t>The Company pays for the use of its office, laboratory and manufacturing facility in San Jose, California as part of the RMS-ICL Service Agreement. In April 2022, RMS assigned the RMS-ICL Service Agreement to Rani LLC. The RMS-ICL Service Agreement has a twelve-month term and will automatically renew for successive twelve-month periods unless Rani LLC or ICL terminate occupancy under the RMS-ICL Service Agreement upon six months’ notice. The Company determined it to be reasonably certain that it would exercise its renewal option for a successive twelve-month period and has considered it in the determination of the right-of-use assets and lease liabilities associated with the RMS-ICL Service Agreement as of December 31, 2023.</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10800"/>
          </w:cols>
          <w:pgMar w:left="720" w:top="930" w:right="720" w:bottom="0" w:gutter="0" w:footer="0" w:header="0"/>
          <w:type w:val="continuous"/>
        </w:sectPr>
      </w:pPr>
    </w:p>
    <w:bookmarkStart w:id="133" w:name="page134"/>
    <w:bookmarkEnd w:id="133"/>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The Company accounted for the lease extension as a lease modification that did not result in a separate contract and recognized the right-of-use asset and lease liabilities associated with the Rani LLC-ICL Service Agreement in the consolidated balance sheet as of December 31, 2023. As of December 31, 2023, the second renewal option for the facility in Milpitas, California was not deemed reasonably certain to be exercised. The Company provided to ICL notice of termination of the Occupancy Services in San Antonio in December 2023, which termination will take effect in June 2024.</w:t>
      </w:r>
    </w:p>
    <w:p>
      <w:pPr>
        <w:spacing w:after="0" w:line="208" w:lineRule="exact"/>
        <w:rPr>
          <w:sz w:val="20"/>
          <w:szCs w:val="20"/>
          <w:color w:val="auto"/>
        </w:rPr>
      </w:pPr>
    </w:p>
    <w:p>
      <w:pPr>
        <w:ind w:right="340" w:firstLine="979"/>
        <w:spacing w:after="0" w:line="249" w:lineRule="auto"/>
        <w:rPr>
          <w:sz w:val="20"/>
          <w:szCs w:val="20"/>
          <w:color w:val="auto"/>
        </w:rPr>
      </w:pPr>
      <w:r>
        <w:rPr>
          <w:rFonts w:ascii="Times New Roman" w:cs="Times New Roman" w:eastAsia="Times New Roman" w:hAnsi="Times New Roman"/>
          <w:sz w:val="20"/>
          <w:szCs w:val="20"/>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in the total operating lease expense and immaterial for the periods presented.</w:t>
      </w:r>
    </w:p>
    <w:p>
      <w:pPr>
        <w:spacing w:after="0" w:line="197" w:lineRule="exact"/>
        <w:rPr>
          <w:sz w:val="20"/>
          <w:szCs w:val="20"/>
          <w:color w:val="auto"/>
        </w:rPr>
      </w:pPr>
    </w:p>
    <w:p>
      <w:pPr>
        <w:ind w:right="80" w:firstLine="979"/>
        <w:spacing w:after="0" w:line="277" w:lineRule="auto"/>
        <w:rPr>
          <w:sz w:val="20"/>
          <w:szCs w:val="20"/>
          <w:color w:val="auto"/>
        </w:rPr>
      </w:pPr>
      <w:r>
        <w:rPr>
          <w:rFonts w:ascii="Times New Roman" w:cs="Times New Roman" w:eastAsia="Times New Roman" w:hAnsi="Times New Roman"/>
          <w:sz w:val="20"/>
          <w:szCs w:val="20"/>
          <w:color w:val="auto"/>
        </w:rPr>
        <w:t>Supplemental information on the Company’s consolidated balance sheet and statements of cash flows as of December 31, 2023 related to leases was as follows (in thousands):</w:t>
      </w:r>
    </w:p>
    <w:p>
      <w:pPr>
        <w:spacing w:after="0" w:line="20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tbl>
      <w:tblPr>
        <w:tblLayout w:type="fixed"/>
        <w:tblInd w:w="820" w:type="dxa"/>
        <w:tblCellMar>
          <w:top w:w="0" w:type="dxa"/>
          <w:left w:w="0" w:type="dxa"/>
          <w:bottom w:w="0" w:type="dxa"/>
          <w:right w:w="0" w:type="dxa"/>
        </w:tblCellMar>
      </w:tblPr>
      <w:tr>
        <w:trPr>
          <w:trHeight w:val="174"/>
        </w:trPr>
        <w:tc>
          <w:tcPr>
            <w:tcW w:w="6240" w:type="dxa"/>
            <w:vAlign w:val="bottom"/>
            <w:tcBorders>
              <w:bottom w:val="single" w:sz="8" w:color="E0E0E0"/>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E0E0E0"/>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67"/>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E0E0E0"/>
            </w:tcBorders>
          </w:tcPr>
          <w:p>
            <w:pPr>
              <w:spacing w:after="0"/>
              <w:rPr>
                <w:sz w:val="15"/>
                <w:szCs w:val="15"/>
                <w:color w:val="auto"/>
              </w:rPr>
            </w:pPr>
          </w:p>
        </w:tc>
      </w:tr>
      <w:tr>
        <w:trPr>
          <w:trHeight w:val="220"/>
        </w:trPr>
        <w:tc>
          <w:tcPr>
            <w:tcW w:w="62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840" w:type="dxa"/>
            <w:vAlign w:val="bottom"/>
            <w:shd w:val="clear" w:color="auto" w:fill="E0E0E0"/>
          </w:tcPr>
          <w:p>
            <w:pPr>
              <w:spacing w:after="0"/>
              <w:rPr>
                <w:sz w:val="19"/>
                <w:szCs w:val="19"/>
                <w:color w:val="auto"/>
              </w:rPr>
            </w:pPr>
          </w:p>
        </w:tc>
        <w:tc>
          <w:tcPr>
            <w:tcW w:w="4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0.9</w:t>
            </w:r>
          </w:p>
        </w:tc>
        <w:tc>
          <w:tcPr>
            <w:tcW w:w="280" w:type="dxa"/>
            <w:vAlign w:val="bottom"/>
            <w:shd w:val="clear" w:color="auto" w:fill="E0E0E0"/>
          </w:tcPr>
          <w:p>
            <w:pPr>
              <w:spacing w:after="0"/>
              <w:rPr>
                <w:sz w:val="19"/>
                <w:szCs w:val="19"/>
                <w:color w:val="auto"/>
              </w:rPr>
            </w:pPr>
          </w:p>
        </w:tc>
        <w:tc>
          <w:tcPr>
            <w:tcW w:w="1240" w:type="dxa"/>
            <w:vAlign w:val="bottom"/>
            <w:shd w:val="clear" w:color="auto" w:fill="E0E0E0"/>
          </w:tcPr>
          <w:p>
            <w:pPr>
              <w:ind w:left="1000"/>
              <w:spacing w:after="0" w:line="220" w:lineRule="exact"/>
              <w:rPr>
                <w:sz w:val="20"/>
                <w:szCs w:val="20"/>
                <w:color w:val="auto"/>
              </w:rPr>
            </w:pPr>
            <w:r>
              <w:rPr>
                <w:rFonts w:ascii="Times New Roman" w:cs="Times New Roman" w:eastAsia="Times New Roman" w:hAnsi="Times New Roman"/>
                <w:sz w:val="20"/>
                <w:szCs w:val="20"/>
                <w:color w:val="auto"/>
                <w:w w:val="87"/>
              </w:rPr>
              <w:t>1.1</w:t>
            </w:r>
          </w:p>
        </w:tc>
        <w:tc>
          <w:tcPr>
            <w:tcW w:w="180" w:type="dxa"/>
            <w:vAlign w:val="bottom"/>
            <w:shd w:val="clear" w:color="auto" w:fill="E0E0E0"/>
          </w:tcPr>
          <w:p>
            <w:pPr>
              <w:spacing w:after="0"/>
              <w:rPr>
                <w:sz w:val="19"/>
                <w:szCs w:val="19"/>
                <w:color w:val="auto"/>
              </w:rPr>
            </w:pPr>
          </w:p>
        </w:tc>
      </w:tr>
      <w:tr>
        <w:trPr>
          <w:trHeight w:val="266"/>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84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10.4%</w:t>
            </w: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20"/>
                <w:szCs w:val="20"/>
                <w:color w:val="auto"/>
                <w:w w:val="95"/>
              </w:rPr>
              <w:t>7.0%</w:t>
            </w:r>
          </w:p>
        </w:tc>
      </w:tr>
    </w:tbl>
    <w:p>
      <w:pPr>
        <w:spacing w:after="0" w:line="184" w:lineRule="exact"/>
        <w:rPr>
          <w:sz w:val="20"/>
          <w:szCs w:val="20"/>
          <w:color w:val="auto"/>
        </w:rPr>
      </w:pPr>
    </w:p>
    <w:p>
      <w:pPr>
        <w:ind w:right="480" w:firstLine="979"/>
        <w:spacing w:after="0" w:line="277" w:lineRule="auto"/>
        <w:rPr>
          <w:sz w:val="20"/>
          <w:szCs w:val="20"/>
          <w:color w:val="auto"/>
        </w:rPr>
      </w:pPr>
      <w:r>
        <w:rPr>
          <w:rFonts w:ascii="Times New Roman" w:cs="Times New Roman" w:eastAsia="Times New Roman" w:hAnsi="Times New Roman"/>
          <w:sz w:val="20"/>
          <w:szCs w:val="20"/>
          <w:color w:val="auto"/>
        </w:rPr>
        <w:t>As of December 31, 2023, minimum annual rental payments under the Company’s operating lease agreements are as follows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1600" w:type="dxa"/>
            <w:vAlign w:val="bottom"/>
            <w:shd w:val="clear" w:color="auto" w:fill="E0E0E0"/>
          </w:tcPr>
          <w:p>
            <w:pPr>
              <w:spacing w:after="0"/>
              <w:rPr>
                <w:sz w:val="19"/>
                <w:szCs w:val="19"/>
                <w:color w:val="auto"/>
              </w:rPr>
            </w:pPr>
          </w:p>
        </w:tc>
        <w:tc>
          <w:tcPr>
            <w:tcW w:w="66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2024</w:t>
            </w:r>
          </w:p>
        </w:tc>
        <w:tc>
          <w:tcPr>
            <w:tcW w:w="22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tcBorders>
              <w:top w:val="single" w:sz="8" w:color="E0E0E0"/>
            </w:tcBorders>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undiscounted future minimum lease payments</w:t>
            </w:r>
          </w:p>
        </w:tc>
        <w:tc>
          <w:tcPr>
            <w:tcW w:w="1600" w:type="dxa"/>
            <w:vAlign w:val="bottom"/>
            <w:tcBorders>
              <w:top w:val="single" w:sz="8" w:color="E0E0E0"/>
            </w:tcBorders>
            <w:shd w:val="clear" w:color="auto" w:fill="E0E0E0"/>
          </w:tcPr>
          <w:p>
            <w:pPr>
              <w:spacing w:after="0"/>
              <w:rPr>
                <w:sz w:val="19"/>
                <w:szCs w:val="19"/>
                <w:color w:val="auto"/>
              </w:rPr>
            </w:pPr>
          </w:p>
        </w:tc>
        <w:tc>
          <w:tcPr>
            <w:tcW w:w="660" w:type="dxa"/>
            <w:vAlign w:val="bottom"/>
            <w:tcBorders>
              <w:top w:val="single" w:sz="8" w:color="auto"/>
            </w:tcBorders>
            <w:shd w:val="clear" w:color="auto" w:fill="E0E0E0"/>
          </w:tcPr>
          <w:p>
            <w:pPr>
              <w:jc w:val="right"/>
              <w:ind w:right="4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749</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Less: Imputed interest</w:t>
            </w:r>
          </w:p>
        </w:tc>
        <w:tc>
          <w:tcPr>
            <w:tcW w:w="1600" w:type="dxa"/>
            <w:vAlign w:val="bottom"/>
            <w:tcBorders>
              <w:bottom w:val="single" w:sz="8" w:color="E0E0E0"/>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operating lease liability</w:t>
            </w:r>
          </w:p>
        </w:tc>
        <w:tc>
          <w:tcPr>
            <w:tcW w:w="1600" w:type="dxa"/>
            <w:vAlign w:val="bottom"/>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ind w:right="4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718</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Less: Current portion of operating lease liability</w:t>
            </w:r>
          </w:p>
        </w:tc>
        <w:tc>
          <w:tcPr>
            <w:tcW w:w="1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40" w:type="dxa"/>
            <w:vAlign w:val="bottom"/>
            <w:tcBorders>
              <w:bottom w:val="single" w:sz="8" w:color="E0E0E0"/>
            </w:tcBorders>
            <w:vMerge w:val="continue"/>
          </w:tcPr>
          <w:p>
            <w:pPr>
              <w:spacing w:after="0"/>
              <w:rPr>
                <w:sz w:val="18"/>
                <w:szCs w:val="18"/>
                <w:color w:val="auto"/>
              </w:rPr>
            </w:pPr>
          </w:p>
        </w:tc>
        <w:tc>
          <w:tcPr>
            <w:tcW w:w="1600" w:type="dxa"/>
            <w:vAlign w:val="bottom"/>
            <w:tcBorders>
              <w:bottom w:val="single" w:sz="8" w:color="E0E0E0"/>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718</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Operating lease liability, net current portion</w:t>
            </w:r>
          </w:p>
        </w:tc>
        <w:tc>
          <w:tcPr>
            <w:tcW w:w="1600" w:type="dxa"/>
            <w:vAlign w:val="bottom"/>
            <w:shd w:val="clear" w:color="auto" w:fill="E0E0E0"/>
          </w:tcPr>
          <w:p>
            <w:pPr>
              <w:spacing w:after="0"/>
              <w:rPr>
                <w:sz w:val="19"/>
                <w:szCs w:val="19"/>
                <w:color w:val="auto"/>
              </w:rPr>
            </w:pPr>
          </w:p>
        </w:tc>
        <w:tc>
          <w:tcPr>
            <w:tcW w:w="660" w:type="dxa"/>
            <w:vAlign w:val="bottom"/>
            <w:tcBorders>
              <w:bottom w:val="single" w:sz="8" w:color="auto"/>
            </w:tcBorders>
            <w:shd w:val="clear" w:color="auto" w:fill="E0E0E0"/>
          </w:tcPr>
          <w:p>
            <w:pPr>
              <w:jc w:val="right"/>
              <w:ind w:right="4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979"/>
        <w:spacing w:after="0" w:line="244" w:lineRule="auto"/>
        <w:rPr>
          <w:sz w:val="20"/>
          <w:szCs w:val="20"/>
          <w:color w:val="auto"/>
        </w:rPr>
      </w:pPr>
      <w:r>
        <w:rPr>
          <w:rFonts w:ascii="Times New Roman" w:cs="Times New Roman" w:eastAsia="Times New Roman" w:hAnsi="Times New Roman"/>
          <w:sz w:val="20"/>
          <w:szCs w:val="20"/>
          <w:color w:val="auto"/>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 The Company will further evaluate the Lease and record its impact on the Company's consolidated financial statements on the commencement date of the Lease in February 2024. Future minimum lease payments for the Lease total $6.5 million through 2029 and are excluded from the table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Warrants</w:t>
      </w:r>
    </w:p>
    <w:p>
      <w:pPr>
        <w:spacing w:after="0" w:line="244" w:lineRule="exact"/>
        <w:rPr>
          <w:sz w:val="20"/>
          <w:szCs w:val="20"/>
          <w:color w:val="auto"/>
        </w:rPr>
      </w:pPr>
    </w:p>
    <w:p>
      <w:pPr>
        <w:ind w:right="80" w:firstLine="979"/>
        <w:spacing w:after="0" w:line="249" w:lineRule="auto"/>
        <w:rPr>
          <w:sz w:val="20"/>
          <w:szCs w:val="20"/>
          <w:color w:val="auto"/>
        </w:rPr>
      </w:pPr>
      <w:r>
        <w:rPr>
          <w:rFonts w:ascii="Times New Roman" w:cs="Times New Roman" w:eastAsia="Times New Roman" w:hAnsi="Times New Roman"/>
          <w:sz w:val="20"/>
          <w:szCs w:val="20"/>
          <w:color w:val="auto"/>
        </w:rPr>
        <w:t>In August 2022, in conjunction with a loan and security agreement (Note 12),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December 31, 2023, there were 76,336 warrants outstanding.</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10800"/>
          </w:cols>
          <w:pgMar w:left="720" w:top="930" w:right="72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auto"/>
        </w:rPr>
        <w:t>9. Stockholders’ Equity</w:t>
      </w:r>
    </w:p>
    <w:p>
      <w:pPr>
        <w:spacing w:after="0" w:line="244"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For the years ended December 31, 2023 and 2022, certain of the Continuing LLC Owners executed an exchange of zero and 5,173,947 Paired Interests, respectively, and 42,404 and 158,051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w:t>
      </w:r>
    </w:p>
    <w:p>
      <w:pPr>
        <w:spacing w:after="0" w:line="197"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December 31, 2023, the Company has no sales under the Sales Agreement. In connection with the Sales Agreement, the Company recognized deferred offering costs totaling $0.3 million as a component of prepaid expenses and other current assets in the consolidated balance sheet as of December 31, 2023 which will be offset against proceeds upon a sale under the Sales Agreement within the consolidated statement of changes in stockholders’ equity.</w:t>
      </w:r>
    </w:p>
    <w:p>
      <w:pPr>
        <w:spacing w:after="0" w:line="206" w:lineRule="exact"/>
        <w:rPr>
          <w:sz w:val="20"/>
          <w:szCs w:val="20"/>
          <w:color w:val="auto"/>
        </w:rPr>
      </w:pPr>
    </w:p>
    <w:p>
      <w:pPr>
        <w:ind w:right="120" w:firstLine="979"/>
        <w:spacing w:after="0" w:line="258" w:lineRule="auto"/>
        <w:rPr>
          <w:sz w:val="20"/>
          <w:szCs w:val="20"/>
          <w:color w:val="auto"/>
        </w:rPr>
      </w:pPr>
      <w:r>
        <w:rPr>
          <w:rFonts w:ascii="Times New Roman" w:cs="Times New Roman" w:eastAsia="Times New Roman" w:hAnsi="Times New Roman"/>
          <w:sz w:val="20"/>
          <w:szCs w:val="20"/>
          <w:color w:val="auto"/>
        </w:rPr>
        <w:t>As of December 31, 2023, the Company reserved 0.5 million shares of Class A Common Stock for issuance under the Rani Therapeutics Holdings, Inc. 2021 Employee Stock Purchase Plan (the “ESPP”) and 3.0 million shares of Class A common stock for future issuance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Stock-Based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Repricing</w:t>
      </w:r>
    </w:p>
    <w:p>
      <w:pPr>
        <w:spacing w:after="0" w:line="240" w:lineRule="exact"/>
        <w:rPr>
          <w:sz w:val="20"/>
          <w:szCs w:val="20"/>
          <w:color w:val="auto"/>
        </w:rPr>
      </w:pPr>
    </w:p>
    <w:p>
      <w:pPr>
        <w:ind w:right="40" w:firstLine="979"/>
        <w:spacing w:after="0" w:line="244" w:lineRule="auto"/>
        <w:rPr>
          <w:sz w:val="20"/>
          <w:szCs w:val="20"/>
          <w:color w:val="auto"/>
        </w:rPr>
      </w:pPr>
      <w:r>
        <w:rPr>
          <w:rFonts w:ascii="Times New Roman" w:cs="Times New Roman" w:eastAsia="Times New Roman" w:hAnsi="Times New Roman"/>
          <w:sz w:val="20"/>
          <w:szCs w:val="20"/>
          <w:color w:val="auto"/>
        </w:rPr>
        <w:t>On December 16, 2023 (the “Repricing Date”), the Company's Board of Directors approved a stock option award repricing whereby certain previously granted and still outstanding unvested stock option awards issued under the 2021 Plan and the 2016 Equity Incentive Plan, were reduced to $2.84 per share, which represented the most recent closing market price of the Company’s Class A common stock to the Repricing Date (the “Option Repricing”). These stock option awards are held by employees, including the Company’s named executive officers, certain consultants, and non-employee members of the Board of Directors. No other terms of the options were modified, and the stock option awards will continue to vest according to their original vesting schedules, remain subject to the same service requirements and will retain their original expiration dates. The Option Repricing was fair valued using the Black-Scholes option pricing model, which approximated the Lattice model, resulting in $1.8 million of incremental stock-based compensation expense and is expected to be recognized over a weighted-average period of approximately 2.3 years.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 summary of stock option activity during the periods indicated is as follows: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Number of Stock</w:t>
            </w: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24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Option Awards</w:t>
            </w:r>
          </w:p>
        </w:tc>
        <w:tc>
          <w:tcPr>
            <w:tcW w:w="180" w:type="dxa"/>
            <w:vAlign w:val="bottom"/>
          </w:tcPr>
          <w:p>
            <w:pPr>
              <w:spacing w:after="0"/>
              <w:rPr>
                <w:sz w:val="17"/>
                <w:szCs w:val="17"/>
                <w:color w:val="auto"/>
              </w:rPr>
            </w:pPr>
          </w:p>
        </w:tc>
        <w:tc>
          <w:tcPr>
            <w:tcW w:w="104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8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2022</w:t>
            </w:r>
          </w:p>
        </w:tc>
        <w:tc>
          <w:tcPr>
            <w:tcW w:w="12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3,788,586</w:t>
            </w:r>
          </w:p>
        </w:tc>
        <w:tc>
          <w:tcPr>
            <w:tcW w:w="24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13.40</w:t>
            </w:r>
          </w:p>
        </w:tc>
        <w:tc>
          <w:tcPr>
            <w:tcW w:w="180" w:type="dxa"/>
            <w:vAlign w:val="bottom"/>
            <w:tcBorders>
              <w:top w:val="single" w:sz="8" w:color="E0E0E0"/>
            </w:tcBorders>
            <w:shd w:val="clear" w:color="auto" w:fill="E0E0E0"/>
          </w:tcPr>
          <w:p>
            <w:pPr>
              <w:spacing w:after="0"/>
              <w:rPr>
                <w:sz w:val="19"/>
                <w:szCs w:val="19"/>
                <w:color w:val="auto"/>
              </w:rPr>
            </w:pPr>
          </w:p>
        </w:tc>
        <w:tc>
          <w:tcPr>
            <w:tcW w:w="12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8.81</w:t>
            </w:r>
          </w:p>
        </w:tc>
        <w:tc>
          <w:tcPr>
            <w:tcW w:w="24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3,159,210</w:t>
            </w: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Canceled</w:t>
            </w: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(307,985)</w:t>
            </w:r>
          </w:p>
        </w:tc>
        <w:tc>
          <w:tcPr>
            <w:tcW w:w="2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180" w:type="dxa"/>
            <w:vAlign w:val="bottom"/>
            <w:shd w:val="clear" w:color="auto" w:fill="E0E0E0"/>
          </w:tcPr>
          <w:p>
            <w:pPr>
              <w:spacing w:after="0"/>
              <w:rPr>
                <w:sz w:val="19"/>
                <w:szCs w:val="19"/>
                <w:color w:val="auto"/>
              </w:rPr>
            </w:pPr>
          </w:p>
        </w:tc>
        <w:tc>
          <w:tcPr>
            <w:tcW w:w="126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480" w:type="dxa"/>
            <w:vAlign w:val="bottom"/>
            <w:tcBorders>
              <w:bottom w:val="single" w:sz="8" w:color="E0E0E0"/>
            </w:tcBorders>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2023</w:t>
            </w:r>
          </w:p>
        </w:tc>
        <w:tc>
          <w:tcPr>
            <w:tcW w:w="12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6,639,811</w:t>
            </w:r>
          </w:p>
        </w:tc>
        <w:tc>
          <w:tcPr>
            <w:tcW w:w="240" w:type="dxa"/>
            <w:vAlign w:val="bottom"/>
            <w:tcBorders>
              <w:bottom w:val="single" w:sz="8" w:color="E0E0E0"/>
            </w:tcBorders>
          </w:tcPr>
          <w:p>
            <w:pPr>
              <w:spacing w:after="0"/>
              <w:rPr>
                <w:sz w:val="22"/>
                <w:szCs w:val="22"/>
                <w:color w:val="auto"/>
              </w:rPr>
            </w:pPr>
          </w:p>
        </w:tc>
        <w:tc>
          <w:tcPr>
            <w:tcW w:w="180" w:type="dxa"/>
            <w:vAlign w:val="bottom"/>
            <w:tcBorders>
              <w:bottom w:val="single" w:sz="8" w:color="E0E0E0"/>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E0E0E0"/>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6.37</w:t>
            </w:r>
          </w:p>
        </w:tc>
        <w:tc>
          <w:tcPr>
            <w:tcW w:w="1440" w:type="dxa"/>
            <w:vAlign w:val="bottom"/>
            <w:tcBorders>
              <w:bottom w:val="single" w:sz="8" w:color="E0E0E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8.48</w:t>
            </w:r>
          </w:p>
        </w:tc>
        <w:tc>
          <w:tcPr>
            <w:tcW w:w="360" w:type="dxa"/>
            <w:vAlign w:val="bottom"/>
            <w:tcBorders>
              <w:bottom w:val="single" w:sz="8" w:color="E0E0E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E0E0E0"/>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13,377</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Exercisable at December 31, 2023</w:t>
            </w:r>
          </w:p>
        </w:tc>
        <w:tc>
          <w:tcPr>
            <w:tcW w:w="1240" w:type="dxa"/>
            <w:vAlign w:val="bottom"/>
            <w:tcBorders>
              <w:bottom w:val="single" w:sz="8" w:color="auto"/>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2,581,713</w:t>
            </w:r>
          </w:p>
        </w:tc>
        <w:tc>
          <w:tcPr>
            <w:tcW w:w="24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11.81</w:t>
            </w:r>
          </w:p>
        </w:tc>
        <w:tc>
          <w:tcPr>
            <w:tcW w:w="1440" w:type="dxa"/>
            <w:vAlign w:val="bottom"/>
            <w:gridSpan w:val="2"/>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7.87</w:t>
            </w:r>
          </w:p>
        </w:tc>
        <w:tc>
          <w:tcPr>
            <w:tcW w:w="360" w:type="dxa"/>
            <w:vAlign w:val="bottom"/>
            <w:gridSpan w:val="2"/>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auto"/>
              </w:rPr>
              <w:t>279</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Nonvested at December 31, 2023</w:t>
            </w: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80" w:type="dxa"/>
            <w:vAlign w:val="bottom"/>
            <w:vMerge w:val="continue"/>
          </w:tcPr>
          <w:p>
            <w:pPr>
              <w:spacing w:after="0"/>
              <w:rPr>
                <w:sz w:val="18"/>
                <w:szCs w:val="18"/>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4,058,098</w:t>
            </w: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80" w:firstLine="979"/>
        <w:spacing w:after="0" w:line="277" w:lineRule="auto"/>
        <w:rPr>
          <w:sz w:val="20"/>
          <w:szCs w:val="20"/>
          <w:color w:val="auto"/>
        </w:rPr>
      </w:pPr>
      <w:r>
        <w:rPr>
          <w:rFonts w:ascii="Times New Roman" w:cs="Times New Roman" w:eastAsia="Times New Roman" w:hAnsi="Times New Roman"/>
          <w:sz w:val="20"/>
          <w:szCs w:val="20"/>
          <w:color w:val="auto"/>
        </w:rPr>
        <w:t>The Company uses the Black-Scholes option pricing model to estimate the fair value of each stock option award on the date of grant. The assumptions and estimates are as follows:</w:t>
      </w:r>
    </w:p>
    <w:p>
      <w:pPr>
        <w:spacing w:after="0" w:line="183" w:lineRule="exact"/>
        <w:rPr>
          <w:sz w:val="20"/>
          <w:szCs w:val="20"/>
          <w:color w:val="auto"/>
        </w:rPr>
      </w:pPr>
    </w:p>
    <w:p>
      <w:pPr>
        <w:ind w:left="980" w:right="240" w:hanging="491"/>
        <w:spacing w:after="0" w:line="258" w:lineRule="auto"/>
        <w:tabs>
          <w:tab w:leader="none" w:pos="98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 The expected term represents the period of time that stock option awards are expected to remain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The Company estimates the expected term as the midpoint between actual or expected vesting date and the contractual term.</w: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10800"/>
          </w:cols>
          <w:pgMar w:left="720" w:top="926" w:right="720" w:bottom="0" w:gutter="0" w:footer="0" w:header="0"/>
          <w:type w:val="continuous"/>
        </w:sectPr>
      </w:pPr>
    </w:p>
    <w:bookmarkStart w:id="135" w:name="page136"/>
    <w:bookmarkEnd w:id="135"/>
    <w:p>
      <w:pPr>
        <w:ind w:left="980" w:right="60" w:hanging="491"/>
        <w:spacing w:after="0" w:line="258" w:lineRule="auto"/>
        <w:tabs>
          <w:tab w:leader="none" w:pos="98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The expected volatility was derived from the historical stock volatilities of peer public companies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within the Company's industry that are considered to be comparable businesses over a period equivalent to the expected term of the stock option awards, since there has been limited trading history of the Company's stock.</w:t>
      </w:r>
    </w:p>
    <w:p>
      <w:pPr>
        <w:spacing w:after="0" w:line="201" w:lineRule="exact"/>
        <w:rPr>
          <w:rFonts w:ascii="Arial" w:cs="Arial" w:eastAsia="Arial" w:hAnsi="Arial"/>
          <w:sz w:val="20"/>
          <w:szCs w:val="20"/>
          <w:color w:val="auto"/>
        </w:rPr>
      </w:pPr>
    </w:p>
    <w:p>
      <w:pPr>
        <w:ind w:left="980" w:right="100" w:hanging="491"/>
        <w:spacing w:after="0" w:line="304" w:lineRule="auto"/>
        <w:tabs>
          <w:tab w:leader="none" w:pos="980" w:val="left"/>
        </w:tabs>
        <w:numPr>
          <w:ilvl w:val="0"/>
          <w:numId w:val="77"/>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Risk-free interest rate </w:t>
      </w:r>
      <w:r>
        <w:rPr>
          <w:rFonts w:ascii="Times New Roman" w:cs="Times New Roman" w:eastAsia="Times New Roman" w:hAnsi="Times New Roman"/>
          <w:sz w:val="19"/>
          <w:szCs w:val="19"/>
          <w:color w:val="auto"/>
        </w:rPr>
        <w:t>- The risk-free interest rate is based on the U.S. Treasury yield curve in effect at the date of grant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zero-coupon U.S. Treasury notes with maturities approximately equal to the stock option awards’ expected term.</w:t>
      </w:r>
    </w:p>
    <w:p>
      <w:pPr>
        <w:spacing w:after="0" w:line="159" w:lineRule="exact"/>
        <w:rPr>
          <w:rFonts w:ascii="Arial" w:cs="Arial" w:eastAsia="Arial" w:hAnsi="Arial"/>
          <w:sz w:val="19"/>
          <w:szCs w:val="19"/>
          <w:color w:val="auto"/>
        </w:rPr>
      </w:pPr>
    </w:p>
    <w:p>
      <w:pPr>
        <w:ind w:left="980" w:hanging="491"/>
        <w:spacing w:after="0"/>
        <w:tabs>
          <w:tab w:leader="none" w:pos="98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Expected dividend yield </w:t>
      </w:r>
      <w:r>
        <w:rPr>
          <w:rFonts w:ascii="Times New Roman" w:cs="Times New Roman" w:eastAsia="Times New Roman" w:hAnsi="Times New Roman"/>
          <w:sz w:val="20"/>
          <w:szCs w:val="20"/>
          <w:color w:val="auto"/>
        </w:rPr>
        <w:t>- The expected dividend yield is zero as the Company has no plans to make dividend payments.</w:t>
      </w:r>
    </w:p>
    <w:p>
      <w:pPr>
        <w:spacing w:after="0" w:line="239" w:lineRule="exact"/>
        <w:rPr>
          <w:sz w:val="20"/>
          <w:szCs w:val="20"/>
          <w:color w:val="auto"/>
        </w:rPr>
      </w:pPr>
    </w:p>
    <w:p>
      <w:pPr>
        <w:ind w:firstLine="979"/>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weighted average assumptions used in estimating the fair value of stock option awards on the grant date:</w:t>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r>
      <w:tr>
        <w:trPr>
          <w:trHeight w:val="174"/>
        </w:trPr>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jc w:val="right"/>
              <w:ind w:right="948"/>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820" w:type="dxa"/>
            <w:vAlign w:val="bottom"/>
            <w:gridSpan w:val="2"/>
          </w:tcPr>
          <w:p>
            <w:pPr>
              <w:jc w:val="right"/>
              <w:ind w:right="600"/>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rPr>
                <w:sz w:val="15"/>
                <w:szCs w:val="15"/>
                <w:color w:val="auto"/>
              </w:rPr>
            </w:pPr>
          </w:p>
        </w:tc>
      </w:tr>
      <w:tr>
        <w:trPr>
          <w:trHeight w:val="220"/>
        </w:trPr>
        <w:tc>
          <w:tcPr>
            <w:tcW w:w="484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Expected volatility</w:t>
            </w:r>
          </w:p>
        </w:tc>
        <w:tc>
          <w:tcPr>
            <w:tcW w:w="160" w:type="dxa"/>
            <w:vAlign w:val="bottom"/>
            <w:tcBorders>
              <w:top w:val="single" w:sz="8" w:color="E0E0E0"/>
            </w:tcBorders>
            <w:shd w:val="clear" w:color="auto" w:fill="E0E0E0"/>
          </w:tcPr>
          <w:p>
            <w:pPr>
              <w:spacing w:after="0"/>
              <w:rPr>
                <w:sz w:val="19"/>
                <w:szCs w:val="19"/>
                <w:color w:val="auto"/>
              </w:rPr>
            </w:pPr>
          </w:p>
        </w:tc>
        <w:tc>
          <w:tcPr>
            <w:tcW w:w="2000" w:type="dxa"/>
            <w:vAlign w:val="bottom"/>
            <w:tcBorders>
              <w:top w:val="single" w:sz="8" w:color="auto"/>
            </w:tcBorders>
            <w:shd w:val="clear" w:color="auto" w:fill="E0E0E0"/>
          </w:tcPr>
          <w:p>
            <w:pPr>
              <w:jc w:val="right"/>
              <w:ind w:right="48"/>
              <w:spacing w:after="0" w:line="220" w:lineRule="exact"/>
              <w:rPr>
                <w:sz w:val="20"/>
                <w:szCs w:val="20"/>
                <w:color w:val="auto"/>
              </w:rPr>
            </w:pPr>
            <w:r>
              <w:rPr>
                <w:rFonts w:ascii="Times New Roman" w:cs="Times New Roman" w:eastAsia="Times New Roman" w:hAnsi="Times New Roman"/>
                <w:sz w:val="20"/>
                <w:szCs w:val="20"/>
                <w:color w:val="auto"/>
              </w:rPr>
              <w:t>84.0 - 85.8 %</w:t>
            </w:r>
          </w:p>
        </w:tc>
        <w:tc>
          <w:tcPr>
            <w:tcW w:w="160" w:type="dxa"/>
            <w:vAlign w:val="bottom"/>
            <w:tcBorders>
              <w:top w:val="single" w:sz="8" w:color="E0E0E0"/>
            </w:tcBorders>
            <w:shd w:val="clear" w:color="auto" w:fill="E0E0E0"/>
          </w:tcPr>
          <w:p>
            <w:pPr>
              <w:spacing w:after="0"/>
              <w:rPr>
                <w:sz w:val="19"/>
                <w:szCs w:val="19"/>
                <w:color w:val="auto"/>
              </w:rPr>
            </w:pPr>
          </w:p>
        </w:tc>
        <w:tc>
          <w:tcPr>
            <w:tcW w:w="16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77.2</w:t>
            </w:r>
          </w:p>
        </w:tc>
        <w:tc>
          <w:tcPr>
            <w:tcW w:w="360" w:type="dxa"/>
            <w:vAlign w:val="bottom"/>
            <w:tcBorders>
              <w:top w:val="single" w:sz="8" w:color="auto"/>
            </w:tcBorders>
            <w:shd w:val="clear" w:color="auto" w:fill="E0E0E0"/>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60" w:type="dxa"/>
            <w:vAlign w:val="bottom"/>
          </w:tcPr>
          <w:p>
            <w:pPr>
              <w:spacing w:after="0"/>
              <w:rPr>
                <w:sz w:val="19"/>
                <w:szCs w:val="19"/>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auto"/>
              </w:rPr>
              <w:t>3.73 - 3.93 %</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3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8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2160" w:type="dxa"/>
            <w:vAlign w:val="bottom"/>
            <w:gridSpan w:val="2"/>
            <w:shd w:val="clear" w:color="auto" w:fill="E0E0E0"/>
          </w:tcPr>
          <w:p>
            <w:pPr>
              <w:jc w:val="right"/>
              <w:ind w:right="308"/>
              <w:spacing w:after="0"/>
              <w:rPr>
                <w:sz w:val="20"/>
                <w:szCs w:val="20"/>
                <w:color w:val="auto"/>
              </w:rPr>
            </w:pPr>
            <w:r>
              <w:rPr>
                <w:rFonts w:ascii="Times New Roman" w:cs="Times New Roman" w:eastAsia="Times New Roman" w:hAnsi="Times New Roman"/>
                <w:sz w:val="20"/>
                <w:szCs w:val="20"/>
                <w:color w:val="auto"/>
              </w:rPr>
              <w:t>5.1 - 5.9</w:t>
            </w:r>
          </w:p>
        </w:tc>
        <w:tc>
          <w:tcPr>
            <w:tcW w:w="1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360" w:type="dxa"/>
            <w:vAlign w:val="bottom"/>
            <w:shd w:val="clear" w:color="auto" w:fill="E0E0E0"/>
          </w:tcPr>
          <w:p>
            <w:pPr>
              <w:spacing w:after="0"/>
              <w:rPr>
                <w:sz w:val="19"/>
                <w:szCs w:val="19"/>
                <w:color w:val="auto"/>
              </w:rPr>
            </w:pPr>
          </w:p>
        </w:tc>
      </w:tr>
      <w:tr>
        <w:trPr>
          <w:trHeight w:val="285"/>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60" w:type="dxa"/>
            <w:vAlign w:val="bottom"/>
          </w:tcPr>
          <w:p>
            <w:pPr>
              <w:spacing w:after="0"/>
              <w:rPr>
                <w:sz w:val="24"/>
                <w:szCs w:val="24"/>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tcPr>
          <w:p>
            <w:pPr>
              <w:spacing w:after="0"/>
              <w:rPr>
                <w:sz w:val="24"/>
                <w:szCs w:val="24"/>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w:t>
            </w:r>
          </w:p>
        </w:tc>
      </w:tr>
    </w:tbl>
    <w:p>
      <w:pPr>
        <w:spacing w:after="0" w:line="204" w:lineRule="exact"/>
        <w:rPr>
          <w:sz w:val="20"/>
          <w:szCs w:val="20"/>
          <w:color w:val="auto"/>
        </w:rPr>
      </w:pPr>
    </w:p>
    <w:p>
      <w:pPr>
        <w:jc w:val="both"/>
        <w:ind w:right="120" w:firstLine="979"/>
        <w:spacing w:after="0" w:line="277" w:lineRule="auto"/>
        <w:rPr>
          <w:sz w:val="20"/>
          <w:szCs w:val="20"/>
          <w:color w:val="auto"/>
        </w:rPr>
      </w:pPr>
      <w:r>
        <w:rPr>
          <w:rFonts w:ascii="Times New Roman" w:cs="Times New Roman" w:eastAsia="Times New Roman" w:hAnsi="Times New Roman"/>
          <w:sz w:val="20"/>
          <w:szCs w:val="20"/>
          <w:color w:val="auto"/>
        </w:rPr>
        <w:t>As of December 31, 2023, there was $21.4 million of unrecognized stock-based compensation expense related to stock options which is expected to be recognized over a weighted-average period of approximately 2.3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 summary of RSU activity during the periods indicated is as follows: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Number of Restricted</w:t>
            </w:r>
          </w:p>
        </w:tc>
        <w:tc>
          <w:tcPr>
            <w:tcW w:w="12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100" w:type="dxa"/>
            <w:vAlign w:val="bottom"/>
          </w:tcPr>
          <w:p>
            <w:pPr>
              <w:spacing w:after="0"/>
              <w:rPr>
                <w:sz w:val="16"/>
                <w:szCs w:val="16"/>
                <w:color w:val="auto"/>
              </w:rPr>
            </w:pPr>
          </w:p>
        </w:tc>
      </w:tr>
      <w:tr>
        <w:trPr>
          <w:trHeight w:val="203"/>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100" w:type="dxa"/>
            <w:vAlign w:val="bottom"/>
          </w:tcPr>
          <w:p>
            <w:pPr>
              <w:spacing w:after="0"/>
              <w:rPr>
                <w:sz w:val="17"/>
                <w:szCs w:val="17"/>
                <w:color w:val="auto"/>
              </w:rPr>
            </w:pPr>
          </w:p>
        </w:tc>
      </w:tr>
      <w:tr>
        <w:trPr>
          <w:trHeight w:val="220"/>
        </w:trPr>
        <w:tc>
          <w:tcPr>
            <w:tcW w:w="494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2022</w:t>
            </w:r>
          </w:p>
        </w:tc>
        <w:tc>
          <w:tcPr>
            <w:tcW w:w="160" w:type="dxa"/>
            <w:vAlign w:val="bottom"/>
            <w:tcBorders>
              <w:top w:val="single" w:sz="8" w:color="E0E0E0"/>
            </w:tcBorders>
            <w:shd w:val="clear" w:color="auto" w:fill="E0E0E0"/>
          </w:tcPr>
          <w:p>
            <w:pPr>
              <w:spacing w:after="0"/>
              <w:rPr>
                <w:sz w:val="19"/>
                <w:szCs w:val="19"/>
                <w:color w:val="auto"/>
              </w:rPr>
            </w:pPr>
          </w:p>
        </w:tc>
        <w:tc>
          <w:tcPr>
            <w:tcW w:w="18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665,500</w:t>
            </w:r>
          </w:p>
        </w:tc>
        <w:tc>
          <w:tcPr>
            <w:tcW w:w="18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740" w:type="dxa"/>
            <w:vAlign w:val="bottom"/>
            <w:tcBorders>
              <w:top w:val="single" w:sz="8" w:color="auto"/>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15.64</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1,311,671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100" w:type="dxa"/>
            <w:vAlign w:val="bottom"/>
          </w:tcPr>
          <w:p>
            <w:pPr>
              <w:spacing w:after="0"/>
              <w:rPr>
                <w:sz w:val="19"/>
                <w:szCs w:val="19"/>
                <w:color w:val="auto"/>
              </w:rPr>
            </w:pPr>
          </w:p>
        </w:tc>
      </w:tr>
      <w:tr>
        <w:trPr>
          <w:trHeight w:val="230"/>
        </w:trPr>
        <w:tc>
          <w:tcPr>
            <w:tcW w:w="49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22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(590,713)</w:t>
            </w:r>
          </w:p>
        </w:tc>
        <w:tc>
          <w:tcPr>
            <w:tcW w:w="86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12.66</w:t>
            </w:r>
          </w:p>
        </w:tc>
        <w:tc>
          <w:tcPr>
            <w:tcW w:w="100" w:type="dxa"/>
            <w:vAlign w:val="bottom"/>
            <w:shd w:val="clear" w:color="auto" w:fill="E0E0E0"/>
          </w:tcPr>
          <w:p>
            <w:pPr>
              <w:spacing w:after="0"/>
              <w:rPr>
                <w:sz w:val="19"/>
                <w:szCs w:val="19"/>
                <w:color w:val="auto"/>
              </w:rPr>
            </w:pP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(110,347)</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c>
          <w:tcPr>
            <w:tcW w:w="100" w:type="dxa"/>
            <w:vAlign w:val="bottom"/>
          </w:tcPr>
          <w:p>
            <w:pPr>
              <w:spacing w:after="0"/>
              <w:rPr>
                <w:sz w:val="19"/>
                <w:szCs w:val="19"/>
                <w:color w:val="auto"/>
              </w:rPr>
            </w:pPr>
          </w:p>
        </w:tc>
      </w:tr>
      <w:tr>
        <w:trPr>
          <w:trHeight w:val="220"/>
        </w:trPr>
        <w:tc>
          <w:tcPr>
            <w:tcW w:w="494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2023</w:t>
            </w:r>
          </w:p>
        </w:tc>
        <w:tc>
          <w:tcPr>
            <w:tcW w:w="160" w:type="dxa"/>
            <w:vAlign w:val="bottom"/>
            <w:tcBorders>
              <w:top w:val="single" w:sz="8" w:color="E0E0E0"/>
            </w:tcBorders>
            <w:shd w:val="clear" w:color="auto" w:fill="E0E0E0"/>
          </w:tcPr>
          <w:p>
            <w:pPr>
              <w:spacing w:after="0"/>
              <w:rPr>
                <w:sz w:val="19"/>
                <w:szCs w:val="19"/>
                <w:color w:val="auto"/>
              </w:rPr>
            </w:pPr>
          </w:p>
        </w:tc>
        <w:tc>
          <w:tcPr>
            <w:tcW w:w="18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1,276,111</w:t>
            </w:r>
          </w:p>
        </w:tc>
        <w:tc>
          <w:tcPr>
            <w:tcW w:w="180" w:type="dxa"/>
            <w:vAlign w:val="bottom"/>
            <w:tcBorders>
              <w:top w:val="single" w:sz="8" w:color="E0E0E0"/>
            </w:tcBorders>
            <w:shd w:val="clear" w:color="auto" w:fill="E0E0E0"/>
          </w:tcPr>
          <w:p>
            <w:pPr>
              <w:spacing w:after="0"/>
              <w:rPr>
                <w:sz w:val="19"/>
                <w:szCs w:val="19"/>
                <w:color w:val="auto"/>
              </w:rPr>
            </w:pPr>
          </w:p>
        </w:tc>
        <w:tc>
          <w:tcPr>
            <w:tcW w:w="860" w:type="dxa"/>
            <w:vAlign w:val="bottom"/>
            <w:tcBorders>
              <w:top w:val="single" w:sz="8" w:color="E0E0E0"/>
            </w:tcBorders>
            <w:gridSpan w:val="2"/>
            <w:shd w:val="clear" w:color="auto" w:fill="E0E0E0"/>
          </w:tcPr>
          <w:p>
            <w:pPr>
              <w:ind w:lef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E0E0E0"/>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7.16</w:t>
            </w:r>
          </w:p>
        </w:tc>
        <w:tc>
          <w:tcPr>
            <w:tcW w:w="100" w:type="dxa"/>
            <w:vAlign w:val="bottom"/>
            <w:tcBorders>
              <w:top w:val="single" w:sz="8" w:color="E0E0E0"/>
            </w:tcBorders>
            <w:shd w:val="clear" w:color="auto" w:fill="E0E0E0"/>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120" w:firstLine="979"/>
        <w:spacing w:after="0" w:line="258" w:lineRule="auto"/>
        <w:rPr>
          <w:sz w:val="20"/>
          <w:szCs w:val="20"/>
          <w:color w:val="auto"/>
        </w:rPr>
      </w:pPr>
      <w:r>
        <w:rPr>
          <w:rFonts w:ascii="Times New Roman" w:cs="Times New Roman" w:eastAsia="Times New Roman" w:hAnsi="Times New Roman"/>
          <w:sz w:val="20"/>
          <w:szCs w:val="20"/>
          <w:color w:val="auto"/>
        </w:rPr>
        <w:t>As of December 31, 2023, there was $8.1 million of unrecognized stock-based compensation expense related to RSUs which is expected to be recognized over a weighted-average period of approximately 3.0 years. The total fair value of RSUs vested was $2.2 million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Awards</w:t>
      </w:r>
    </w:p>
    <w:p>
      <w:pPr>
        <w:spacing w:after="0" w:line="2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 summary of RSA activity during the periods indicated is as follows: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Number of Restricted</w:t>
            </w:r>
          </w:p>
        </w:tc>
        <w:tc>
          <w:tcPr>
            <w:tcW w:w="12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100" w:type="dxa"/>
            <w:vAlign w:val="bottom"/>
          </w:tcPr>
          <w:p>
            <w:pPr>
              <w:spacing w:after="0"/>
              <w:rPr>
                <w:sz w:val="16"/>
                <w:szCs w:val="16"/>
                <w:color w:val="auto"/>
              </w:rPr>
            </w:pPr>
          </w:p>
        </w:tc>
      </w:tr>
      <w:tr>
        <w:trPr>
          <w:trHeight w:val="203"/>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100" w:type="dxa"/>
            <w:vAlign w:val="bottom"/>
          </w:tcPr>
          <w:p>
            <w:pPr>
              <w:spacing w:after="0"/>
              <w:rPr>
                <w:sz w:val="17"/>
                <w:szCs w:val="17"/>
                <w:color w:val="auto"/>
              </w:rPr>
            </w:pPr>
          </w:p>
        </w:tc>
      </w:tr>
      <w:tr>
        <w:trPr>
          <w:trHeight w:val="220"/>
        </w:trPr>
        <w:tc>
          <w:tcPr>
            <w:tcW w:w="494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2022</w:t>
            </w:r>
          </w:p>
        </w:tc>
        <w:tc>
          <w:tcPr>
            <w:tcW w:w="160" w:type="dxa"/>
            <w:vAlign w:val="bottom"/>
            <w:tcBorders>
              <w:top w:val="single" w:sz="8" w:color="E0E0E0"/>
            </w:tcBorders>
            <w:shd w:val="clear" w:color="auto" w:fill="E0E0E0"/>
          </w:tcPr>
          <w:p>
            <w:pPr>
              <w:spacing w:after="0"/>
              <w:rPr>
                <w:sz w:val="19"/>
                <w:szCs w:val="19"/>
                <w:color w:val="auto"/>
              </w:rPr>
            </w:pPr>
          </w:p>
        </w:tc>
        <w:tc>
          <w:tcPr>
            <w:tcW w:w="18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67,389</w:t>
            </w:r>
          </w:p>
        </w:tc>
        <w:tc>
          <w:tcPr>
            <w:tcW w:w="18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780" w:type="dxa"/>
            <w:vAlign w:val="bottom"/>
            <w:tcBorders>
              <w:top w:val="single" w:sz="8" w:color="auto"/>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6.14</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100" w:type="dxa"/>
            <w:vAlign w:val="bottom"/>
          </w:tcPr>
          <w:p>
            <w:pPr>
              <w:spacing w:after="0"/>
              <w:rPr>
                <w:sz w:val="19"/>
                <w:szCs w:val="19"/>
                <w:color w:val="auto"/>
              </w:rPr>
            </w:pPr>
          </w:p>
        </w:tc>
      </w:tr>
      <w:tr>
        <w:trPr>
          <w:trHeight w:val="230"/>
        </w:trPr>
        <w:tc>
          <w:tcPr>
            <w:tcW w:w="49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2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(2,392)</w:t>
            </w:r>
          </w:p>
        </w:tc>
        <w:tc>
          <w:tcPr>
            <w:tcW w:w="90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100" w:type="dxa"/>
            <w:vAlign w:val="bottom"/>
            <w:shd w:val="clear" w:color="auto" w:fill="E0E0E0"/>
          </w:tcPr>
          <w:p>
            <w:pPr>
              <w:spacing w:after="0"/>
              <w:rPr>
                <w:sz w:val="19"/>
                <w:szCs w:val="19"/>
                <w:color w:val="auto"/>
              </w:rPr>
            </w:pPr>
          </w:p>
        </w:tc>
      </w:tr>
      <w:tr>
        <w:trPr>
          <w:trHeight w:val="220"/>
        </w:trPr>
        <w:tc>
          <w:tcPr>
            <w:tcW w:w="4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 2023</w:t>
            </w:r>
          </w:p>
        </w:tc>
        <w:tc>
          <w:tcPr>
            <w:tcW w:w="16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33,586</w:t>
            </w:r>
          </w:p>
        </w:tc>
        <w:tc>
          <w:tcPr>
            <w:tcW w:w="180" w:type="dxa"/>
            <w:vAlign w:val="bottom"/>
          </w:tcPr>
          <w:p>
            <w:pPr>
              <w:spacing w:after="0"/>
              <w:rPr>
                <w:sz w:val="19"/>
                <w:szCs w:val="19"/>
                <w:color w:val="auto"/>
              </w:rPr>
            </w:pPr>
          </w:p>
        </w:tc>
        <w:tc>
          <w:tcPr>
            <w:tcW w:w="9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6.15</w:t>
            </w:r>
          </w:p>
        </w:tc>
        <w:tc>
          <w:tcPr>
            <w:tcW w:w="10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right="80" w:firstLine="979"/>
        <w:spacing w:after="0" w:line="258" w:lineRule="auto"/>
        <w:rPr>
          <w:sz w:val="20"/>
          <w:szCs w:val="20"/>
          <w:color w:val="auto"/>
        </w:rPr>
      </w:pPr>
      <w:r>
        <w:rPr>
          <w:rFonts w:ascii="Times New Roman" w:cs="Times New Roman" w:eastAsia="Times New Roman" w:hAnsi="Times New Roman"/>
          <w:sz w:val="20"/>
          <w:szCs w:val="20"/>
          <w:color w:val="auto"/>
        </w:rPr>
        <w:t>As of December 31, 2023, unrecognized stock-based compensation expense related to RSAs was de minimis which is expected to be recognized over a weighted-average period of approximately 0.5 years. The total fair value of RSAs vested was $0.1 million for the year ended December 31, 2023.</w:t>
      </w:r>
    </w:p>
    <w:p>
      <w:pPr>
        <w:sectPr>
          <w:pgSz w:w="12240" w:h="15840" w:orient="portrait"/>
          <w:cols w:equalWidth="0" w:num="1">
            <w:col w:w="10620"/>
          </w:cols>
          <w:pgMar w:left="720" w:top="94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10620"/>
          </w:cols>
          <w:pgMar w:left="720" w:top="944" w:right="90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i w:val="1"/>
          <w:iCs w:val="1"/>
          <w:color w:val="auto"/>
        </w:rPr>
        <w:t>ESPP</w:t>
      </w:r>
    </w:p>
    <w:p>
      <w:pPr>
        <w:spacing w:after="0" w:line="240" w:lineRule="exact"/>
        <w:rPr>
          <w:sz w:val="20"/>
          <w:szCs w:val="20"/>
          <w:color w:val="auto"/>
        </w:rPr>
      </w:pPr>
    </w:p>
    <w:p>
      <w:pPr>
        <w:ind w:right="40" w:firstLine="979"/>
        <w:spacing w:after="0" w:line="247" w:lineRule="auto"/>
        <w:rPr>
          <w:sz w:val="20"/>
          <w:szCs w:val="20"/>
          <w:color w:val="auto"/>
        </w:rPr>
      </w:pPr>
      <w:r>
        <w:rPr>
          <w:rFonts w:ascii="Times New Roman" w:cs="Times New Roman" w:eastAsia="Times New Roman" w:hAnsi="Times New Roman"/>
          <w:sz w:val="20"/>
          <w:szCs w:val="20"/>
          <w:color w:val="auto"/>
        </w:rPr>
        <w:t>As of December 31, 2023, 0.2 million shares of Class A common stock have been issued under the ESPP. During the years ended December 31, 2023 and 2022, the Company recognized $0.3 million and $0.2 million, respectively, of stock-based compensation expense related to the ESPP. As of December 31, 2023, contributions withheld from employees were de minimis and recorded as a component of accrued expenses and other current liabilities in the consolidated balance sheet. As of December 31, 2023, there was $0.1 million of unrecognized stock-based compensation expense related to the ESPP which is expected to be recognized over a weighted-average period of approximately 0.4 years.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40" w:lineRule="exact"/>
        <w:rPr>
          <w:sz w:val="20"/>
          <w:szCs w:val="20"/>
          <w:color w:val="auto"/>
        </w:rPr>
      </w:pPr>
    </w:p>
    <w:p>
      <w:pPr>
        <w:ind w:right="220" w:firstLine="979"/>
        <w:spacing w:after="0" w:line="258" w:lineRule="auto"/>
        <w:rPr>
          <w:sz w:val="20"/>
          <w:szCs w:val="20"/>
          <w:color w:val="auto"/>
        </w:rPr>
      </w:pPr>
      <w:r>
        <w:rPr>
          <w:rFonts w:ascii="Times New Roman" w:cs="Times New Roman" w:eastAsia="Times New Roman" w:hAnsi="Times New Roman"/>
          <w:sz w:val="20"/>
          <w:szCs w:val="20"/>
          <w:color w:val="auto"/>
        </w:rPr>
        <w:t>The following table summarizes the components of stock-based compensation expense resulting from the grant of stock options, RSUs, RSAs, and the ESPP, recorded in the Company’s consolidated statement of operations and comprehensive loss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0"/>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Pr>
          <w:p>
            <w:pPr>
              <w:spacing w:after="0"/>
              <w:rPr>
                <w:sz w:val="15"/>
                <w:szCs w:val="15"/>
                <w:color w:val="auto"/>
              </w:rPr>
            </w:pPr>
          </w:p>
        </w:tc>
        <w:tc>
          <w:tcPr>
            <w:tcW w:w="14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4960" w:type="dxa"/>
            <w:vAlign w:val="bottom"/>
            <w:tcBorders>
              <w:top w:val="single" w:sz="8" w:color="E0E0E0"/>
            </w:tcBorders>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Borders>
              <w:top w:val="single" w:sz="8" w:color="E0E0E0"/>
            </w:tcBorders>
            <w:shd w:val="clear" w:color="auto" w:fill="E0E0E0"/>
          </w:tcPr>
          <w:p>
            <w:pPr>
              <w:spacing w:after="0"/>
              <w:rPr>
                <w:sz w:val="19"/>
                <w:szCs w:val="19"/>
                <w:color w:val="auto"/>
              </w:rPr>
            </w:pPr>
          </w:p>
        </w:tc>
        <w:tc>
          <w:tcPr>
            <w:tcW w:w="1180" w:type="dxa"/>
            <w:vAlign w:val="bottom"/>
            <w:tcBorders>
              <w:top w:val="single" w:sz="8" w:color="auto"/>
            </w:tcBorders>
            <w:shd w:val="clear" w:color="auto" w:fill="E0E0E0"/>
          </w:tcPr>
          <w:p>
            <w:pPr>
              <w:jc w:val="right"/>
              <w:ind w:right="99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6,407</w:t>
            </w:r>
          </w:p>
        </w:tc>
        <w:tc>
          <w:tcPr>
            <w:tcW w:w="280" w:type="dxa"/>
            <w:vAlign w:val="bottom"/>
            <w:tcBorders>
              <w:top w:val="single" w:sz="8" w:color="E0E0E0"/>
            </w:tcBorders>
            <w:shd w:val="clear" w:color="auto" w:fill="E0E0E0"/>
          </w:tcPr>
          <w:p>
            <w:pPr>
              <w:spacing w:after="0"/>
              <w:rPr>
                <w:sz w:val="19"/>
                <w:szCs w:val="19"/>
                <w:color w:val="auto"/>
              </w:rPr>
            </w:pPr>
          </w:p>
        </w:tc>
        <w:tc>
          <w:tcPr>
            <w:tcW w:w="1160" w:type="dxa"/>
            <w:vAlign w:val="bottom"/>
            <w:tcBorders>
              <w:top w:val="single" w:sz="8" w:color="auto"/>
            </w:tcBorders>
            <w:shd w:val="clear" w:color="auto" w:fill="E0E0E0"/>
          </w:tcPr>
          <w:p>
            <w:pPr>
              <w:jc w:val="right"/>
              <w:ind w:right="9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6,237</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49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E0E0E0"/>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12,601</w:t>
            </w:r>
          </w:p>
        </w:tc>
        <w:tc>
          <w:tcPr>
            <w:tcW w:w="280" w:type="dxa"/>
            <w:vAlign w:val="bottom"/>
            <w:tcBorders>
              <w:bottom w:val="single" w:sz="8" w:color="E0E0E0"/>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9,545</w:t>
            </w:r>
          </w:p>
        </w:tc>
        <w:tc>
          <w:tcPr>
            <w:tcW w:w="100" w:type="dxa"/>
            <w:vAlign w:val="bottom"/>
            <w:tcBorders>
              <w:bottom w:val="single" w:sz="8" w:color="E0E0E0"/>
            </w:tcBorders>
          </w:tcPr>
          <w:p>
            <w:pPr>
              <w:spacing w:after="0"/>
              <w:rPr>
                <w:sz w:val="19"/>
                <w:szCs w:val="19"/>
                <w:color w:val="auto"/>
              </w:rPr>
            </w:pPr>
          </w:p>
        </w:tc>
      </w:tr>
      <w:tr>
        <w:trPr>
          <w:trHeight w:val="220"/>
        </w:trPr>
        <w:tc>
          <w:tcPr>
            <w:tcW w:w="4960" w:type="dxa"/>
            <w:vAlign w:val="bottom"/>
            <w:shd w:val="clear" w:color="auto" w:fill="E0E0E0"/>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stock-based compensation</w:t>
            </w:r>
          </w:p>
        </w:tc>
        <w:tc>
          <w:tcPr>
            <w:tcW w:w="180" w:type="dxa"/>
            <w:vAlign w:val="bottom"/>
            <w:shd w:val="clear" w:color="auto" w:fill="E0E0E0"/>
          </w:tcPr>
          <w:p>
            <w:pPr>
              <w:spacing w:after="0"/>
              <w:rPr>
                <w:sz w:val="19"/>
                <w:szCs w:val="19"/>
                <w:color w:val="auto"/>
              </w:rPr>
            </w:pPr>
          </w:p>
        </w:tc>
        <w:tc>
          <w:tcPr>
            <w:tcW w:w="1180" w:type="dxa"/>
            <w:vAlign w:val="bottom"/>
            <w:tcBorders>
              <w:bottom w:val="single" w:sz="8" w:color="auto"/>
            </w:tcBorders>
            <w:shd w:val="clear" w:color="auto" w:fill="E0E0E0"/>
          </w:tcPr>
          <w:p>
            <w:pPr>
              <w:jc w:val="right"/>
              <w:ind w:right="99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19,008</w:t>
            </w:r>
          </w:p>
        </w:tc>
        <w:tc>
          <w:tcPr>
            <w:tcW w:w="280" w:type="dxa"/>
            <w:vAlign w:val="bottom"/>
            <w:shd w:val="clear" w:color="auto" w:fill="E0E0E0"/>
          </w:tcPr>
          <w:p>
            <w:pPr>
              <w:spacing w:after="0"/>
              <w:rPr>
                <w:sz w:val="19"/>
                <w:szCs w:val="19"/>
                <w:color w:val="auto"/>
              </w:rPr>
            </w:pPr>
          </w:p>
        </w:tc>
        <w:tc>
          <w:tcPr>
            <w:tcW w:w="1160" w:type="dxa"/>
            <w:vAlign w:val="bottom"/>
            <w:tcBorders>
              <w:bottom w:val="single" w:sz="8" w:color="auto"/>
            </w:tcBorders>
            <w:shd w:val="clear" w:color="auto" w:fill="E0E0E0"/>
          </w:tcPr>
          <w:p>
            <w:pPr>
              <w:jc w:val="right"/>
              <w:ind w:right="9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15,782</w:t>
            </w:r>
          </w:p>
        </w:tc>
        <w:tc>
          <w:tcPr>
            <w:tcW w:w="100" w:type="dxa"/>
            <w:vAlign w:val="bottom"/>
            <w:shd w:val="clear" w:color="auto" w:fill="E0E0E0"/>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40" w:lineRule="exact"/>
        <w:rPr>
          <w:sz w:val="20"/>
          <w:szCs w:val="20"/>
          <w:color w:val="auto"/>
        </w:rPr>
      </w:pPr>
    </w:p>
    <w:p>
      <w:pPr>
        <w:ind w:right="120" w:firstLine="979"/>
        <w:spacing w:after="0" w:line="246" w:lineRule="auto"/>
        <w:rPr>
          <w:sz w:val="20"/>
          <w:szCs w:val="20"/>
          <w:color w:val="auto"/>
        </w:rPr>
      </w:pPr>
      <w:r>
        <w:rPr>
          <w:rFonts w:ascii="Times New Roman" w:cs="Times New Roman" w:eastAsia="Times New Roman" w:hAnsi="Times New Roman"/>
          <w:sz w:val="20"/>
          <w:szCs w:val="20"/>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prevent third parties from commercializing in Europe products with characteristics similar to those of the Company’s RaniPill technology.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40" w:lineRule="exact"/>
        <w:rPr>
          <w:sz w:val="20"/>
          <w:szCs w:val="20"/>
          <w:color w:val="auto"/>
        </w:rPr>
      </w:pPr>
    </w:p>
    <w:p>
      <w:pPr>
        <w:ind w:right="140" w:firstLine="979"/>
        <w:spacing w:after="0" w:line="249" w:lineRule="auto"/>
        <w:rPr>
          <w:sz w:val="20"/>
          <w:szCs w:val="20"/>
          <w:color w:val="auto"/>
        </w:rPr>
      </w:pPr>
      <w:r>
        <w:rPr>
          <w:rFonts w:ascii="Times New Roman" w:cs="Times New Roman" w:eastAsia="Times New Roman" w:hAnsi="Times New Roman"/>
          <w:sz w:val="20"/>
          <w:szCs w:val="20"/>
          <w:color w:val="auto"/>
        </w:rPr>
        <w:t>The Company is party to a TRA with certain of the Continuing LLC Owners (Note 2). As of December 31, 2023,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$22.9 million at December 31, 2023.</w:t>
      </w:r>
    </w:p>
    <w:p>
      <w:pPr>
        <w:spacing w:after="0" w:line="197" w:lineRule="exact"/>
        <w:rPr>
          <w:sz w:val="20"/>
          <w:szCs w:val="20"/>
          <w:color w:val="auto"/>
        </w:rPr>
      </w:pPr>
    </w:p>
    <w:p>
      <w:pPr>
        <w:ind w:right="120" w:firstLine="979"/>
        <w:spacing w:after="0" w:line="252" w:lineRule="auto"/>
        <w:rPr>
          <w:sz w:val="20"/>
          <w:szCs w:val="20"/>
          <w:color w:val="auto"/>
        </w:rPr>
      </w:pPr>
      <w:r>
        <w:rPr>
          <w:rFonts w:ascii="Times New Roman" w:cs="Times New Roman" w:eastAsia="Times New Roman" w:hAnsi="Times New Roman"/>
          <w:sz w:val="20"/>
          <w:szCs w:val="20"/>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Long-Term Debt</w:t>
      </w:r>
    </w:p>
    <w:p>
      <w:pPr>
        <w:spacing w:after="0" w:line="244"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(“Tranche 2”) is uncommitted and is subject to certain conditions and approval by the Lender. The purpose of the Loans is for general corporate purposes. In exchange for access to this facility, the Company agreed to issue warrants (Note 8).</w:t>
      </w:r>
    </w:p>
    <w:p>
      <w:pPr>
        <w:sectPr>
          <w:pgSz w:w="12240" w:h="15840" w:orient="portrait"/>
          <w:cols w:equalWidth="0" w:num="1">
            <w:col w:w="10800"/>
          </w:cols>
          <w:pgMar w:left="720" w:top="93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10800"/>
          </w:cols>
          <w:pgMar w:left="720" w:top="930" w:right="720" w:bottom="0" w:gutter="0" w:footer="0" w:header="0"/>
          <w:type w:val="continuous"/>
        </w:sectPr>
      </w:pPr>
    </w:p>
    <w:bookmarkStart w:id="137" w:name="page138"/>
    <w:bookmarkEnd w:id="137"/>
    <w:p>
      <w:pPr>
        <w:ind w:right="40" w:firstLine="979"/>
        <w:spacing w:after="0" w:line="243" w:lineRule="auto"/>
        <w:rPr>
          <w:sz w:val="20"/>
          <w:szCs w:val="20"/>
          <w:color w:val="auto"/>
        </w:rPr>
      </w:pPr>
      <w:r>
        <w:rPr>
          <w:rFonts w:ascii="Times New Roman" w:cs="Times New Roman" w:eastAsia="Times New Roman" w:hAnsi="Times New Roman"/>
          <w:sz w:val="20"/>
          <w:szCs w:val="20"/>
          <w:color w:val="auto"/>
        </w:rPr>
        <w:t>Pursuant to the Loan Agreement, the maturity date for the Loans is August 1, 2026 (the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December 31, 2023, the effective interest rate on the Loans was 15.70% and there were no events of default during the year ended December 31, 2023.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December 31, 2023, the Company was in compliance with all applicable covenants under the Loan Agreement.</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As of December 31, 2023, future principal payments for the Company’s debt are as follows (in thousands):</w:t>
      </w:r>
    </w:p>
    <w:p>
      <w:pPr>
        <w:spacing w:after="0" w:line="29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5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2020" w:type="dxa"/>
            <w:vAlign w:val="bottom"/>
            <w:shd w:val="clear" w:color="auto" w:fill="E0E0E0"/>
          </w:tcPr>
          <w:p>
            <w:pPr>
              <w:spacing w:after="0"/>
              <w:rPr>
                <w:sz w:val="19"/>
                <w:szCs w:val="19"/>
                <w:color w:val="auto"/>
              </w:rPr>
            </w:pPr>
          </w:p>
        </w:tc>
        <w:tc>
          <w:tcPr>
            <w:tcW w:w="54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2024</w:t>
            </w:r>
          </w:p>
        </w:tc>
        <w:tc>
          <w:tcPr>
            <w:tcW w:w="2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2025</w:t>
            </w:r>
          </w:p>
        </w:tc>
        <w:tc>
          <w:tcPr>
            <w:tcW w:w="2020" w:type="dxa"/>
            <w:vAlign w:val="bottom"/>
            <w:shd w:val="clear" w:color="auto" w:fill="E0E0E0"/>
          </w:tcPr>
          <w:p>
            <w:pPr>
              <w:spacing w:after="0"/>
              <w:rPr>
                <w:sz w:val="19"/>
                <w:szCs w:val="19"/>
                <w:color w:val="auto"/>
              </w:rPr>
            </w:pPr>
          </w:p>
        </w:tc>
        <w:tc>
          <w:tcPr>
            <w:tcW w:w="54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2026</w:t>
            </w:r>
          </w:p>
        </w:tc>
        <w:tc>
          <w:tcPr>
            <w:tcW w:w="2020" w:type="dxa"/>
            <w:vAlign w:val="bottom"/>
            <w:tcBorders>
              <w:bottom w:val="single" w:sz="8" w:color="E0E0E0"/>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principal payments</w:t>
            </w:r>
          </w:p>
        </w:tc>
        <w:tc>
          <w:tcPr>
            <w:tcW w:w="2020" w:type="dxa"/>
            <w:vAlign w:val="bottom"/>
            <w:shd w:val="clear" w:color="auto" w:fill="E0E0E0"/>
          </w:tcPr>
          <w:p>
            <w:pPr>
              <w:spacing w:after="0"/>
              <w:rPr>
                <w:sz w:val="19"/>
                <w:szCs w:val="19"/>
                <w:color w:val="auto"/>
              </w:rPr>
            </w:pPr>
          </w:p>
        </w:tc>
        <w:tc>
          <w:tcPr>
            <w:tcW w:w="540" w:type="dxa"/>
            <w:vAlign w:val="bottom"/>
            <w:shd w:val="clear" w:color="auto" w:fill="E0E0E0"/>
          </w:tcPr>
          <w:p>
            <w:pPr>
              <w:jc w:val="right"/>
              <w:ind w:right="3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30,000</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Less: amount representing debt discount</w:t>
            </w:r>
          </w:p>
        </w:tc>
        <w:tc>
          <w:tcPr>
            <w:tcW w:w="2020" w:type="dxa"/>
            <w:vAlign w:val="bottom"/>
            <w:tcBorders>
              <w:bottom w:val="single" w:sz="8" w:color="E0E0E0"/>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long-term debt</w:t>
            </w:r>
          </w:p>
        </w:tc>
        <w:tc>
          <w:tcPr>
            <w:tcW w:w="2020" w:type="dxa"/>
            <w:vAlign w:val="bottom"/>
            <w:shd w:val="clear" w:color="auto" w:fill="E0E0E0"/>
          </w:tcPr>
          <w:p>
            <w:pPr>
              <w:spacing w:after="0"/>
              <w:rPr>
                <w:sz w:val="19"/>
                <w:szCs w:val="19"/>
                <w:color w:val="auto"/>
              </w:rPr>
            </w:pPr>
          </w:p>
        </w:tc>
        <w:tc>
          <w:tcPr>
            <w:tcW w:w="540" w:type="dxa"/>
            <w:vAlign w:val="bottom"/>
            <w:tcBorders>
              <w:bottom w:val="single" w:sz="8" w:color="auto"/>
            </w:tcBorders>
            <w:shd w:val="clear" w:color="auto" w:fill="E0E0E0"/>
          </w:tcPr>
          <w:p>
            <w:pPr>
              <w:jc w:val="right"/>
              <w:ind w:right="3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29,381</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2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20" w:type="dxa"/>
            <w:vAlign w:val="bottom"/>
            <w:tcBorders>
              <w:bottom w:val="single" w:sz="8" w:color="E0E0E0"/>
            </w:tcBorders>
            <w:vMerge w:val="continue"/>
          </w:tcPr>
          <w:p>
            <w:pPr>
              <w:spacing w:after="0"/>
              <w:rPr>
                <w:sz w:val="18"/>
                <w:szCs w:val="18"/>
                <w:color w:val="auto"/>
              </w:rPr>
            </w:pPr>
          </w:p>
        </w:tc>
        <w:tc>
          <w:tcPr>
            <w:tcW w:w="2020" w:type="dxa"/>
            <w:vAlign w:val="bottom"/>
            <w:tcBorders>
              <w:bottom w:val="single" w:sz="8" w:color="E0E0E0"/>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4,897</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long-term debt, less current portion</w:t>
            </w:r>
          </w:p>
        </w:tc>
        <w:tc>
          <w:tcPr>
            <w:tcW w:w="2020" w:type="dxa"/>
            <w:vAlign w:val="bottom"/>
            <w:shd w:val="clear" w:color="auto" w:fill="E0E0E0"/>
          </w:tcPr>
          <w:p>
            <w:pPr>
              <w:spacing w:after="0"/>
              <w:rPr>
                <w:sz w:val="19"/>
                <w:szCs w:val="19"/>
                <w:color w:val="auto"/>
              </w:rPr>
            </w:pPr>
          </w:p>
        </w:tc>
        <w:tc>
          <w:tcPr>
            <w:tcW w:w="540" w:type="dxa"/>
            <w:vAlign w:val="bottom"/>
            <w:tcBorders>
              <w:bottom w:val="single" w:sz="8" w:color="auto"/>
            </w:tcBorders>
            <w:shd w:val="clear" w:color="auto" w:fill="E0E0E0"/>
          </w:tcPr>
          <w:p>
            <w:pPr>
              <w:jc w:val="right"/>
              <w:ind w:right="3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24,484</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244" w:lineRule="exact"/>
        <w:rPr>
          <w:sz w:val="20"/>
          <w:szCs w:val="20"/>
          <w:color w:val="auto"/>
        </w:rPr>
      </w:pPr>
    </w:p>
    <w:p>
      <w:pPr>
        <w:ind w:firstLine="979"/>
        <w:spacing w:after="0" w:line="249" w:lineRule="auto"/>
        <w:rPr>
          <w:sz w:val="20"/>
          <w:szCs w:val="20"/>
          <w:color w:val="auto"/>
        </w:rPr>
      </w:pPr>
      <w:r>
        <w:rPr>
          <w:rFonts w:ascii="Times New Roman" w:cs="Times New Roman" w:eastAsia="Times New Roman" w:hAnsi="Times New Roman"/>
          <w:sz w:val="20"/>
          <w:szCs w:val="20"/>
          <w:color w:val="auto"/>
        </w:rPr>
        <w:t>There was no income tax expense for the year ended December 31, 2023. Income tax expense totaled $0.1 million for the year ended December 31, 2022. The effective tax rate for the years ended December 31, 2023 and 2022 is different from the federal statutory rate primarily due to the valuation allowance against deferred tax assets as a result of insufficient sources of income and pass-through loss not subject to income tax. A reconciliation between the Company’s effective tax rate and the applicable U.S. federal statutory income tax rate is summarized as follows:</w:t>
      </w:r>
    </w:p>
    <w:p>
      <w:pPr>
        <w:spacing w:after="0" w:line="23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19" w:lineRule="exact"/>
        <w:rPr>
          <w:sz w:val="20"/>
          <w:szCs w:val="20"/>
          <w:color w:val="auto"/>
        </w:rPr>
      </w:pPr>
    </w:p>
    <w:tbl>
      <w:tblPr>
        <w:tblLayout w:type="fixed"/>
        <w:tblInd w:w="820" w:type="dxa"/>
        <w:tblCellMar>
          <w:top w:w="0" w:type="dxa"/>
          <w:left w:w="0" w:type="dxa"/>
          <w:bottom w:w="0" w:type="dxa"/>
          <w:right w:w="0" w:type="dxa"/>
        </w:tblCellMar>
      </w:tblPr>
      <w:tr>
        <w:trPr>
          <w:trHeight w:val="174"/>
        </w:trPr>
        <w:tc>
          <w:tcPr>
            <w:tcW w:w="5000" w:type="dxa"/>
            <w:vAlign w:val="bottom"/>
            <w:gridSpan w:val="2"/>
          </w:tcPr>
          <w:p>
            <w:pPr>
              <w:spacing w:after="0"/>
              <w:rPr>
                <w:sz w:val="15"/>
                <w:szCs w:val="15"/>
                <w:color w:val="auto"/>
              </w:rPr>
            </w:pPr>
          </w:p>
        </w:tc>
        <w:tc>
          <w:tcPr>
            <w:tcW w:w="11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2"/>
          </w:tcPr>
          <w:p>
            <w:pPr>
              <w:jc w:val="right"/>
              <w:ind w:right="760"/>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486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Federal statutory rate</w:t>
            </w:r>
          </w:p>
        </w:tc>
        <w:tc>
          <w:tcPr>
            <w:tcW w:w="140" w:type="dxa"/>
            <w:vAlign w:val="bottom"/>
            <w:tcBorders>
              <w:top w:val="single" w:sz="8" w:color="E0E0E0"/>
            </w:tcBorders>
            <w:shd w:val="clear" w:color="auto" w:fill="E0E0E0"/>
          </w:tcPr>
          <w:p>
            <w:pPr>
              <w:spacing w:after="0"/>
              <w:rPr>
                <w:sz w:val="19"/>
                <w:szCs w:val="19"/>
                <w:color w:val="auto"/>
              </w:rPr>
            </w:pPr>
          </w:p>
        </w:tc>
        <w:tc>
          <w:tcPr>
            <w:tcW w:w="1180" w:type="dxa"/>
            <w:vAlign w:val="bottom"/>
            <w:tcBorders>
              <w:top w:val="single" w:sz="8" w:color="auto"/>
            </w:tcBorders>
            <w:shd w:val="clear" w:color="auto" w:fill="E0E0E0"/>
          </w:tcPr>
          <w:p>
            <w:pPr>
              <w:spacing w:after="0"/>
              <w:rPr>
                <w:sz w:val="19"/>
                <w:szCs w:val="19"/>
                <w:color w:val="auto"/>
              </w:rPr>
            </w:pPr>
          </w:p>
        </w:tc>
        <w:tc>
          <w:tcPr>
            <w:tcW w:w="52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21.0</w:t>
            </w:r>
          </w:p>
        </w:tc>
        <w:tc>
          <w:tcPr>
            <w:tcW w:w="320" w:type="dxa"/>
            <w:vAlign w:val="bottom"/>
            <w:tcBorders>
              <w:top w:val="single" w:sz="8" w:color="auto"/>
            </w:tcBorders>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95"/>
              </w:rPr>
              <w:t>%</w:t>
            </w:r>
          </w:p>
        </w:tc>
        <w:tc>
          <w:tcPr>
            <w:tcW w:w="140" w:type="dxa"/>
            <w:vAlign w:val="bottom"/>
            <w:tcBorders>
              <w:top w:val="single" w:sz="8" w:color="E0E0E0"/>
            </w:tcBorders>
            <w:shd w:val="clear" w:color="auto" w:fill="E0E0E0"/>
          </w:tcPr>
          <w:p>
            <w:pPr>
              <w:spacing w:after="0"/>
              <w:rPr>
                <w:sz w:val="19"/>
                <w:szCs w:val="19"/>
                <w:color w:val="auto"/>
              </w:rPr>
            </w:pPr>
          </w:p>
        </w:tc>
        <w:tc>
          <w:tcPr>
            <w:tcW w:w="2020" w:type="dxa"/>
            <w:vAlign w:val="bottom"/>
            <w:tcBorders>
              <w:top w:val="single" w:sz="8" w:color="auto"/>
            </w:tcBorders>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21.0 %</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State tax, net of federal tax benefit</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3.4</w:t>
            </w:r>
          </w:p>
        </w:tc>
      </w:tr>
      <w:tr>
        <w:trPr>
          <w:trHeight w:val="230"/>
        </w:trPr>
        <w:tc>
          <w:tcPr>
            <w:tcW w:w="48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1320" w:type="dxa"/>
            <w:vAlign w:val="bottom"/>
            <w:gridSpan w:val="2"/>
            <w:shd w:val="clear" w:color="auto" w:fill="E0E0E0"/>
          </w:tcPr>
          <w:p>
            <w:pPr>
              <w:spacing w:after="0"/>
              <w:rPr>
                <w:sz w:val="19"/>
                <w:szCs w:val="19"/>
                <w:color w:val="auto"/>
              </w:rPr>
            </w:pPr>
          </w:p>
        </w:tc>
        <w:tc>
          <w:tcPr>
            <w:tcW w:w="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(10.5)</w:t>
            </w:r>
          </w:p>
        </w:tc>
        <w:tc>
          <w:tcPr>
            <w:tcW w:w="320" w:type="dxa"/>
            <w:vAlign w:val="bottom"/>
            <w:shd w:val="clear" w:color="auto" w:fill="E0E0E0"/>
          </w:tcPr>
          <w:p>
            <w:pPr>
              <w:spacing w:after="0"/>
              <w:rPr>
                <w:sz w:val="19"/>
                <w:szCs w:val="19"/>
                <w:color w:val="auto"/>
              </w:rPr>
            </w:pPr>
          </w:p>
        </w:tc>
        <w:tc>
          <w:tcPr>
            <w:tcW w:w="21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32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20" w:type="dxa"/>
            <w:vAlign w:val="bottom"/>
          </w:tcPr>
          <w:p>
            <w:pPr>
              <w:spacing w:after="0"/>
              <w:rPr>
                <w:sz w:val="19"/>
                <w:szCs w:val="19"/>
                <w:color w:val="auto"/>
              </w:rPr>
            </w:pPr>
          </w:p>
        </w:tc>
        <w:tc>
          <w:tcPr>
            <w:tcW w:w="2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48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Uncertain tax position</w:t>
            </w:r>
          </w:p>
        </w:tc>
        <w:tc>
          <w:tcPr>
            <w:tcW w:w="1320" w:type="dxa"/>
            <w:vAlign w:val="bottom"/>
            <w:gridSpan w:val="2"/>
            <w:shd w:val="clear" w:color="auto" w:fill="E0E0E0"/>
          </w:tcPr>
          <w:p>
            <w:pPr>
              <w:spacing w:after="0"/>
              <w:rPr>
                <w:sz w:val="19"/>
                <w:szCs w:val="19"/>
                <w:color w:val="auto"/>
              </w:rPr>
            </w:pPr>
          </w:p>
        </w:tc>
        <w:tc>
          <w:tcPr>
            <w:tcW w:w="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20" w:type="dxa"/>
            <w:vAlign w:val="bottom"/>
            <w:shd w:val="clear" w:color="auto" w:fill="E0E0E0"/>
          </w:tcPr>
          <w:p>
            <w:pPr>
              <w:spacing w:after="0"/>
              <w:rPr>
                <w:sz w:val="19"/>
                <w:szCs w:val="19"/>
                <w:color w:val="auto"/>
              </w:rPr>
            </w:pPr>
          </w:p>
        </w:tc>
        <w:tc>
          <w:tcPr>
            <w:tcW w:w="21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(0.3)</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Liquidating distribution</w:t>
            </w:r>
          </w:p>
        </w:tc>
        <w:tc>
          <w:tcPr>
            <w:tcW w:w="132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48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w:t>
            </w:r>
          </w:p>
        </w:tc>
        <w:tc>
          <w:tcPr>
            <w:tcW w:w="1320" w:type="dxa"/>
            <w:vAlign w:val="bottom"/>
            <w:gridSpan w:val="2"/>
            <w:shd w:val="clear" w:color="auto" w:fill="E0E0E0"/>
          </w:tcPr>
          <w:p>
            <w:pPr>
              <w:spacing w:after="0"/>
              <w:rPr>
                <w:sz w:val="19"/>
                <w:szCs w:val="19"/>
                <w:color w:val="auto"/>
              </w:rPr>
            </w:pPr>
          </w:p>
        </w:tc>
        <w:tc>
          <w:tcPr>
            <w:tcW w:w="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3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20" w:type="dxa"/>
            <w:vAlign w:val="bottom"/>
            <w:shd w:val="clear" w:color="auto" w:fill="E0E0E0"/>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2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(16.1)</w:t>
            </w:r>
          </w:p>
        </w:tc>
        <w:tc>
          <w:tcPr>
            <w:tcW w:w="320" w:type="dxa"/>
            <w:vAlign w:val="bottom"/>
          </w:tcPr>
          <w:p>
            <w:pPr>
              <w:spacing w:after="0"/>
              <w:rPr>
                <w:sz w:val="19"/>
                <w:szCs w:val="19"/>
                <w:color w:val="auto"/>
              </w:rPr>
            </w:pP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(13.8)</w:t>
            </w:r>
          </w:p>
        </w:tc>
      </w:tr>
      <w:tr>
        <w:trPr>
          <w:trHeight w:val="220"/>
        </w:trPr>
        <w:tc>
          <w:tcPr>
            <w:tcW w:w="486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Effective tax rate</w:t>
            </w:r>
          </w:p>
        </w:tc>
        <w:tc>
          <w:tcPr>
            <w:tcW w:w="140" w:type="dxa"/>
            <w:vAlign w:val="bottom"/>
            <w:tcBorders>
              <w:top w:val="single" w:sz="8" w:color="E0E0E0"/>
            </w:tcBorders>
            <w:shd w:val="clear" w:color="auto" w:fill="E0E0E0"/>
          </w:tcPr>
          <w:p>
            <w:pPr>
              <w:spacing w:after="0"/>
              <w:rPr>
                <w:sz w:val="19"/>
                <w:szCs w:val="19"/>
                <w:color w:val="auto"/>
              </w:rPr>
            </w:pPr>
          </w:p>
        </w:tc>
        <w:tc>
          <w:tcPr>
            <w:tcW w:w="1180" w:type="dxa"/>
            <w:vAlign w:val="bottom"/>
            <w:tcBorders>
              <w:top w:val="single" w:sz="8" w:color="auto"/>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gridSpan w:val="2"/>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 %</w:t>
            </w:r>
          </w:p>
        </w:tc>
        <w:tc>
          <w:tcPr>
            <w:tcW w:w="140" w:type="dxa"/>
            <w:vAlign w:val="bottom"/>
            <w:tcBorders>
              <w:top w:val="single" w:sz="8" w:color="E0E0E0"/>
            </w:tcBorders>
            <w:shd w:val="clear" w:color="auto" w:fill="E0E0E0"/>
          </w:tcPr>
          <w:p>
            <w:pPr>
              <w:spacing w:after="0"/>
              <w:rPr>
                <w:sz w:val="19"/>
                <w:szCs w:val="19"/>
                <w:color w:val="auto"/>
              </w:rPr>
            </w:pPr>
          </w:p>
        </w:tc>
        <w:tc>
          <w:tcPr>
            <w:tcW w:w="2020" w:type="dxa"/>
            <w:vAlign w:val="bottom"/>
            <w:tcBorders>
              <w:top w:val="single" w:sz="8" w:color="auto"/>
              <w:bottom w:val="single" w:sz="8" w:color="auto"/>
            </w:tcBorders>
            <w:shd w:val="clear" w:color="auto" w:fill="E0E0E0"/>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(0.1)%</w:t>
            </w:r>
          </w:p>
        </w:tc>
      </w:tr>
      <w:tr>
        <w:trPr>
          <w:trHeight w:val="20"/>
        </w:trPr>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180" w:firstLine="979"/>
        <w:spacing w:after="0" w:line="258"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4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Pr>
          <w:p>
            <w:pPr>
              <w:spacing w:after="0"/>
              <w:rPr>
                <w:sz w:val="15"/>
                <w:szCs w:val="15"/>
                <w:color w:val="auto"/>
              </w:rPr>
            </w:pPr>
          </w:p>
        </w:tc>
        <w:tc>
          <w:tcPr>
            <w:tcW w:w="14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4680" w:type="dxa"/>
            <w:vAlign w:val="bottom"/>
            <w:tcBorders>
              <w:top w:val="single" w:sz="8" w:color="E0E0E0"/>
            </w:tcBorders>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520" w:type="dxa"/>
            <w:vAlign w:val="bottom"/>
            <w:tcBorders>
              <w:top w:val="single" w:sz="8" w:color="E0E0E0"/>
            </w:tcBorders>
            <w:shd w:val="clear" w:color="auto" w:fill="E0E0E0"/>
          </w:tcPr>
          <w:p>
            <w:pPr>
              <w:spacing w:after="0"/>
              <w:rPr>
                <w:sz w:val="19"/>
                <w:szCs w:val="19"/>
                <w:color w:val="auto"/>
              </w:rPr>
            </w:pPr>
          </w:p>
        </w:tc>
        <w:tc>
          <w:tcPr>
            <w:tcW w:w="1120" w:type="dxa"/>
            <w:vAlign w:val="bottom"/>
            <w:tcBorders>
              <w:top w:val="single" w:sz="8" w:color="auto"/>
            </w:tcBorders>
            <w:shd w:val="clear" w:color="auto" w:fill="E0E0E0"/>
          </w:tcPr>
          <w:p>
            <w:pPr>
              <w:spacing w:after="0"/>
              <w:rPr>
                <w:sz w:val="19"/>
                <w:szCs w:val="19"/>
                <w:color w:val="auto"/>
              </w:rPr>
            </w:pPr>
          </w:p>
        </w:tc>
        <w:tc>
          <w:tcPr>
            <w:tcW w:w="680" w:type="dxa"/>
            <w:vAlign w:val="bottom"/>
            <w:tcBorders>
              <w:top w:val="single" w:sz="8" w:color="auto"/>
            </w:tcBorders>
            <w:shd w:val="clear" w:color="auto" w:fill="E0E0E0"/>
          </w:tcPr>
          <w:p>
            <w:pPr>
              <w:spacing w:after="0"/>
              <w:rPr>
                <w:sz w:val="19"/>
                <w:szCs w:val="19"/>
                <w:color w:val="auto"/>
              </w:rPr>
            </w:pPr>
          </w:p>
        </w:tc>
        <w:tc>
          <w:tcPr>
            <w:tcW w:w="280" w:type="dxa"/>
            <w:vAlign w:val="bottom"/>
            <w:tcBorders>
              <w:top w:val="single" w:sz="8" w:color="E0E0E0"/>
            </w:tcBorders>
            <w:shd w:val="clear" w:color="auto" w:fill="E0E0E0"/>
          </w:tcPr>
          <w:p>
            <w:pPr>
              <w:spacing w:after="0"/>
              <w:rPr>
                <w:sz w:val="19"/>
                <w:szCs w:val="19"/>
                <w:color w:val="auto"/>
              </w:rPr>
            </w:pPr>
          </w:p>
        </w:tc>
        <w:tc>
          <w:tcPr>
            <w:tcW w:w="1120" w:type="dxa"/>
            <w:vAlign w:val="bottom"/>
            <w:tcBorders>
              <w:top w:val="single" w:sz="8" w:color="auto"/>
            </w:tcBorders>
            <w:shd w:val="clear" w:color="auto" w:fill="E0E0E0"/>
          </w:tcPr>
          <w:p>
            <w:pPr>
              <w:spacing w:after="0"/>
              <w:rPr>
                <w:sz w:val="19"/>
                <w:szCs w:val="19"/>
                <w:color w:val="auto"/>
              </w:rPr>
            </w:pPr>
          </w:p>
        </w:tc>
        <w:tc>
          <w:tcPr>
            <w:tcW w:w="68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4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in partnership</w:t>
            </w:r>
          </w:p>
        </w:tc>
        <w:tc>
          <w:tcPr>
            <w:tcW w:w="52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45,470</w:t>
            </w:r>
          </w:p>
        </w:tc>
        <w:tc>
          <w:tcPr>
            <w:tcW w:w="280" w:type="dxa"/>
            <w:vAlign w:val="bottom"/>
          </w:tcPr>
          <w:p>
            <w:pPr>
              <w:spacing w:after="0"/>
              <w:rPr>
                <w:sz w:val="19"/>
                <w:szCs w:val="19"/>
                <w:color w:val="auto"/>
              </w:rPr>
            </w:pPr>
          </w:p>
        </w:tc>
        <w:tc>
          <w:tcPr>
            <w:tcW w:w="1120" w:type="dxa"/>
            <w:vAlign w:val="bottom"/>
          </w:tcPr>
          <w:p>
            <w:pPr>
              <w:jc w:val="right"/>
              <w:ind w:right="92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44,923</w:t>
            </w:r>
          </w:p>
        </w:tc>
        <w:tc>
          <w:tcPr>
            <w:tcW w:w="100" w:type="dxa"/>
            <w:vAlign w:val="bottom"/>
          </w:tcPr>
          <w:p>
            <w:pPr>
              <w:spacing w:after="0"/>
              <w:rPr>
                <w:sz w:val="19"/>
                <w:szCs w:val="19"/>
                <w:color w:val="auto"/>
              </w:rPr>
            </w:pPr>
          </w:p>
        </w:tc>
      </w:tr>
      <w:tr>
        <w:trPr>
          <w:trHeight w:val="230"/>
        </w:trPr>
        <w:tc>
          <w:tcPr>
            <w:tcW w:w="46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w:t>
            </w:r>
          </w:p>
        </w:tc>
        <w:tc>
          <w:tcPr>
            <w:tcW w:w="52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12,979</w:t>
            </w:r>
          </w:p>
        </w:tc>
        <w:tc>
          <w:tcPr>
            <w:tcW w:w="28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6,807</w:t>
            </w:r>
          </w:p>
        </w:tc>
        <w:tc>
          <w:tcPr>
            <w:tcW w:w="100" w:type="dxa"/>
            <w:vAlign w:val="bottom"/>
            <w:shd w:val="clear" w:color="auto" w:fill="E0E0E0"/>
          </w:tcPr>
          <w:p>
            <w:pPr>
              <w:spacing w:after="0"/>
              <w:rPr>
                <w:sz w:val="19"/>
                <w:szCs w:val="19"/>
                <w:color w:val="auto"/>
              </w:rPr>
            </w:pPr>
          </w:p>
        </w:tc>
      </w:tr>
      <w:tr>
        <w:trPr>
          <w:trHeight w:val="230"/>
        </w:trPr>
        <w:tc>
          <w:tcPr>
            <w:tcW w:w="46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520" w:type="dxa"/>
            <w:vAlign w:val="bottom"/>
            <w:tcBorders>
              <w:bottom w:val="single" w:sz="8" w:color="E0E0E0"/>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2,550</w:t>
            </w:r>
          </w:p>
        </w:tc>
        <w:tc>
          <w:tcPr>
            <w:tcW w:w="280" w:type="dxa"/>
            <w:vAlign w:val="bottom"/>
            <w:tcBorders>
              <w:bottom w:val="single" w:sz="8" w:color="E0E0E0"/>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100" w:type="dxa"/>
            <w:vAlign w:val="bottom"/>
            <w:tcBorders>
              <w:bottom w:val="single" w:sz="8" w:color="E0E0E0"/>
            </w:tcBorders>
          </w:tcPr>
          <w:p>
            <w:pPr>
              <w:spacing w:after="0"/>
              <w:rPr>
                <w:sz w:val="19"/>
                <w:szCs w:val="19"/>
                <w:color w:val="auto"/>
              </w:rPr>
            </w:pPr>
          </w:p>
        </w:tc>
      </w:tr>
      <w:tr>
        <w:trPr>
          <w:trHeight w:val="220"/>
        </w:trPr>
        <w:tc>
          <w:tcPr>
            <w:tcW w:w="46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 deferred tax assets</w:t>
            </w:r>
          </w:p>
        </w:tc>
        <w:tc>
          <w:tcPr>
            <w:tcW w:w="52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60,999</w:t>
            </w:r>
          </w:p>
        </w:tc>
        <w:tc>
          <w:tcPr>
            <w:tcW w:w="28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52,815</w:t>
            </w:r>
          </w:p>
        </w:tc>
        <w:tc>
          <w:tcPr>
            <w:tcW w:w="100" w:type="dxa"/>
            <w:vAlign w:val="bottom"/>
            <w:shd w:val="clear" w:color="auto" w:fill="E0E0E0"/>
          </w:tcPr>
          <w:p>
            <w:pPr>
              <w:spacing w:after="0"/>
              <w:rPr>
                <w:sz w:val="19"/>
                <w:szCs w:val="19"/>
                <w:color w:val="auto"/>
              </w:rPr>
            </w:pPr>
          </w:p>
        </w:tc>
      </w:tr>
      <w:tr>
        <w:trPr>
          <w:trHeight w:val="230"/>
        </w:trPr>
        <w:tc>
          <w:tcPr>
            <w:tcW w:w="46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Valuation allowance</w:t>
            </w:r>
          </w:p>
        </w:tc>
        <w:tc>
          <w:tcPr>
            <w:tcW w:w="520" w:type="dxa"/>
            <w:vAlign w:val="bottom"/>
            <w:tcBorders>
              <w:bottom w:val="single" w:sz="8" w:color="E0E0E0"/>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(60,999)</w:t>
            </w:r>
          </w:p>
        </w:tc>
        <w:tc>
          <w:tcPr>
            <w:tcW w:w="280" w:type="dxa"/>
            <w:vAlign w:val="bottom"/>
            <w:tcBorders>
              <w:bottom w:val="single" w:sz="8" w:color="E0E0E0"/>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(52,815)</w:t>
            </w:r>
          </w:p>
        </w:tc>
        <w:tc>
          <w:tcPr>
            <w:tcW w:w="100" w:type="dxa"/>
            <w:vAlign w:val="bottom"/>
            <w:tcBorders>
              <w:bottom w:val="single" w:sz="8" w:color="E0E0E0"/>
            </w:tcBorders>
          </w:tcPr>
          <w:p>
            <w:pPr>
              <w:spacing w:after="0"/>
              <w:rPr>
                <w:sz w:val="19"/>
                <w:szCs w:val="19"/>
                <w:color w:val="auto"/>
              </w:rPr>
            </w:pPr>
          </w:p>
        </w:tc>
      </w:tr>
      <w:tr>
        <w:trPr>
          <w:trHeight w:val="220"/>
        </w:trPr>
        <w:tc>
          <w:tcPr>
            <w:tcW w:w="46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520" w:type="dxa"/>
            <w:vAlign w:val="bottom"/>
            <w:shd w:val="clear" w:color="auto" w:fill="E0E0E0"/>
          </w:tcPr>
          <w:p>
            <w:pPr>
              <w:spacing w:after="0"/>
              <w:rPr>
                <w:sz w:val="19"/>
                <w:szCs w:val="19"/>
                <w:color w:val="auto"/>
              </w:rPr>
            </w:pPr>
          </w:p>
        </w:tc>
        <w:tc>
          <w:tcPr>
            <w:tcW w:w="1120" w:type="dxa"/>
            <w:vAlign w:val="bottom"/>
            <w:tcBorders>
              <w:bottom w:val="single" w:sz="8" w:color="auto"/>
            </w:tcBorders>
            <w:shd w:val="clear" w:color="auto" w:fill="E0E0E0"/>
          </w:tcPr>
          <w:p>
            <w:pPr>
              <w:jc w:val="right"/>
              <w:ind w:right="93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E0E0E0"/>
          </w:tcPr>
          <w:p>
            <w:pPr>
              <w:spacing w:after="0"/>
              <w:rPr>
                <w:sz w:val="19"/>
                <w:szCs w:val="19"/>
                <w:color w:val="auto"/>
              </w:rPr>
            </w:pPr>
          </w:p>
        </w:tc>
        <w:tc>
          <w:tcPr>
            <w:tcW w:w="1120" w:type="dxa"/>
            <w:vAlign w:val="bottom"/>
            <w:tcBorders>
              <w:bottom w:val="single" w:sz="8" w:color="auto"/>
            </w:tcBorders>
            <w:shd w:val="clear" w:color="auto" w:fill="E0E0E0"/>
          </w:tcPr>
          <w:p>
            <w:pPr>
              <w:jc w:val="right"/>
              <w:ind w:right="9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40"/>
          </w:cols>
          <w:pgMar w:left="720" w:top="930" w:right="78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10740"/>
          </w:cols>
          <w:pgMar w:left="720" w:top="930" w:right="780" w:bottom="0" w:gutter="0" w:footer="0" w:header="0"/>
          <w:type w:val="continuous"/>
        </w:sectPr>
      </w:pPr>
    </w:p>
    <w:bookmarkStart w:id="138" w:name="page139"/>
    <w:bookmarkEnd w:id="138"/>
    <w:p>
      <w:pPr>
        <w:ind w:right="20" w:firstLine="979"/>
        <w:spacing w:after="0" w:line="246" w:lineRule="auto"/>
        <w:rPr>
          <w:sz w:val="20"/>
          <w:szCs w:val="20"/>
          <w:color w:val="auto"/>
        </w:rPr>
      </w:pPr>
      <w:r>
        <w:rPr>
          <w:rFonts w:ascii="Times New Roman" w:cs="Times New Roman" w:eastAsia="Times New Roman" w:hAnsi="Times New Roman"/>
          <w:sz w:val="20"/>
          <w:szCs w:val="20"/>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Because of the Company’s recent history of operating losses, the Company believes that recognition of the deferred tax assets arising from the above-mentioned future tax benefits is currently not likely to be realized and, accordingly, has recognized a full valuation allowance on its deferred tax assets. The valuation allowance increased by $8.2 million and $24.1 million for the years ended December 31, 2023 and 2022, respectively, primarily due to the increase in the Company’s net operating losses (“NOL”) during the period.</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As of December 31, 2023, the Company had the following tax attribute carryforwards that will expire on various dates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48"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800" w:type="dxa"/>
            <w:vAlign w:val="bottom"/>
            <w:tcBorders>
              <w:bottom w:val="single" w:sz="8" w:color="E0E0E0"/>
            </w:tcBorders>
          </w:tcPr>
          <w:p>
            <w:pPr>
              <w:spacing w:after="0"/>
              <w:rPr>
                <w:sz w:val="17"/>
                <w:szCs w:val="17"/>
                <w:color w:val="auto"/>
              </w:rPr>
            </w:pPr>
          </w:p>
        </w:tc>
        <w:tc>
          <w:tcPr>
            <w:tcW w:w="40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Amount (in thousands)</w:t>
            </w:r>
          </w:p>
        </w:tc>
        <w:tc>
          <w:tcPr>
            <w:tcW w:w="280" w:type="dxa"/>
            <w:vAlign w:val="bottom"/>
            <w:tcBorders>
              <w:bottom w:val="single" w:sz="8" w:color="E0E0E0"/>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Years</w:t>
            </w:r>
          </w:p>
        </w:tc>
      </w:tr>
      <w:tr>
        <w:trPr>
          <w:trHeight w:val="220"/>
        </w:trPr>
        <w:tc>
          <w:tcPr>
            <w:tcW w:w="480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Net operating losses, federal (post December 31, 2017)</w:t>
            </w:r>
          </w:p>
        </w:tc>
        <w:tc>
          <w:tcPr>
            <w:tcW w:w="40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39,983</w:t>
            </w:r>
          </w:p>
        </w:tc>
        <w:tc>
          <w:tcPr>
            <w:tcW w:w="280" w:type="dxa"/>
            <w:vAlign w:val="bottom"/>
            <w:shd w:val="clear" w:color="auto" w:fill="E0E0E0"/>
          </w:tcPr>
          <w:p>
            <w:pPr>
              <w:spacing w:after="0"/>
              <w:rPr>
                <w:sz w:val="19"/>
                <w:szCs w:val="19"/>
                <w:color w:val="auto"/>
              </w:rPr>
            </w:pPr>
          </w:p>
        </w:tc>
        <w:tc>
          <w:tcPr>
            <w:tcW w:w="190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rPr>
              <w:t>Indefinite</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state (definite)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65,615</w:t>
            </w:r>
          </w:p>
        </w:tc>
        <w:tc>
          <w:tcPr>
            <w:tcW w:w="2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2041 - 2043</w:t>
            </w:r>
          </w:p>
        </w:tc>
      </w:tr>
      <w:tr>
        <w:trPr>
          <w:trHeight w:val="230"/>
        </w:trPr>
        <w:tc>
          <w:tcPr>
            <w:tcW w:w="48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Research and development tax credits, federal</w:t>
            </w:r>
          </w:p>
        </w:tc>
        <w:tc>
          <w:tcPr>
            <w:tcW w:w="4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2,037</w:t>
            </w:r>
          </w:p>
        </w:tc>
        <w:tc>
          <w:tcPr>
            <w:tcW w:w="2180" w:type="dxa"/>
            <w:vAlign w:val="bottom"/>
            <w:gridSpan w:val="2"/>
            <w:shd w:val="clear" w:color="auto" w:fill="E0E0E0"/>
          </w:tcPr>
          <w:p>
            <w:pPr>
              <w:jc w:val="center"/>
              <w:ind w:left="160"/>
              <w:spacing w:after="0"/>
              <w:rPr>
                <w:sz w:val="20"/>
                <w:szCs w:val="20"/>
                <w:color w:val="auto"/>
              </w:rPr>
            </w:pPr>
            <w:r>
              <w:rPr>
                <w:rFonts w:ascii="Times New Roman" w:cs="Times New Roman" w:eastAsia="Times New Roman" w:hAnsi="Times New Roman"/>
                <w:sz w:val="20"/>
                <w:szCs w:val="20"/>
                <w:color w:val="auto"/>
                <w:w w:val="99"/>
              </w:rPr>
              <w:t>2041 - 2043</w:t>
            </w:r>
          </w:p>
        </w:tc>
      </w:tr>
      <w:tr>
        <w:trPr>
          <w:trHeight w:val="26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tax credits, state</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28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r>
    </w:tbl>
    <w:p>
      <w:pPr>
        <w:spacing w:after="0" w:line="184" w:lineRule="exact"/>
        <w:rPr>
          <w:sz w:val="20"/>
          <w:szCs w:val="20"/>
          <w:color w:val="auto"/>
        </w:rPr>
      </w:pPr>
    </w:p>
    <w:p>
      <w:pPr>
        <w:ind w:right="120" w:firstLine="979"/>
        <w:spacing w:after="0" w:line="249" w:lineRule="auto"/>
        <w:rPr>
          <w:sz w:val="20"/>
          <w:szCs w:val="20"/>
          <w:color w:val="auto"/>
        </w:rPr>
      </w:pPr>
      <w:r>
        <w:rPr>
          <w:rFonts w:ascii="Times New Roman" w:cs="Times New Roman" w:eastAsia="Times New Roman" w:hAnsi="Times New Roman"/>
          <w:sz w:val="20"/>
          <w:szCs w:val="20"/>
          <w:color w:val="auto"/>
        </w:rPr>
        <w:t>Pursuant to Internal Revenue Code (“IRC”) Sections 382 and 383, annual use of the Company’s research and development credit carryforwards may be limited in the event cumulative change in ownership of more than 50% occurs within a three-year period. As of December 31, 2023,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97" w:lineRule="exact"/>
        <w:rPr>
          <w:sz w:val="20"/>
          <w:szCs w:val="20"/>
          <w:color w:val="auto"/>
        </w:rPr>
      </w:pPr>
    </w:p>
    <w:p>
      <w:pPr>
        <w:ind w:right="20" w:firstLine="979"/>
        <w:spacing w:after="0" w:line="277" w:lineRule="auto"/>
        <w:rPr>
          <w:sz w:val="20"/>
          <w:szCs w:val="20"/>
          <w:color w:val="auto"/>
        </w:rPr>
      </w:pPr>
      <w:r>
        <w:rPr>
          <w:rFonts w:ascii="Times New Roman" w:cs="Times New Roman" w:eastAsia="Times New Roman" w:hAnsi="Times New Roman"/>
          <w:sz w:val="20"/>
          <w:szCs w:val="20"/>
          <w:color w:val="auto"/>
        </w:rPr>
        <w:t>The Company is subject to United States federal and California income taxes and is not currently under examination by any federal or state taxing authorities. The federal and California returns for tax years 2018 through 2023 remain open to examination.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 following table summarizes the changes in the amount of the unrecognized tax benefits (in thousands):</w:t>
      </w: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4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5"/>
                <w:szCs w:val="15"/>
                <w:color w:val="auto"/>
              </w:rPr>
            </w:pPr>
          </w:p>
        </w:tc>
        <w:tc>
          <w:tcPr>
            <w:tcW w:w="1520" w:type="dxa"/>
            <w:vAlign w:val="bottom"/>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422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Balance at the beginning of the year</w:t>
            </w:r>
          </w:p>
        </w:tc>
        <w:tc>
          <w:tcPr>
            <w:tcW w:w="980" w:type="dxa"/>
            <w:vAlign w:val="bottom"/>
            <w:tcBorders>
              <w:top w:val="single" w:sz="8" w:color="E0E0E0"/>
            </w:tcBorders>
            <w:shd w:val="clear" w:color="auto" w:fill="E0E0E0"/>
          </w:tcPr>
          <w:p>
            <w:pPr>
              <w:spacing w:after="0"/>
              <w:rPr>
                <w:sz w:val="19"/>
                <w:szCs w:val="19"/>
                <w:color w:val="auto"/>
              </w:rPr>
            </w:pPr>
          </w:p>
        </w:tc>
        <w:tc>
          <w:tcPr>
            <w:tcW w:w="1280" w:type="dxa"/>
            <w:vAlign w:val="bottom"/>
            <w:tcBorders>
              <w:top w:val="single" w:sz="8" w:color="auto"/>
            </w:tcBorders>
            <w:shd w:val="clear" w:color="auto" w:fill="E0E0E0"/>
          </w:tcPr>
          <w:p>
            <w:pPr>
              <w:jc w:val="right"/>
              <w:ind w:right="109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211</w:t>
            </w:r>
          </w:p>
        </w:tc>
        <w:tc>
          <w:tcPr>
            <w:tcW w:w="280" w:type="dxa"/>
            <w:vAlign w:val="bottom"/>
            <w:tcBorders>
              <w:top w:val="single" w:sz="8" w:color="E0E0E0"/>
            </w:tcBorders>
            <w:shd w:val="clear" w:color="auto" w:fill="E0E0E0"/>
          </w:tcPr>
          <w:p>
            <w:pPr>
              <w:spacing w:after="0"/>
              <w:rPr>
                <w:sz w:val="19"/>
                <w:szCs w:val="19"/>
                <w:color w:val="auto"/>
              </w:rPr>
            </w:pPr>
          </w:p>
        </w:tc>
        <w:tc>
          <w:tcPr>
            <w:tcW w:w="1240" w:type="dxa"/>
            <w:vAlign w:val="bottom"/>
            <w:tcBorders>
              <w:top w:val="single" w:sz="8" w:color="auto"/>
            </w:tcBorders>
            <w:shd w:val="clear" w:color="auto" w:fill="E0E0E0"/>
          </w:tcPr>
          <w:p>
            <w:pPr>
              <w:jc w:val="right"/>
              <w:ind w:right="10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358</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Increase related to current year positions</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00" w:type="dxa"/>
            <w:vAlign w:val="bottom"/>
          </w:tcPr>
          <w:p>
            <w:pPr>
              <w:spacing w:after="0"/>
              <w:rPr>
                <w:sz w:val="19"/>
                <w:szCs w:val="19"/>
                <w:color w:val="auto"/>
              </w:rPr>
            </w:pPr>
          </w:p>
        </w:tc>
      </w:tr>
      <w:tr>
        <w:trPr>
          <w:trHeight w:val="230"/>
        </w:trPr>
        <w:tc>
          <w:tcPr>
            <w:tcW w:w="42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Increase related to prior year positions</w:t>
            </w:r>
          </w:p>
        </w:tc>
        <w:tc>
          <w:tcPr>
            <w:tcW w:w="980" w:type="dxa"/>
            <w:vAlign w:val="bottom"/>
            <w:shd w:val="clear" w:color="auto" w:fill="E0E0E0"/>
          </w:tcPr>
          <w:p>
            <w:pPr>
              <w:spacing w:after="0"/>
              <w:rPr>
                <w:sz w:val="19"/>
                <w:szCs w:val="19"/>
                <w:color w:val="auto"/>
              </w:rPr>
            </w:pPr>
          </w:p>
        </w:tc>
        <w:tc>
          <w:tcPr>
            <w:tcW w:w="1280" w:type="dxa"/>
            <w:vAlign w:val="bottom"/>
            <w:shd w:val="clear" w:color="auto" w:fill="E0E0E0"/>
          </w:tcPr>
          <w:p>
            <w:pPr>
              <w:spacing w:after="0"/>
              <w:rPr>
                <w:sz w:val="19"/>
                <w:szCs w:val="19"/>
                <w:color w:val="auto"/>
              </w:rPr>
            </w:pPr>
          </w:p>
        </w:tc>
        <w:tc>
          <w:tcPr>
            <w:tcW w:w="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8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E0E0E0"/>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Decrease related to prior year positions</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(373)</w:t>
            </w:r>
          </w:p>
        </w:tc>
      </w:tr>
      <w:tr>
        <w:trPr>
          <w:trHeight w:val="220"/>
        </w:trPr>
        <w:tc>
          <w:tcPr>
            <w:tcW w:w="422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Balance at the end of the year</w:t>
            </w:r>
          </w:p>
        </w:tc>
        <w:tc>
          <w:tcPr>
            <w:tcW w:w="980" w:type="dxa"/>
            <w:vAlign w:val="bottom"/>
            <w:tcBorders>
              <w:top w:val="single" w:sz="8" w:color="E0E0E0"/>
            </w:tcBorders>
            <w:shd w:val="clear" w:color="auto" w:fill="E0E0E0"/>
          </w:tcPr>
          <w:p>
            <w:pPr>
              <w:spacing w:after="0"/>
              <w:rPr>
                <w:sz w:val="19"/>
                <w:szCs w:val="19"/>
                <w:color w:val="auto"/>
              </w:rPr>
            </w:pPr>
          </w:p>
        </w:tc>
        <w:tc>
          <w:tcPr>
            <w:tcW w:w="1280" w:type="dxa"/>
            <w:vAlign w:val="bottom"/>
            <w:tcBorders>
              <w:top w:val="single" w:sz="8" w:color="auto"/>
              <w:bottom w:val="single" w:sz="8" w:color="auto"/>
            </w:tcBorders>
            <w:shd w:val="clear" w:color="auto" w:fill="E0E0E0"/>
          </w:tcPr>
          <w:p>
            <w:pPr>
              <w:jc w:val="right"/>
              <w:ind w:right="109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489</w:t>
            </w:r>
          </w:p>
        </w:tc>
        <w:tc>
          <w:tcPr>
            <w:tcW w:w="280" w:type="dxa"/>
            <w:vAlign w:val="bottom"/>
            <w:tcBorders>
              <w:top w:val="single" w:sz="8" w:color="E0E0E0"/>
            </w:tcBorders>
            <w:shd w:val="clear" w:color="auto" w:fill="E0E0E0"/>
          </w:tcPr>
          <w:p>
            <w:pPr>
              <w:spacing w:after="0"/>
              <w:rPr>
                <w:sz w:val="19"/>
                <w:szCs w:val="19"/>
                <w:color w:val="auto"/>
              </w:rPr>
            </w:pPr>
          </w:p>
        </w:tc>
        <w:tc>
          <w:tcPr>
            <w:tcW w:w="1240" w:type="dxa"/>
            <w:vAlign w:val="bottom"/>
            <w:tcBorders>
              <w:top w:val="single" w:sz="8" w:color="auto"/>
              <w:bottom w:val="single" w:sz="8" w:color="auto"/>
            </w:tcBorders>
            <w:shd w:val="clear" w:color="auto" w:fill="E0E0E0"/>
          </w:tcPr>
          <w:p>
            <w:pPr>
              <w:jc w:val="right"/>
              <w:ind w:right="10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bottom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211</w:t>
            </w:r>
          </w:p>
        </w:tc>
        <w:tc>
          <w:tcPr>
            <w:tcW w:w="100" w:type="dxa"/>
            <w:vAlign w:val="bottom"/>
            <w:tcBorders>
              <w:top w:val="single" w:sz="8" w:color="E0E0E0"/>
            </w:tcBorders>
            <w:shd w:val="clear" w:color="auto" w:fill="E0E0E0"/>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979"/>
        <w:spacing w:after="0" w:line="258" w:lineRule="auto"/>
        <w:rPr>
          <w:sz w:val="20"/>
          <w:szCs w:val="20"/>
          <w:color w:val="auto"/>
        </w:rPr>
      </w:pPr>
      <w:r>
        <w:rPr>
          <w:rFonts w:ascii="Times New Roman" w:cs="Times New Roman" w:eastAsia="Times New Roman" w:hAnsi="Times New Roman"/>
          <w:sz w:val="20"/>
          <w:szCs w:val="20"/>
          <w:color w:val="auto"/>
        </w:rPr>
        <w:t>Included in the balance of unrecognized tax benefits at December 31, 2023 is $0.5 million that if recognized would impact the Company’s income tax benefit and effective tax rate. The Company does not expect any significant increases or decreases in its unrecognized tax benefits within the next twelve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40" w:lineRule="exact"/>
        <w:rPr>
          <w:sz w:val="20"/>
          <w:szCs w:val="20"/>
          <w:color w:val="auto"/>
        </w:rPr>
      </w:pPr>
    </w:p>
    <w:p>
      <w:pPr>
        <w:ind w:right="100" w:firstLine="979"/>
        <w:spacing w:after="0" w:line="258" w:lineRule="auto"/>
        <w:rPr>
          <w:sz w:val="20"/>
          <w:szCs w:val="20"/>
          <w:color w:val="auto"/>
        </w:rPr>
      </w:pPr>
      <w:r>
        <w:rPr>
          <w:rFonts w:ascii="Times New Roman" w:cs="Times New Roman" w:eastAsia="Times New Roman" w:hAnsi="Times New Roman"/>
          <w:sz w:val="20"/>
          <w:szCs w:val="20"/>
          <w:color w:val="auto"/>
        </w:rPr>
        <w:t>The Company is party to a TRA with the Continuing LLC Owners (Note 2). As of December 31, 2023, the Company has not recorded a liability under the TRA related to the income tax benefits originating from the exchanges of Paired Interests or non-corresponding Class A Units of Rani LLC as it is not probable that the Company will realize such tax benefits (Note 11).</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10780"/>
          </w:cols>
          <w:pgMar w:left="720" w:top="930" w:right="74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auto"/>
        </w:rPr>
        <w:t>14. Net Loss Per Share</w:t>
      </w:r>
    </w:p>
    <w:p>
      <w:pPr>
        <w:spacing w:after="0" w:line="244" w:lineRule="exact"/>
        <w:rPr>
          <w:sz w:val="20"/>
          <w:szCs w:val="20"/>
          <w:color w:val="auto"/>
        </w:rPr>
      </w:pPr>
    </w:p>
    <w:p>
      <w:pPr>
        <w:ind w:firstLine="979"/>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net loss per Class A common share attributable to Rani Holdings (in thousands, except per share data):</w:t>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6"/>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5780" w:type="dxa"/>
            <w:vAlign w:val="bottom"/>
            <w:tcBorders>
              <w:bottom w:val="single" w:sz="8" w:color="E0E0E0"/>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8"/>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r>
      <w:tr>
        <w:trPr>
          <w:trHeight w:val="220"/>
        </w:trPr>
        <w:tc>
          <w:tcPr>
            <w:tcW w:w="57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24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01"/>
        </w:trPr>
        <w:tc>
          <w:tcPr>
            <w:tcW w:w="57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Net loss per Class A common share attributable to Rani Therapeutics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9"/>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Holdings, Inc.</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(33,970)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(30,588)</w:t>
            </w:r>
          </w:p>
        </w:tc>
      </w:tr>
      <w:tr>
        <w:trPr>
          <w:trHeight w:val="215"/>
        </w:trPr>
        <w:tc>
          <w:tcPr>
            <w:tcW w:w="5780" w:type="dxa"/>
            <w:vAlign w:val="bottom"/>
            <w:tcBorders>
              <w:top w:val="single" w:sz="8" w:color="E0E0E0"/>
            </w:tcBorders>
            <w:shd w:val="clear" w:color="auto" w:fill="E0E0E0"/>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Denominator:</w:t>
            </w:r>
          </w:p>
        </w:tc>
        <w:tc>
          <w:tcPr>
            <w:tcW w:w="24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auto"/>
            </w:tcBorders>
            <w:shd w:val="clear" w:color="auto" w:fill="E0E0E0"/>
          </w:tcPr>
          <w:p>
            <w:pPr>
              <w:spacing w:after="0"/>
              <w:rPr>
                <w:sz w:val="18"/>
                <w:szCs w:val="18"/>
                <w:color w:val="auto"/>
              </w:rPr>
            </w:pPr>
          </w:p>
        </w:tc>
        <w:tc>
          <w:tcPr>
            <w:tcW w:w="1140" w:type="dxa"/>
            <w:vAlign w:val="bottom"/>
            <w:tcBorders>
              <w:top w:val="single" w:sz="8" w:color="auto"/>
            </w:tcBorders>
            <w:shd w:val="clear" w:color="auto" w:fill="E0E0E0"/>
          </w:tcPr>
          <w:p>
            <w:pPr>
              <w:spacing w:after="0"/>
              <w:rPr>
                <w:sz w:val="18"/>
                <w:szCs w:val="18"/>
                <w:color w:val="auto"/>
              </w:rPr>
            </w:pPr>
          </w:p>
        </w:tc>
        <w:tc>
          <w:tcPr>
            <w:tcW w:w="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340" w:type="dxa"/>
            <w:vAlign w:val="bottom"/>
            <w:tcBorders>
              <w:top w:val="single" w:sz="8" w:color="auto"/>
            </w:tcBorders>
            <w:shd w:val="clear" w:color="auto" w:fill="E0E0E0"/>
          </w:tcPr>
          <w:p>
            <w:pPr>
              <w:spacing w:after="0"/>
              <w:rPr>
                <w:sz w:val="18"/>
                <w:szCs w:val="18"/>
                <w:color w:val="auto"/>
              </w:rPr>
            </w:pPr>
          </w:p>
        </w:tc>
        <w:tc>
          <w:tcPr>
            <w:tcW w:w="1140" w:type="dxa"/>
            <w:vAlign w:val="bottom"/>
            <w:tcBorders>
              <w:top w:val="single" w:sz="8" w:color="auto"/>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r>
      <w:tr>
        <w:trPr>
          <w:trHeight w:val="211"/>
        </w:trPr>
        <w:tc>
          <w:tcPr>
            <w:tcW w:w="57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Weighted average Class A common share outstanding—basic and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25,505</w:t>
            </w:r>
          </w:p>
        </w:tc>
        <w:tc>
          <w:tcPr>
            <w:tcW w:w="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23,817</w:t>
            </w:r>
          </w:p>
        </w:tc>
        <w:tc>
          <w:tcPr>
            <w:tcW w:w="100" w:type="dxa"/>
            <w:vAlign w:val="bottom"/>
            <w:tcBorders>
              <w:bottom w:val="single" w:sz="8" w:color="E0E0E0"/>
            </w:tcBorders>
          </w:tcPr>
          <w:p>
            <w:pPr>
              <w:spacing w:after="0"/>
              <w:rPr>
                <w:sz w:val="21"/>
                <w:szCs w:val="21"/>
                <w:color w:val="auto"/>
              </w:rPr>
            </w:pPr>
          </w:p>
        </w:tc>
      </w:tr>
      <w:tr>
        <w:trPr>
          <w:trHeight w:val="201"/>
        </w:trPr>
        <w:tc>
          <w:tcPr>
            <w:tcW w:w="578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20"/>
                <w:szCs w:val="20"/>
                <w:color w:val="auto"/>
              </w:rPr>
              <w:t>Net loss per Class A common share attributable to Rani Therapeutics</w:t>
            </w:r>
          </w:p>
        </w:tc>
        <w:tc>
          <w:tcPr>
            <w:tcW w:w="240" w:type="dxa"/>
            <w:vAlign w:val="bottom"/>
            <w:shd w:val="clear" w:color="auto" w:fill="E0E0E0"/>
          </w:tcPr>
          <w:p>
            <w:pPr>
              <w:spacing w:after="0"/>
              <w:rPr>
                <w:sz w:val="17"/>
                <w:szCs w:val="17"/>
                <w:color w:val="auto"/>
              </w:rPr>
            </w:pPr>
          </w:p>
        </w:tc>
        <w:tc>
          <w:tcPr>
            <w:tcW w:w="340" w:type="dxa"/>
            <w:vAlign w:val="bottom"/>
            <w:shd w:val="clear" w:color="auto" w:fill="E0E0E0"/>
          </w:tcPr>
          <w:p>
            <w:pPr>
              <w:spacing w:after="0"/>
              <w:rPr>
                <w:sz w:val="17"/>
                <w:szCs w:val="17"/>
                <w:color w:val="auto"/>
              </w:rPr>
            </w:pPr>
          </w:p>
        </w:tc>
        <w:tc>
          <w:tcPr>
            <w:tcW w:w="114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340" w:type="dxa"/>
            <w:vAlign w:val="bottom"/>
            <w:shd w:val="clear" w:color="auto" w:fill="E0E0E0"/>
          </w:tcPr>
          <w:p>
            <w:pPr>
              <w:spacing w:after="0"/>
              <w:rPr>
                <w:sz w:val="17"/>
                <w:szCs w:val="17"/>
                <w:color w:val="auto"/>
              </w:rPr>
            </w:pPr>
          </w:p>
        </w:tc>
        <w:tc>
          <w:tcPr>
            <w:tcW w:w="11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r>
      <w:tr>
        <w:trPr>
          <w:trHeight w:val="249"/>
        </w:trPr>
        <w:tc>
          <w:tcPr>
            <w:tcW w:w="57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Holdings, Inc.—basic and diluted</w:t>
            </w:r>
          </w:p>
        </w:tc>
        <w:tc>
          <w:tcPr>
            <w:tcW w:w="240" w:type="dxa"/>
            <w:vAlign w:val="bottom"/>
            <w:shd w:val="clear" w:color="auto" w:fill="E0E0E0"/>
          </w:tcPr>
          <w:p>
            <w:pPr>
              <w:spacing w:after="0"/>
              <w:rPr>
                <w:sz w:val="21"/>
                <w:szCs w:val="21"/>
                <w:color w:val="auto"/>
              </w:rPr>
            </w:pPr>
          </w:p>
        </w:tc>
        <w:tc>
          <w:tcPr>
            <w:tcW w:w="340" w:type="dxa"/>
            <w:vAlign w:val="bottom"/>
            <w:tcBorders>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40" w:type="dxa"/>
            <w:vAlign w:val="bottom"/>
            <w:tcBorders>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00" w:type="dxa"/>
            <w:vAlign w:val="bottom"/>
            <w:shd w:val="clear" w:color="auto" w:fill="E0E0E0"/>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ind w:right="600" w:firstLine="979"/>
        <w:spacing w:after="0" w:line="277" w:lineRule="auto"/>
        <w:rPr>
          <w:sz w:val="20"/>
          <w:szCs w:val="20"/>
          <w:color w:val="auto"/>
        </w:rPr>
      </w:pPr>
      <w:r>
        <w:rPr>
          <w:rFonts w:ascii="Times New Roman" w:cs="Times New Roman" w:eastAsia="Times New Roman" w:hAnsi="Times New Roman"/>
          <w:sz w:val="20"/>
          <w:szCs w:val="20"/>
          <w:color w:val="auto"/>
        </w:rPr>
        <w:t>The following table shows the total outstanding securities considered anti-dilutive and therefore excluded from the computation of diluted net loss per Class A common share attributable to Rani Holdings (in thousands):</w:t>
      </w:r>
    </w:p>
    <w:p>
      <w:pPr>
        <w:spacing w:after="0" w:line="205"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2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Pr>
          <w:p>
            <w:pPr>
              <w:spacing w:after="0"/>
              <w:rPr>
                <w:sz w:val="17"/>
                <w:szCs w:val="17"/>
                <w:color w:val="auto"/>
              </w:rPr>
            </w:pPr>
          </w:p>
        </w:tc>
      </w:tr>
      <w:tr>
        <w:trPr>
          <w:trHeight w:val="174"/>
        </w:trPr>
        <w:tc>
          <w:tcPr>
            <w:tcW w:w="6060" w:type="dxa"/>
            <w:vAlign w:val="bottom"/>
          </w:tcPr>
          <w:p>
            <w:pPr>
              <w:spacing w:after="0"/>
              <w:rPr>
                <w:sz w:val="15"/>
                <w:szCs w:val="15"/>
                <w:color w:val="auto"/>
              </w:rPr>
            </w:pPr>
          </w:p>
        </w:tc>
        <w:tc>
          <w:tcPr>
            <w:tcW w:w="1440" w:type="dxa"/>
            <w:vAlign w:val="bottom"/>
          </w:tcPr>
          <w:p>
            <w:pPr>
              <w:jc w:val="right"/>
              <w:ind w:right="46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580" w:type="dxa"/>
            <w:vAlign w:val="bottom"/>
            <w:gridSpan w:val="2"/>
          </w:tcPr>
          <w:p>
            <w:pPr>
              <w:jc w:val="right"/>
              <w:ind w:right="480"/>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r>
      <w:tr>
        <w:trPr>
          <w:trHeight w:val="220"/>
        </w:trPr>
        <w:tc>
          <w:tcPr>
            <w:tcW w:w="606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Paired Interests</w:t>
            </w:r>
          </w:p>
        </w:tc>
        <w:tc>
          <w:tcPr>
            <w:tcW w:w="144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24,116</w:t>
            </w:r>
          </w:p>
        </w:tc>
        <w:tc>
          <w:tcPr>
            <w:tcW w:w="80" w:type="dxa"/>
            <w:vAlign w:val="bottom"/>
            <w:tcBorders>
              <w:top w:val="single" w:sz="8" w:color="E0E0E0"/>
            </w:tcBorders>
            <w:shd w:val="clear" w:color="auto" w:fill="E0E0E0"/>
          </w:tcPr>
          <w:p>
            <w:pPr>
              <w:spacing w:after="0"/>
              <w:rPr>
                <w:sz w:val="19"/>
                <w:szCs w:val="19"/>
                <w:color w:val="auto"/>
              </w:rPr>
            </w:pPr>
          </w:p>
        </w:tc>
        <w:tc>
          <w:tcPr>
            <w:tcW w:w="1500" w:type="dxa"/>
            <w:vAlign w:val="bottom"/>
            <w:tcBorders>
              <w:top w:val="single" w:sz="8" w:color="auto"/>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24,116</w:t>
            </w:r>
          </w:p>
        </w:tc>
        <w:tc>
          <w:tcPr>
            <w:tcW w:w="100" w:type="dxa"/>
            <w:vAlign w:val="bottom"/>
            <w:tcBorders>
              <w:top w:val="single" w:sz="8" w:color="E0E0E0"/>
            </w:tcBorders>
            <w:shd w:val="clear" w:color="auto" w:fill="E0E0E0"/>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3,789</w:t>
            </w:r>
          </w:p>
        </w:tc>
        <w:tc>
          <w:tcPr>
            <w:tcW w:w="100" w:type="dxa"/>
            <w:vAlign w:val="bottom"/>
          </w:tcPr>
          <w:p>
            <w:pPr>
              <w:spacing w:after="0"/>
              <w:rPr>
                <w:sz w:val="19"/>
                <w:szCs w:val="19"/>
                <w:color w:val="auto"/>
              </w:rPr>
            </w:pPr>
          </w:p>
        </w:tc>
      </w:tr>
      <w:tr>
        <w:trPr>
          <w:trHeight w:val="230"/>
        </w:trPr>
        <w:tc>
          <w:tcPr>
            <w:tcW w:w="6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Non-corresponding Class A Units</w:t>
            </w: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15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1,387</w:t>
            </w:r>
          </w:p>
        </w:tc>
        <w:tc>
          <w:tcPr>
            <w:tcW w:w="100" w:type="dxa"/>
            <w:vAlign w:val="bottom"/>
            <w:shd w:val="clear" w:color="auto" w:fill="E0E0E0"/>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100" w:type="dxa"/>
            <w:vAlign w:val="bottom"/>
          </w:tcPr>
          <w:p>
            <w:pPr>
              <w:spacing w:after="0"/>
              <w:rPr>
                <w:sz w:val="19"/>
                <w:szCs w:val="19"/>
                <w:color w:val="auto"/>
              </w:rPr>
            </w:pPr>
          </w:p>
        </w:tc>
      </w:tr>
      <w:tr>
        <w:trPr>
          <w:trHeight w:val="230"/>
        </w:trPr>
        <w:tc>
          <w:tcPr>
            <w:tcW w:w="6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Shares issuable pursuant to the ESPP</w:t>
            </w: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15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shd w:val="clear" w:color="auto" w:fill="E0E0E0"/>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tcPr>
          <w:p>
            <w:pPr>
              <w:spacing w:after="0"/>
              <w:rPr>
                <w:sz w:val="19"/>
                <w:szCs w:val="19"/>
                <w:color w:val="auto"/>
              </w:rPr>
            </w:pPr>
          </w:p>
        </w:tc>
      </w:tr>
      <w:tr>
        <w:trPr>
          <w:trHeight w:val="230"/>
        </w:trPr>
        <w:tc>
          <w:tcPr>
            <w:tcW w:w="60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Restricted stock awards</w:t>
            </w: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5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00" w:type="dxa"/>
            <w:vAlign w:val="bottom"/>
            <w:shd w:val="clear" w:color="auto" w:fill="E0E0E0"/>
          </w:tcPr>
          <w:p>
            <w:pPr>
              <w:spacing w:after="0"/>
              <w:rPr>
                <w:sz w:val="19"/>
                <w:szCs w:val="19"/>
                <w:color w:val="auto"/>
              </w:rPr>
            </w:pPr>
          </w:p>
        </w:tc>
      </w:tr>
      <w:tr>
        <w:trPr>
          <w:trHeight w:val="220"/>
        </w:trPr>
        <w:tc>
          <w:tcPr>
            <w:tcW w:w="60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33,601</w:t>
            </w: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30,167</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0" w:firstLine="979"/>
        <w:spacing w:after="0" w:line="270" w:lineRule="auto"/>
        <w:rPr>
          <w:sz w:val="20"/>
          <w:szCs w:val="20"/>
          <w:color w:val="auto"/>
        </w:rPr>
      </w:pPr>
      <w:r>
        <w:rPr>
          <w:rFonts w:ascii="Times New Roman" w:cs="Times New Roman" w:eastAsia="Times New Roman" w:hAnsi="Times New Roman"/>
          <w:sz w:val="19"/>
          <w:szCs w:val="19"/>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year ended December 31, 2023. Therefore, they are not included in the computation of net loss per Class A common share attributable to Rani Therapeutics Holdings,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Subsequent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Service Agreements</w:t>
      </w:r>
    </w:p>
    <w:p>
      <w:pPr>
        <w:spacing w:after="0" w:line="240" w:lineRule="exact"/>
        <w:rPr>
          <w:sz w:val="20"/>
          <w:szCs w:val="20"/>
          <w:color w:val="auto"/>
        </w:rPr>
      </w:pPr>
    </w:p>
    <w:p>
      <w:pPr>
        <w:ind w:right="100" w:firstLine="979"/>
        <w:spacing w:after="0" w:line="252" w:lineRule="auto"/>
        <w:rPr>
          <w:sz w:val="20"/>
          <w:szCs w:val="20"/>
          <w:color w:val="auto"/>
        </w:rPr>
      </w:pPr>
      <w:r>
        <w:rPr>
          <w:rFonts w:ascii="Times New Roman" w:cs="Times New Roman" w:eastAsia="Times New Roman" w:hAnsi="Times New Roman"/>
          <w:sz w:val="20"/>
          <w:szCs w:val="20"/>
          <w:color w:val="auto"/>
        </w:rPr>
        <w:t>In March 2024, the Company entered into an amendment to the RMS-ICL Service Agreement to increase the Occupancy Services from 23,000 square feet to 24,000 square feet. In March 2024, the Company also entered into an amendment to the Rani LLC-ICL Service Agreement to extend the term of the Occupancy Services in Milpitas, California from February 2024 to August 2024 and to increase the payment for such Occupancy Services during the extension period.</w:t>
      </w:r>
    </w:p>
    <w:p>
      <w:pPr>
        <w:sectPr>
          <w:pgSz w:w="12240" w:h="15840" w:orient="portrait"/>
          <w:cols w:equalWidth="0" w:num="1">
            <w:col w:w="10760"/>
          </w:cols>
          <w:pgMar w:left="720" w:top="92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10760"/>
          </w:cols>
          <w:pgMar w:left="720" w:top="926" w:right="76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34" w:lineRule="exact"/>
        <w:rPr>
          <w:sz w:val="20"/>
          <w:szCs w:val="20"/>
          <w:color w:val="auto"/>
        </w:rPr>
      </w:pPr>
    </w:p>
    <w:p>
      <w:pPr>
        <w:ind w:firstLine="979"/>
        <w:spacing w:after="0" w:line="234"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Annual Report on Form 10-K.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34" w:lineRule="exact"/>
        <w:rPr>
          <w:sz w:val="20"/>
          <w:szCs w:val="20"/>
          <w:color w:val="auto"/>
        </w:rPr>
      </w:pPr>
    </w:p>
    <w:p>
      <w:pPr>
        <w:ind w:firstLine="979"/>
        <w:spacing w:after="0" w:line="23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 13a-15(f) and 15d-15(f) of the Exchange Act. Under the supervision and with the participation of our management, including our CEO and CFO,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our management concluded that our internal control over financial reporting was effective as of December 31, 2023.</w:t>
      </w:r>
    </w:p>
    <w:p>
      <w:pPr>
        <w:spacing w:after="0" w:line="200" w:lineRule="exact"/>
        <w:rPr>
          <w:sz w:val="20"/>
          <w:szCs w:val="20"/>
          <w:color w:val="auto"/>
        </w:rPr>
      </w:pPr>
    </w:p>
    <w:p>
      <w:pPr>
        <w:jc w:val="both"/>
        <w:ind w:right="20" w:firstLine="979"/>
        <w:spacing w:after="0" w:line="24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160" w:firstLine="979"/>
        <w:spacing w:after="0" w:line="248"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4" w:lineRule="exact"/>
        <w:rPr>
          <w:sz w:val="20"/>
          <w:szCs w:val="20"/>
          <w:color w:val="auto"/>
        </w:rPr>
      </w:pPr>
    </w:p>
    <w:p>
      <w:pPr>
        <w:ind w:right="160" w:firstLine="979"/>
        <w:spacing w:after="0" w:line="242"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has evaluated any changes in our internal control over financial reporting that occurred during the quarter ended December 31, 2023, and has concluded that there was no change during such quarter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Controls</w:t>
      </w:r>
    </w:p>
    <w:p>
      <w:pPr>
        <w:spacing w:after="0" w:line="234" w:lineRule="exact"/>
        <w:rPr>
          <w:sz w:val="20"/>
          <w:szCs w:val="20"/>
          <w:color w:val="auto"/>
        </w:rPr>
      </w:pPr>
    </w:p>
    <w:p>
      <w:pPr>
        <w:ind w:right="60" w:firstLine="979"/>
        <w:spacing w:after="0" w:line="233"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pgSz w:w="12240" w:h="15840" w:orient="portrait"/>
          <w:cols w:equalWidth="0" w:num="1">
            <w:col w:w="10800"/>
          </w:cols>
          <w:pgMar w:left="720" w:top="918" w:right="72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10800"/>
          </w:cols>
          <w:pgMar w:left="720" w:top="918" w:right="720" w:bottom="0" w:gutter="0" w:footer="0" w:header="0"/>
          <w:type w:val="continuous"/>
        </w:sectPr>
      </w:pPr>
    </w:p>
    <w:bookmarkStart w:id="141" w:name="page142"/>
    <w:bookmarkEnd w:id="141"/>
    <w:p>
      <w:pPr>
        <w:jc w:val="center"/>
        <w:ind w:right="7700"/>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2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720" w:top="9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10080"/>
          </w:cols>
          <w:pgMar w:left="720" w:top="918" w:right="1440" w:bottom="0" w:gutter="0" w:footer="0" w:header="0"/>
          <w:type w:val="continuous"/>
        </w:sectPr>
      </w:pPr>
    </w:p>
    <w:bookmarkStart w:id="142" w:name="page143"/>
    <w:bookmarkEnd w:id="142"/>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ind w:firstLine="979"/>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and not set forth below is incorporated by reference to the information set forth in the sections titled “Election of Directors” and “Information Regarding the Board of Directors and Corporate Governance” in our definitive Proxy Statement for our 2024 Annual Meeting of Stockholders (the “Proxy Statement”) to be filed with the SEC within 120 days after December 31, 2023.</w:t>
      </w:r>
    </w:p>
    <w:p>
      <w:pPr>
        <w:spacing w:after="0" w:line="194" w:lineRule="exact"/>
        <w:rPr>
          <w:sz w:val="20"/>
          <w:szCs w:val="20"/>
          <w:color w:val="auto"/>
        </w:rPr>
      </w:pPr>
    </w:p>
    <w:p>
      <w:pPr>
        <w:ind w:firstLine="979"/>
        <w:spacing w:after="0" w:line="246" w:lineRule="auto"/>
        <w:rPr>
          <w:sz w:val="20"/>
          <w:szCs w:val="20"/>
          <w:color w:val="auto"/>
        </w:rPr>
      </w:pPr>
      <w:r>
        <w:rPr>
          <w:rFonts w:ascii="Times New Roman" w:cs="Times New Roman" w:eastAsia="Times New Roman" w:hAnsi="Times New Roman"/>
          <w:sz w:val="20"/>
          <w:szCs w:val="20"/>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https://www.ranitherapeutics.com 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ind w:right="320" w:firstLine="979"/>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information set forth in the section titled “— Executive Compensation” in our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4" w:lineRule="exact"/>
        <w:rPr>
          <w:sz w:val="20"/>
          <w:szCs w:val="20"/>
          <w:color w:val="auto"/>
        </w:rPr>
      </w:pPr>
    </w:p>
    <w:p>
      <w:pPr>
        <w:ind w:right="560" w:firstLine="979"/>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information in the section titled “Security Ownership of Certain Beneficial Owners and Management” in our Proxy Statement.</w:t>
      </w:r>
    </w:p>
    <w:p>
      <w:pPr>
        <w:spacing w:after="0" w:line="169" w:lineRule="exact"/>
        <w:rPr>
          <w:sz w:val="20"/>
          <w:szCs w:val="20"/>
          <w:color w:val="auto"/>
        </w:rPr>
      </w:pPr>
    </w:p>
    <w:p>
      <w:pPr>
        <w:ind w:firstLine="979"/>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201(d) of Regulation S-K will be set forth in the section titled “—Equity Compensation Plan Information” in our Proxy Statement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4" w:lineRule="exact"/>
        <w:rPr>
          <w:sz w:val="20"/>
          <w:szCs w:val="20"/>
          <w:color w:val="auto"/>
        </w:rPr>
      </w:pPr>
    </w:p>
    <w:p>
      <w:pPr>
        <w:ind w:right="180" w:firstLine="979"/>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information set forth in the sections titled “Transactions with Related Persons and Indemnification” and “—Independence of The Board of Directors” in our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4" w:lineRule="exact"/>
        <w:rPr>
          <w:sz w:val="20"/>
          <w:szCs w:val="20"/>
          <w:color w:val="auto"/>
        </w:rPr>
      </w:pPr>
    </w:p>
    <w:p>
      <w:pPr>
        <w:ind w:right="660" w:firstLine="979"/>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information set forth in the section titled “Ratification of Selection of Independent Registered Public Accounting Firm” in our Proxy Statement.</w:t>
      </w:r>
    </w:p>
    <w:p>
      <w:pPr>
        <w:sectPr>
          <w:pgSz w:w="12240" w:h="15840" w:orient="portrait"/>
          <w:cols w:equalWidth="0" w:num="1">
            <w:col w:w="10740"/>
          </w:cols>
          <w:pgMar w:left="720" w:top="92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10740"/>
          </w:cols>
          <w:pgMar w:left="720" w:top="926" w:right="780"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Documents filed as part of this report.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 Financial Statements.</w:t>
      </w:r>
    </w:p>
    <w:p>
      <w:pPr>
        <w:spacing w:after="0" w:line="240" w:lineRule="exact"/>
        <w:rPr>
          <w:sz w:val="20"/>
          <w:szCs w:val="20"/>
          <w:color w:val="auto"/>
        </w:rPr>
      </w:pPr>
    </w:p>
    <w:p>
      <w:pPr>
        <w:ind w:right="480" w:firstLine="979"/>
        <w:spacing w:after="0" w:line="277" w:lineRule="auto"/>
        <w:rPr>
          <w:sz w:val="20"/>
          <w:szCs w:val="20"/>
          <w:color w:val="auto"/>
        </w:rPr>
      </w:pPr>
      <w:r>
        <w:rPr>
          <w:rFonts w:ascii="Times New Roman" w:cs="Times New Roman" w:eastAsia="Times New Roman" w:hAnsi="Times New Roman"/>
          <w:sz w:val="20"/>
          <w:szCs w:val="20"/>
          <w:color w:val="auto"/>
        </w:rPr>
        <w:t>The financial statements and reports of independent registered public accounting firm are filed as part of this Annual Report (see “Index to Consolidated Financial Statements” at Item 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 Financial Statement Schedules</w:t>
      </w:r>
    </w:p>
    <w:p>
      <w:pPr>
        <w:spacing w:after="0" w:line="240" w:lineRule="exact"/>
        <w:rPr>
          <w:sz w:val="20"/>
          <w:szCs w:val="20"/>
          <w:color w:val="auto"/>
        </w:rPr>
      </w:pPr>
    </w:p>
    <w:p>
      <w:pPr>
        <w:ind w:right="420" w:firstLine="979"/>
        <w:spacing w:after="0" w:line="277" w:lineRule="auto"/>
        <w:rPr>
          <w:sz w:val="20"/>
          <w:szCs w:val="20"/>
          <w:color w:val="auto"/>
        </w:rPr>
      </w:pPr>
      <w:r>
        <w:rPr>
          <w:rFonts w:ascii="Times New Roman" w:cs="Times New Roman" w:eastAsia="Times New Roman" w:hAnsi="Times New Roman"/>
          <w:sz w:val="20"/>
          <w:szCs w:val="20"/>
          <w:color w:val="auto"/>
        </w:rPr>
        <w:t>No financial statement schedules are included because the information is either provided in the consolidated financial statements, is not required under the instructions or is immaterial, and such schedules, therefore have been omitted.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3. Exhibits</w:t>
      </w:r>
      <w:r>
        <w:rPr>
          <w:rFonts w:ascii="Times New Roman" w:cs="Times New Roman" w:eastAsia="Times New Roman" w:hAnsi="Times New Roman"/>
          <w:sz w:val="20"/>
          <w:szCs w:val="20"/>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80" w:type="dxa"/>
            <w:vAlign w:val="bottom"/>
          </w:tcPr>
          <w:p>
            <w:pPr>
              <w:spacing w:after="0"/>
              <w:rPr>
                <w:sz w:val="23"/>
                <w:szCs w:val="23"/>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is a list of all exhibits and financial statement schedules filed or furnished as part of this report:</w:t>
            </w:r>
          </w:p>
        </w:tc>
        <w:tc>
          <w:tcPr>
            <w:tcW w:w="0" w:type="dxa"/>
            <w:vAlign w:val="bottom"/>
          </w:tcPr>
          <w:p>
            <w:pPr>
              <w:spacing w:after="0"/>
              <w:rPr>
                <w:sz w:val="1"/>
                <w:szCs w:val="1"/>
                <w:color w:val="auto"/>
              </w:rPr>
            </w:pPr>
          </w:p>
        </w:tc>
      </w:tr>
      <w:tr>
        <w:trPr>
          <w:trHeight w:val="424"/>
        </w:trPr>
        <w:tc>
          <w:tcPr>
            <w:tcW w:w="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24"/>
                <w:szCs w:val="24"/>
                <w:color w:val="auto"/>
              </w:rPr>
            </w:pPr>
          </w:p>
        </w:tc>
        <w:tc>
          <w:tcPr>
            <w:tcW w:w="9720" w:type="dxa"/>
            <w:vAlign w:val="bottom"/>
            <w:vMerge w:val="restart"/>
          </w:tcPr>
          <w:p>
            <w:pPr>
              <w:ind w:left="44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3"/>
        </w:trPr>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9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17"/>
                <w:szCs w:val="17"/>
                <w:color w:val="auto"/>
              </w:rPr>
            </w:pPr>
          </w:p>
        </w:tc>
        <w:tc>
          <w:tcPr>
            <w:tcW w:w="972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Amended and Restated Certificate of Incorporation of the Registrant as currently in effect (incorporated by reference to</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Exhibit 3.1 to the Registrant’s Registration Statement on Form S-1, as amended, filed with the SEC on July 26,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the Registrant as currently in effect (incorporated by reference to Exhibit 3.4 to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Registration Statement on Form S-1, as amended, filed with the SEC on July 9,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Specimen Class A common stock certificate of the Registrant (incorporated by reference to Exhibit 4.1 to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Registration Statement on Form S-1, as amended, filed with the SEC on July 26,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w w:val="99"/>
              </w:rPr>
              <w:t>Description of Securities (incorporated by reference to Exhibit 4.2 to the Registrant’s Quarterly Report on Form 10-Q for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the quarter ended June 30, 2022 filed with the SEC on August 10,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effective as of August 3, 2021 (incorporated by reference to Exhibit 10.1 to the Registrant’s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Annual Report on Form 10-K for the year ended December 31, 2021, filed with the SEC on March 31,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Class B Unit Exchange Agreement, effective as of August 3, 2021 (incorporated by reference to Exhibit 10.2 to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Quarterly Report on Form 10-Q for the quarter ended June 30, 2022 filed with the SEC on August 10,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Rights Agreement, effective as of August 3, 2021 (incorporated by reference to Exhibit 10.3 to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Quarterly Report on Form 10-Q for the quarter ended June 30, 2022 filed with the SEC on August 10,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Fifth Amended and Restated Limited Liability Company Agreement of Rani Therapeutics, LLC, effective as of August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3, 2021 (incorporated by reference to Exhibit 10.4 to the Registrant’s Quarterly Report on Form 10-Q for the quarter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ended June 30, 2022 filed with the SEC on August 10,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w w:val="99"/>
              </w:rPr>
              <w:t>Form of Indemnification Agreement between the Registrant and each of its directors and executive officers (incorporated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10.4 to the Registrant’s Registration Statement on Form S-1, filed with the SEC on July 9,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Rani Therapeutics, LLC 2016 Equity Incentive Plan and forms of agreement thereunder (incorporated by reference to</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Exhibit 10.5 to the Registrant’s Registration Statement on Form S-1, as amended, filed with the SEC on July 9,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Rani Therapeutics Holdings, Inc. 2021 Equity Incentive Plan (incorporated by reference to Exhibit 10.7 to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Registration Statement on Form S-1, as amended, filed with the SEC on July 26,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Forms of Agreement under the Rani Therapeutics Holdings, Inc. 2021 Equity Incentive Plan (incorporated by reference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to Exhibit 10.8 to the Registrant’s Quarterly Report on Form 10-Q for the quarter ended June 30, 2022 filed with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SEC on August 10, 2022).</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Rani Therapeutics Holdings, Inc. 2021 Employee Stock Purchase Plan (incorporated by reference to Exhibit 10.8 to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Registration Statement on Form S-1, as amended, filed with the SEC on July 26,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w w:val="99"/>
              </w:rPr>
              <w:t>Rani Therapeutics Holdings, Inc. Severance and Change in Control Plan (incorporated by reference to Exhibit 10.8 to the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Registration Statement on Form S-1, filed with the SEC on July 9,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Form of Participation Agreement under the Rani Therapeutics Holdings, Inc. Severance and Change in Control Plan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10.9 to the Registrant’s Registration Statement on Form S-1, filed with the SEC on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July 9, 2021).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0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Rani Therapeutics Holdings, Inc. Non-Employee Director Compensation Policy (incorporated by reference to Exhibit</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auto"/>
              </w:rPr>
              <w:t>10.11 to the Registrant’s Registration Statement on Form S-1, as amended, filed with the SEC on July 16,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617220</wp:posOffset>
                </wp:positionH>
                <wp:positionV relativeFrom="paragraph">
                  <wp:posOffset>-5415280</wp:posOffset>
                </wp:positionV>
                <wp:extent cx="6858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426.3999pt" to="54pt,-426.3999pt" o:allowincell="f" strokecolor="#FFFFFF" strokeweight="0.25pt"/>
            </w:pict>
          </mc:Fallback>
        </mc:AlternateContent>
      </w: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10800"/>
          </w:cols>
          <w:pgMar w:left="720" w:top="926" w:right="720" w:bottom="0" w:gutter="0" w:footer="0" w:header="0"/>
          <w:type w:val="continuous"/>
        </w:sectPr>
      </w:pPr>
    </w:p>
    <w:bookmarkStart w:id="144" w:name="page145"/>
    <w:bookmarkEnd w:id="144"/>
    <w:p>
      <w:pPr>
        <w:ind w:left="360" w:right="300" w:hanging="1079"/>
        <w:spacing w:after="0" w:line="249" w:lineRule="auto"/>
        <w:tabs>
          <w:tab w:leader="none" w:pos="3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Service Agreement, by and between Rani Therapeutics, LLC and InCube Labs, LLC, dated January 1, 2021 (incorporated by reference to Exhibit 10.15 to the Registrant’s Registration Statement on Form S-1, as amended, filed with the SEC on July 9, 2021).</w:t>
      </w:r>
    </w:p>
    <w:p>
      <w:pPr>
        <w:spacing w:after="0" w:line="2" w:lineRule="exact"/>
        <w:rPr>
          <w:sz w:val="20"/>
          <w:szCs w:val="20"/>
          <w:color w:val="auto"/>
        </w:rPr>
      </w:pPr>
    </w:p>
    <w:p>
      <w:pPr>
        <w:ind w:left="360" w:right="2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Amendment No. 1 to Service Agreement, dated March 21, 2022, by and between Rani Therapeutics, LLC and InCube Labs, LLC (incorporated by reference to Exhibit 10.14 to the Registrant’s Quarterly Report on Form 10-Q for the quarter ended June 30, 2022, filed with the SEC on August 10, 2022).</w:t>
      </w:r>
    </w:p>
    <w:p>
      <w:pPr>
        <w:ind w:left="360" w:right="26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Amendment No. 2 to Service Agreement, dated March 15, 2024, by and between Rani Therapeutics, LLC and InCube Labs, LLC.</w:t>
      </w:r>
    </w:p>
    <w:p>
      <w:pPr>
        <w:ind w:left="360" w:right="30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Service Agreement, by and between Rani Management Services, Inc. and InCube Labs, LLC, dated January 1, 2021 (incorporated by reference to Exhibit 10.16 to the Registrant’s Registration Statement on Form S-1, as amended, filed with the SEC on July 9, 2021).</w:t>
      </w:r>
    </w:p>
    <w:p>
      <w:pPr>
        <w:ind w:left="360" w:right="44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Amendment No. 1 to RMS Service Agreement, dated March 15, 2024, by and between Rani Therapeutics, LLC and InCube Labs, LLC.</w:t>
      </w:r>
    </w:p>
    <w:p>
      <w:pPr>
        <w:jc w:val="both"/>
        <w:ind w:left="360" w:right="10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Amended and Restated Exclusive License Agreement, by and between Rani Therapeutics, LLC and InCube Labs, LLC, dated June 22, 2021 (incorporated by reference to Exhibit 10.17 to the Registrant’s Registration Statement on Form S-1, as amended, filed with the SEC on July 9, 2021).</w:t>
      </w:r>
    </w:p>
    <w:p>
      <w:pPr>
        <w:ind w:left="360" w:right="26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Non-Exclusive License Agreement, by and between Rani Therapeutics, LLC and InCube Labs, LLC, dated June 22, 2021 (incorporated by reference to Exhibit 10.18 to the Registrant’s Registration Statement on Form S-1, as amended, filed with the SEC on July 9, 2021).</w:t>
      </w:r>
    </w:p>
    <w:p>
      <w:pPr>
        <w:ind w:left="360" w:right="30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Intellectual Property Agreement, by and between Rani Therapeutics, LLC and Mir A. Imran, dated June 22, 2021 (incorporated by reference to Exhibit 10.19 to the Registrant’s Registration Statement on Form S-1, as amended, filed with the SEC on July 9, 2021).</w:t>
      </w:r>
    </w:p>
    <w:p>
      <w:pPr>
        <w:ind w:left="360" w:right="24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Amended and Restated Employment Agreement, dated August 31, 2022, by and between Rani Therapeutics, LLC and Talat Imran (incorporated by reference to Exhibit 10.19 to the Registrant’s Annual Report on form 10-K for the year ended December 31, 2022, filed with the SEC on March 22, 2023).</w:t>
      </w:r>
    </w:p>
    <w:p>
      <w:pPr>
        <w:ind w:left="360" w:right="24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Amended and Restated Employment Agreement, dated August 31, 2022, by and between Rani Therapeutics, LLC and Mir Hashim (incorporated by reference to Exhibit 10.19 to the Registrant’s Annual Report on form 10-K for the year ended December 31, 2022, filed with the SEC on March 22, 2023).</w:t>
      </w:r>
    </w:p>
    <w:p>
      <w:pPr>
        <w:jc w:val="both"/>
        <w:ind w:left="360" w:right="24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Amended and Restated Employment Agreement, dated August 31, 2022, by and between Rani Therapeutics, LLC and Svai Sanford (incorporated by reference to Exhibit 10.19 to the Registrant’s Annual Report on form 10-K for the year ended December 31, 2022, filed with the SEC on March 22, 2023).</w:t>
      </w:r>
    </w:p>
    <w:p>
      <w:pPr>
        <w:ind w:left="36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Employment Agreement, dated April 12, 2022, by and between Rani Therapeutics, LLC and Eric Groen (incorporated by reference to Exhibit 10.2 to the Registrant’s Quarterly Report on form 10-Q for the quarter ended March 31, 2022, filed with the SEC on May 11, 2022).</w:t>
      </w:r>
    </w:p>
    <w:p>
      <w:pPr>
        <w:ind w:left="360" w:right="14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10.25+x</w:t>
      </w:r>
      <w:r>
        <w:rPr>
          <w:sz w:val="20"/>
          <w:szCs w:val="20"/>
          <w:color w:val="auto"/>
        </w:rPr>
        <w:tab/>
      </w:r>
      <w:r>
        <w:rPr>
          <w:rFonts w:ascii="Times New Roman" w:cs="Times New Roman" w:eastAsia="Times New Roman" w:hAnsi="Times New Roman"/>
          <w:sz w:val="20"/>
          <w:szCs w:val="20"/>
          <w:color w:val="auto"/>
        </w:rPr>
        <w:t>Employment Agreement, dated May 17, 2023, by and between Rani Therapeutics, LLC and Kate McKinley (incorporated by reference to Exhibit 10.2 to the Registrant’s Quarterly Report on form 10-Q for the quarter ended June 30, 2023, filed with the SEC on August 11, 2023).</w:t>
      </w:r>
    </w:p>
    <w:p>
      <w:pPr>
        <w:jc w:val="both"/>
        <w:ind w:left="360" w:right="18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Loan and Security Agreement, dated August 8, 2022, by and among the Registrant, its subsidiaries Rani Therapeutics, LLC and Rani Management Services, Inc., and Avenue Venture Opportunities Fund, L.P. (incorporated by reference to Exhibit 10.1 to the Registrant’s Quarterly Report on form 10-Q for the quarter ended June 30, 2022, filed with the SEC on August 10, 2022).</w:t>
      </w:r>
    </w:p>
    <w:p>
      <w:pPr>
        <w:ind w:left="360" w:right="14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Supplement to the Loan and Security Agreement, dated August 8, 2022, by and among the Registrant, its subsidiaries Rani Therapeutics, LLC and Rani Management Services, Inc., and Avenue Venture Opportunities Fund, L.P. (incorporated by reference to Exhibit 10.2 to the Registrant’s Quarterly Report on form 10-Q for the quarter ended June 30, 2022, filed with the SEC on August 10, 2022).</w:t>
      </w:r>
    </w:p>
    <w:p>
      <w:pPr>
        <w:ind w:left="360" w:right="18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Form of Warrant to purchase shares of Class A common stock of Registrant, issued to Avenue Venture Opportunities Fund, L.P. (incorporated by reference to Exhibit 10.3 to the Registrant’s Quarterly Report on form 10-Q for the quarter ended June 30, 2022, filed with the SEC on August 10, 2022).</w:t>
      </w:r>
    </w:p>
    <w:p>
      <w:pPr>
        <w:ind w:left="360" w:right="160" w:hanging="1079"/>
        <w:spacing w:after="0" w:line="218" w:lineRule="auto"/>
        <w:tabs>
          <w:tab w:leader="none" w:pos="34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Controlled Equity</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20"/>
          <w:szCs w:val="20"/>
          <w:color w:val="auto"/>
        </w:rPr>
        <w:t xml:space="preserve"> Sales Agreement, dated August 24, 2022, by and among Rani Therapeutics Holdings, Inc., and Cantor Fitzgerald &amp; Co. and H.C. Wainwright &amp; Co., LLC (incorporated by reference to Exhibit 1.1 to the Registrant’s Current Report on Form 8-K filed with the SEC on August 25, 2022).</w:t>
      </w:r>
    </w:p>
    <w:p>
      <w:pPr>
        <w:spacing w:after="0" w:line="1" w:lineRule="exact"/>
        <w:rPr>
          <w:sz w:val="20"/>
          <w:szCs w:val="20"/>
          <w:color w:val="auto"/>
        </w:rPr>
      </w:pPr>
    </w:p>
    <w:p>
      <w:pPr>
        <w:ind w:left="360" w:right="60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10.30x</w:t>
      </w:r>
      <w:r>
        <w:rPr>
          <w:sz w:val="20"/>
          <w:szCs w:val="20"/>
          <w:color w:val="auto"/>
        </w:rPr>
        <w:tab/>
      </w:r>
      <w:r>
        <w:rPr>
          <w:rFonts w:ascii="Times New Roman" w:cs="Times New Roman" w:eastAsia="Times New Roman" w:hAnsi="Times New Roman"/>
          <w:sz w:val="20"/>
          <w:szCs w:val="20"/>
          <w:color w:val="auto"/>
        </w:rPr>
        <w:t>License and Supply Agreement by and between Rani Therapeutics, LLC and Celltrion, Inc. dated January 6, 2023 (incorporated by reference to Exhibit 10.27 to the Registrant’s Annual Report on Form 10-K for the year ended December 31, 2022, filed with the SEC on March 22, 2023).</w:t>
      </w:r>
    </w:p>
    <w:p>
      <w:pPr>
        <w:ind w:left="360" w:right="100" w:hanging="1079"/>
        <w:spacing w:after="0"/>
        <w:tabs>
          <w:tab w:leader="none" w:pos="340" w:val="left"/>
        </w:tabs>
        <w:rPr>
          <w:sz w:val="20"/>
          <w:szCs w:val="20"/>
          <w:color w:val="auto"/>
        </w:rPr>
      </w:pPr>
      <w:r>
        <w:rPr>
          <w:rFonts w:ascii="Times New Roman" w:cs="Times New Roman" w:eastAsia="Times New Roman" w:hAnsi="Times New Roman"/>
          <w:sz w:val="20"/>
          <w:szCs w:val="20"/>
          <w:color w:val="auto"/>
        </w:rPr>
        <w:t>10.31x</w:t>
      </w:r>
      <w:r>
        <w:rPr>
          <w:sz w:val="20"/>
          <w:szCs w:val="20"/>
          <w:color w:val="auto"/>
        </w:rPr>
        <w:tab/>
      </w:r>
      <w:r>
        <w:rPr>
          <w:rFonts w:ascii="Times New Roman" w:cs="Times New Roman" w:eastAsia="Times New Roman" w:hAnsi="Times New Roman"/>
          <w:sz w:val="20"/>
          <w:szCs w:val="20"/>
          <w:color w:val="auto"/>
        </w:rPr>
        <w:t>License and Supply Agreement by and between Rani Therapeutics, LLC and Celltrion, Inc. dated May 26, 2023 (incorporated by reference to Exhibit.10.2 to the Registrant’s Quarterly Report on Form 10-Q for the quarter ended June 30, 2023, filed with the SEC on August 11, 2023).</w:t>
      </w:r>
    </w:p>
    <w:p>
      <w:pPr>
        <w:jc w:val="both"/>
        <w:ind w:left="360" w:right="320" w:hanging="1079"/>
        <w:spacing w:after="0" w:line="263" w:lineRule="auto"/>
        <w:tabs>
          <w:tab w:leader="none" w:pos="340" w:val="left"/>
        </w:tabs>
        <w:rPr>
          <w:sz w:val="20"/>
          <w:szCs w:val="20"/>
          <w:color w:val="auto"/>
        </w:rPr>
      </w:pPr>
      <w:r>
        <w:rPr>
          <w:rFonts w:ascii="Times New Roman" w:cs="Times New Roman" w:eastAsia="Times New Roman" w:hAnsi="Times New Roman"/>
          <w:sz w:val="20"/>
          <w:szCs w:val="20"/>
          <w:color w:val="auto"/>
        </w:rPr>
        <w:t>10.32x</w:t>
      </w:r>
      <w:r>
        <w:rPr>
          <w:sz w:val="20"/>
          <w:szCs w:val="20"/>
          <w:color w:val="auto"/>
        </w:rPr>
        <w:tab/>
      </w:r>
      <w:r>
        <w:rPr>
          <w:rFonts w:ascii="Times New Roman" w:cs="Times New Roman" w:eastAsia="Times New Roman" w:hAnsi="Times New Roman"/>
          <w:sz w:val="19"/>
          <w:szCs w:val="19"/>
          <w:color w:val="auto"/>
        </w:rPr>
        <w:t>Standard Industrial/Commercial Multi-Tenant Lease – Net, by and between Rani Therapeutics, LLC and BKM South Bay 240, LLC, dated as of November 1, 2023 (incorporated by reference to Exhibit 10.1 to the Registrant’s Quarterly Report on Form 10-Q for the quarter ended September 30, 2023, filed with the SEC on November 8, 2023).</w:t>
      </w:r>
    </w:p>
    <w:p>
      <w:pPr>
        <w:sectPr>
          <w:pgSz w:w="12240" w:h="15840" w:orient="portrait"/>
          <w:cols w:equalWidth="0" w:num="1">
            <w:col w:w="10080"/>
          </w:cols>
          <w:pgMar w:left="1440" w:top="930" w:right="720" w:bottom="0" w:gutter="0" w:footer="0" w:header="0"/>
        </w:sectPr>
      </w:pPr>
    </w:p>
    <w:p>
      <w:pPr>
        <w:spacing w:after="0" w:line="30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10080"/>
          </w:cols>
          <w:pgMar w:left="1440" w:top="930" w:right="720" w:bottom="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Subsidiaries of the Registrant.</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Power of Attorney. Reference is made to the signature page hereto.</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 Securities Exchange</w:t>
            </w:r>
          </w:p>
        </w:tc>
      </w:tr>
      <w:tr>
        <w:trPr>
          <w:trHeight w:val="230"/>
        </w:trPr>
        <w:tc>
          <w:tcPr>
            <w:tcW w:w="900" w:type="dxa"/>
            <w:vAlign w:val="bottom"/>
          </w:tcPr>
          <w:p>
            <w:pPr>
              <w:spacing w:after="0"/>
              <w:rPr>
                <w:sz w:val="19"/>
                <w:szCs w:val="19"/>
                <w:color w:val="auto"/>
              </w:rPr>
            </w:pP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Act of 1934, as Adopted Pursuant to Section 302 of the Sarbanes-Oxley Act of 2002.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Certification of Principal Financial Officer Pursuant to Rules 13a-14(a) and 15d-14(a) under the Securities Exchange Act</w:t>
            </w:r>
          </w:p>
        </w:tc>
      </w:tr>
      <w:tr>
        <w:trPr>
          <w:trHeight w:val="230"/>
        </w:trPr>
        <w:tc>
          <w:tcPr>
            <w:tcW w:w="900" w:type="dxa"/>
            <w:vAlign w:val="bottom"/>
          </w:tcPr>
          <w:p>
            <w:pPr>
              <w:spacing w:after="0"/>
              <w:rPr>
                <w:sz w:val="19"/>
                <w:szCs w:val="19"/>
                <w:color w:val="auto"/>
              </w:rPr>
            </w:pP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of 1934, as Adopted Pursuant to Section 302 of the Sarbanes-Oxley Act of 2002.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Principal Executive Officer and Principal Financial Officer Pursuant to 18 U.S.C. Section 1350, as</w:t>
            </w:r>
          </w:p>
        </w:tc>
      </w:tr>
      <w:tr>
        <w:trPr>
          <w:trHeight w:val="230"/>
        </w:trPr>
        <w:tc>
          <w:tcPr>
            <w:tcW w:w="900" w:type="dxa"/>
            <w:vAlign w:val="bottom"/>
          </w:tcPr>
          <w:p>
            <w:pPr>
              <w:spacing w:after="0"/>
              <w:rPr>
                <w:sz w:val="19"/>
                <w:szCs w:val="19"/>
                <w:color w:val="auto"/>
              </w:rPr>
            </w:pP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Adopted Pursuant to Section 906 of the Sarbanes-Oxley Act of 2002.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Policy Relating to Recovery of Erroneously Awarded Compensation</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 because XBRL</w:t>
            </w:r>
          </w:p>
        </w:tc>
      </w:tr>
      <w:tr>
        <w:trPr>
          <w:trHeight w:val="230"/>
        </w:trPr>
        <w:tc>
          <w:tcPr>
            <w:tcW w:w="900" w:type="dxa"/>
            <w:vAlign w:val="bottom"/>
          </w:tcPr>
          <w:p>
            <w:pPr>
              <w:spacing w:after="0"/>
              <w:rPr>
                <w:sz w:val="19"/>
                <w:szCs w:val="19"/>
                <w:color w:val="auto"/>
              </w:rPr>
            </w:pP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tags are embedded within the Inline XBRL document.</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r>
        <w:trPr>
          <w:trHeight w:val="26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63500</wp:posOffset>
                </wp:positionV>
                <wp:extent cx="95123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pt" to="73.45pt,5pt" o:allowincell="f" strokecolor="#000000" strokeweight="0.5pt"/>
            </w:pict>
          </mc:Fallback>
        </mc:AlternateConten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28" w:lineRule="exact"/>
        <w:rPr>
          <w:sz w:val="20"/>
          <w:szCs w:val="20"/>
          <w:color w:val="auto"/>
        </w:rPr>
      </w:pPr>
    </w:p>
    <w:p>
      <w:pPr>
        <w:ind w:right="40"/>
        <w:spacing w:after="0"/>
        <w:tabs>
          <w:tab w:leader="none" w:pos="15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which accompanies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Indicates management contract or compensatory plan.</w:t>
      </w:r>
    </w:p>
    <w:p>
      <w:pPr>
        <w:ind w:right="28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Portions of this exhibit have been omitted as the Registrant has determined that (i) the omitted information is not material and (ii) the omitted material is of the type that the Registrant treats as private or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780"/>
          </w:cols>
          <w:pgMar w:left="720" w:top="93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10780"/>
          </w:cols>
          <w:pgMar w:left="720" w:top="930" w:right="740" w:bottom="0"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560" w:firstLine="979"/>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1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Rani Therapeutics Holdings, Inc.</w:t>
      </w:r>
    </w:p>
    <w:p>
      <w:pPr>
        <w:spacing w:after="0" w:line="258" w:lineRule="exact"/>
        <w:rPr>
          <w:sz w:val="20"/>
          <w:szCs w:val="20"/>
          <w:color w:val="auto"/>
        </w:rPr>
      </w:pPr>
    </w:p>
    <w:p>
      <w:pPr>
        <w:spacing w:after="0"/>
        <w:tabs>
          <w:tab w:leader="none" w:pos="5420" w:val="left"/>
          <w:tab w:leader="none" w:pos="7700" w:val="left"/>
        </w:tabs>
        <w:rPr>
          <w:sz w:val="20"/>
          <w:szCs w:val="20"/>
          <w:color w:val="auto"/>
        </w:rPr>
      </w:pPr>
      <w:r>
        <w:rPr>
          <w:rFonts w:ascii="Times New Roman" w:cs="Times New Roman" w:eastAsia="Times New Roman" w:hAnsi="Times New Roman"/>
          <w:sz w:val="20"/>
          <w:szCs w:val="20"/>
          <w:color w:val="auto"/>
        </w:rPr>
        <w:t>Date: March 20,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Talat Imran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3715385</wp:posOffset>
                </wp:positionH>
                <wp:positionV relativeFrom="paragraph">
                  <wp:posOffset>13335</wp:posOffset>
                </wp:positionV>
                <wp:extent cx="314261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4261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55pt,1.05pt" to="540pt,1.05pt" o:allowincell="f" strokecolor="#000000" strokeweight="0.25pt"/>
            </w:pict>
          </mc:Fallback>
        </mc:AlternateContent>
      </w:r>
    </w:p>
    <w:p>
      <w:pPr>
        <w:spacing w:after="0" w:line="1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20"/>
          <w:szCs w:val="20"/>
          <w:b w:val="1"/>
          <w:bCs w:val="1"/>
          <w:color w:val="auto"/>
        </w:rPr>
        <w:t>Talat Imran</w:t>
      </w:r>
    </w:p>
    <w:p>
      <w:pPr>
        <w:spacing w:after="0" w:line="2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1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254" w:lineRule="exact"/>
        <w:rPr>
          <w:sz w:val="20"/>
          <w:szCs w:val="20"/>
          <w:color w:val="auto"/>
        </w:rPr>
      </w:pPr>
    </w:p>
    <w:p>
      <w:pPr>
        <w:ind w:right="100" w:firstLine="979"/>
        <w:spacing w:after="0" w:line="249"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Talat Imran and Svai Sanford,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33" w:lineRule="exact"/>
        <w:rPr>
          <w:sz w:val="20"/>
          <w:szCs w:val="20"/>
          <w:color w:val="auto"/>
        </w:rPr>
      </w:pPr>
    </w:p>
    <w:p>
      <w:pPr>
        <w:ind w:right="200" w:firstLine="979"/>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100" w:type="dxa"/>
            <w:vAlign w:val="bottom"/>
          </w:tcPr>
          <w:p>
            <w:pPr>
              <w:spacing w:after="0"/>
              <w:rPr>
                <w:sz w:val="22"/>
                <w:szCs w:val="22"/>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12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322"/>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Talat Imran</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5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Talat Imran</w:t>
            </w:r>
          </w:p>
        </w:tc>
        <w:tc>
          <w:tcPr>
            <w:tcW w:w="10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1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8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Svai Sanford</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6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Svai Sanford</w:t>
            </w:r>
          </w:p>
        </w:tc>
        <w:tc>
          <w:tcPr>
            <w:tcW w:w="100" w:type="dxa"/>
            <w:vAlign w:val="bottom"/>
          </w:tcPr>
          <w:p>
            <w:pPr>
              <w:spacing w:after="0"/>
              <w:rPr>
                <w:sz w:val="23"/>
                <w:szCs w:val="23"/>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tc>
        <w:tc>
          <w:tcPr>
            <w:tcW w:w="1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8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Mir Imran</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 of the Board</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6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Mir Imran</w:t>
            </w:r>
          </w:p>
        </w:tc>
        <w:tc>
          <w:tcPr>
            <w:tcW w:w="1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8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Dennis Ausiello</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5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Dennis Ausiello</w:t>
            </w:r>
          </w:p>
        </w:tc>
        <w:tc>
          <w:tcPr>
            <w:tcW w:w="1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8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Jean-Luc Butel</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5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Jean-Luc Butel</w:t>
            </w:r>
          </w:p>
        </w:tc>
        <w:tc>
          <w:tcPr>
            <w:tcW w:w="1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8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Laureen DeBuono</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6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Laureen DeBuono</w:t>
            </w:r>
          </w:p>
        </w:tc>
        <w:tc>
          <w:tcPr>
            <w:tcW w:w="1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8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Andrew Farquharson</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5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Andrew Farquharson</w:t>
            </w:r>
          </w:p>
        </w:tc>
        <w:tc>
          <w:tcPr>
            <w:tcW w:w="1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8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Maulik Nanavaty</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5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Maulik Nanavaty</w:t>
            </w:r>
          </w:p>
        </w:tc>
        <w:tc>
          <w:tcPr>
            <w:tcW w:w="1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86"/>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Lisa Rometty</w:t>
            </w:r>
          </w:p>
        </w:tc>
        <w:tc>
          <w:tcPr>
            <w:tcW w:w="1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20, 2024</w:t>
            </w:r>
          </w:p>
        </w:tc>
      </w:tr>
      <w:tr>
        <w:trPr>
          <w:trHeight w:val="256"/>
        </w:trPr>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Lisa Rometty</w:t>
            </w:r>
          </w:p>
        </w:tc>
        <w:tc>
          <w:tcPr>
            <w:tcW w:w="10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2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10800"/>
          </w:cols>
          <w:pgMar w:left="720" w:top="926" w:right="720" w:bottom="0" w:gutter="0" w:footer="0" w:header="0"/>
          <w:type w:val="continuous"/>
        </w:sectPr>
      </w:pPr>
    </w:p>
    <w:bookmarkStart w:id="147" w:name="page148"/>
    <w:bookmarkEnd w:id="147"/>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lvl w:ilvl="1">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lvl w:ilvl="1">
      <w:lvlJc w:val="left"/>
      <w:lvlText w:val="ο"/>
      <w:numFmt w:val="bullet"/>
      <w:start w:val="1"/>
    </w:lvl>
  </w:abstractNum>
  <w:abstractNum w:abstractNumId="14">
    <w:nsid w:val="542289EC"/>
    <w:multiLevelType w:val="hybridMultilevel"/>
    <w:lvl w:ilvl="0">
      <w:lvlJc w:val="left"/>
      <w:lvlText w:val="•"/>
      <w:numFmt w:val="bullet"/>
      <w:start w:val="1"/>
    </w:lvl>
    <w:lvl w:ilvl="1">
      <w:lvlJc w:val="left"/>
      <w:lvlText w:val="ο"/>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lowerRoman"/>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lowerRoman"/>
      <w:start w:val="2"/>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2"/>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2024-04-17T07:15:52Z</dcterms:created>
  <dcterms:modified xsi:type="dcterms:W3CDTF">2024-04-17T07:15:52Z</dcterms:modified>
</cp:coreProperties>
</file>