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304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304790"/>
                    </a:xfrm>
                    <a:prstGeom prst="rect">
                      <a:avLst/>
                    </a:prstGeom>
                    <a:noFill/>
                  </pic:spPr>
                </pic:pic>
              </a:graphicData>
            </a:graphic>
          </wp:anchor>
        </w:drawing>
      </w:r>
    </w:p>
    <w:p>
      <w:pPr>
        <w:sectPr>
          <w:pgSz w:w="11900" w:h="16838" w:orient="portrait"/>
          <w:cols w:equalWidth="0" w:num="1">
            <w:col w:w="10940"/>
          </w:cols>
          <w:pgMar w:left="480" w:top="236" w:right="479" w:bottom="1007"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Hashim Mir</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60" w:type="dxa"/>
            <w:vAlign w:val="bottom"/>
            <w:tcBorders>
              <w:top w:val="single" w:sz="8" w:color="0000EE"/>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07/29/2021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Rani Therapeutics Holdings,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RANI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1007"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377"/>
        <w:spacing w:after="0" w:line="331" w:lineRule="auto"/>
        <w:rPr>
          <w:sz w:val="20"/>
          <w:szCs w:val="20"/>
          <w:color w:val="auto"/>
        </w:rPr>
      </w:pPr>
      <w:r>
        <w:rPr>
          <w:rFonts w:ascii="Arial" w:cs="Arial" w:eastAsia="Arial" w:hAnsi="Arial"/>
          <w:sz w:val="20"/>
          <w:szCs w:val="20"/>
          <w:color w:val="0000FF"/>
        </w:rPr>
        <w:t>C/O RANI THERAPEUTICS LLC 2051 RINGWOOD AVE.</w:t>
      </w:r>
    </w:p>
    <w:p>
      <w:pPr>
        <w:spacing w:after="0" w:line="230"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SAN JOSE  CA</w:t>
            </w:r>
          </w:p>
        </w:tc>
        <w:tc>
          <w:tcPr>
            <w:tcW w:w="880" w:type="dxa"/>
            <w:vAlign w:val="bottom"/>
          </w:tcPr>
          <w:p>
            <w:pPr>
              <w:jc w:val="right"/>
              <w:spacing w:after="0"/>
              <w:rPr>
                <w:sz w:val="20"/>
                <w:szCs w:val="20"/>
                <w:color w:val="auto"/>
              </w:rPr>
            </w:pPr>
            <w:r>
              <w:rPr>
                <w:rFonts w:ascii="Arial" w:cs="Arial" w:eastAsia="Arial" w:hAnsi="Arial"/>
                <w:sz w:val="20"/>
                <w:szCs w:val="20"/>
                <w:color w:val="0000FF"/>
              </w:rPr>
              <w:t>95131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Scientific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007"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Class B Common Stock</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80" w:type="dxa"/>
            <w:vAlign w:val="bottom"/>
          </w:tcPr>
          <w:p>
            <w:pPr>
              <w:ind w:left="640"/>
              <w:spacing w:after="0"/>
              <w:rPr>
                <w:sz w:val="20"/>
                <w:szCs w:val="20"/>
                <w:color w:val="auto"/>
              </w:rPr>
            </w:pPr>
            <w:r>
              <w:rPr>
                <w:rFonts w:ascii="Arial" w:cs="Arial" w:eastAsia="Arial" w:hAnsi="Arial"/>
                <w:sz w:val="20"/>
                <w:szCs w:val="20"/>
                <w:color w:val="0000FF"/>
              </w:rPr>
              <w:t>232,707</w:t>
            </w:r>
          </w:p>
        </w:tc>
        <w:tc>
          <w:tcPr>
            <w:tcW w:w="920" w:type="dxa"/>
            <w:vAlign w:val="bottom"/>
            <w:gridSpan w:val="2"/>
          </w:tcPr>
          <w:p>
            <w:pPr>
              <w:ind w:left="740"/>
              <w:spacing w:after="0"/>
              <w:rPr>
                <w:sz w:val="20"/>
                <w:szCs w:val="20"/>
                <w:color w:val="auto"/>
              </w:rPr>
            </w:pPr>
            <w:r>
              <w:rPr>
                <w:rFonts w:ascii="Arial" w:cs="Arial" w:eastAsia="Arial" w:hAnsi="Arial"/>
                <w:sz w:val="20"/>
                <w:szCs w:val="20"/>
                <w:color w:val="0000FF"/>
              </w:rPr>
              <w:t>D</w:t>
            </w:r>
          </w:p>
        </w:tc>
        <w:tc>
          <w:tcPr>
            <w:tcW w:w="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20" w:type="dxa"/>
            <w:vAlign w:val="bottom"/>
            <w:gridSpan w:val="2"/>
          </w:tcPr>
          <w:p>
            <w:pPr>
              <w:ind w:left="14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20" w:type="dxa"/>
            <w:vAlign w:val="bottom"/>
            <w:gridSpan w:val="2"/>
          </w:tcPr>
          <w:p>
            <w:pPr>
              <w:ind w:left="14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w w:val="98"/>
              </w:rPr>
              <w:t>Class A Common LLC Units</w:t>
            </w:r>
            <w:r>
              <w:rPr>
                <w:rFonts w:ascii="Arial" w:cs="Arial" w:eastAsia="Arial" w:hAnsi="Arial"/>
                <w:sz w:val="25"/>
                <w:szCs w:val="25"/>
                <w:color w:val="008000"/>
                <w:w w:val="98"/>
                <w:vertAlign w:val="superscript"/>
              </w:rPr>
              <w:t>(1)</w:t>
            </w:r>
          </w:p>
        </w:tc>
        <w:tc>
          <w:tcPr>
            <w:tcW w:w="124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88"/>
              <w:spacing w:after="0"/>
              <w:rPr>
                <w:sz w:val="20"/>
                <w:szCs w:val="20"/>
                <w:color w:val="auto"/>
              </w:rPr>
            </w:pPr>
            <w:r>
              <w:rPr>
                <w:rFonts w:ascii="Arial" w:cs="Arial" w:eastAsia="Arial" w:hAnsi="Arial"/>
                <w:sz w:val="13"/>
                <w:szCs w:val="13"/>
                <w:color w:val="008000"/>
              </w:rPr>
              <w:t>(1)</w:t>
            </w:r>
          </w:p>
        </w:tc>
        <w:tc>
          <w:tcPr>
            <w:tcW w:w="178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860" w:type="dxa"/>
            <w:vAlign w:val="bottom"/>
            <w:vMerge w:val="restart"/>
          </w:tcPr>
          <w:p>
            <w:pPr>
              <w:ind w:left="160"/>
              <w:spacing w:after="0"/>
              <w:rPr>
                <w:sz w:val="20"/>
                <w:szCs w:val="20"/>
                <w:color w:val="auto"/>
              </w:rPr>
            </w:pPr>
            <w:r>
              <w:rPr>
                <w:rFonts w:ascii="Arial" w:cs="Arial" w:eastAsia="Arial" w:hAnsi="Arial"/>
                <w:sz w:val="20"/>
                <w:szCs w:val="20"/>
                <w:color w:val="0000FF"/>
                <w:w w:val="94"/>
              </w:rPr>
              <w:t>786,392</w:t>
            </w:r>
          </w:p>
        </w:tc>
        <w:tc>
          <w:tcPr>
            <w:tcW w:w="60" w:type="dxa"/>
            <w:vAlign w:val="bottom"/>
          </w:tcPr>
          <w:p>
            <w:pPr>
              <w:spacing w:after="0"/>
              <w:rPr>
                <w:sz w:val="24"/>
                <w:szCs w:val="24"/>
                <w:color w:val="auto"/>
              </w:rPr>
            </w:pPr>
          </w:p>
        </w:tc>
        <w:tc>
          <w:tcPr>
            <w:tcW w:w="940" w:type="dxa"/>
            <w:vAlign w:val="bottom"/>
            <w:vMerge w:val="restart"/>
          </w:tcPr>
          <w:p>
            <w:pPr>
              <w:jc w:val="right"/>
              <w:ind w:right="344"/>
              <w:spacing w:after="0"/>
              <w:rPr>
                <w:sz w:val="20"/>
                <w:szCs w:val="20"/>
                <w:color w:val="auto"/>
              </w:rPr>
            </w:pPr>
            <w:r>
              <w:rPr>
                <w:rFonts w:ascii="Arial" w:cs="Arial" w:eastAsia="Arial" w:hAnsi="Arial"/>
                <w:sz w:val="13"/>
                <w:szCs w:val="13"/>
                <w:color w:val="008000"/>
              </w:rPr>
              <w:t>(1)</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780" w:type="dxa"/>
            <w:vAlign w:val="bottom"/>
            <w:vMerge w:val="restart"/>
          </w:tcPr>
          <w:p>
            <w:pPr>
              <w:jc w:val="center"/>
              <w:spacing w:after="0"/>
              <w:rPr>
                <w:sz w:val="20"/>
                <w:szCs w:val="20"/>
                <w:color w:val="auto"/>
              </w:rPr>
            </w:pPr>
            <w:r>
              <w:rPr>
                <w:rFonts w:ascii="Arial" w:cs="Arial" w:eastAsia="Arial" w:hAnsi="Arial"/>
                <w:sz w:val="20"/>
                <w:szCs w:val="20"/>
                <w:color w:val="0000FF"/>
                <w:w w:val="82"/>
              </w:rPr>
              <w:t>Stock</w:t>
            </w:r>
            <w:r>
              <w:rPr>
                <w:rFonts w:ascii="Arial" w:cs="Arial" w:eastAsia="Arial" w:hAnsi="Arial"/>
                <w:sz w:val="25"/>
                <w:szCs w:val="25"/>
                <w:color w:val="008000"/>
                <w:w w:val="82"/>
                <w:vertAlign w:val="superscript"/>
              </w:rPr>
              <w:t>(1)</w:t>
            </w:r>
          </w:p>
        </w:tc>
        <w:tc>
          <w:tcPr>
            <w:tcW w:w="8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vMerge w:val="continue"/>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vMerge w:val="restart"/>
          </w:tcPr>
          <w:p>
            <w:pPr>
              <w:jc w:val="right"/>
              <w:ind w:right="28"/>
              <w:spacing w:after="0"/>
              <w:rPr>
                <w:sz w:val="20"/>
                <w:szCs w:val="20"/>
                <w:color w:val="auto"/>
              </w:rPr>
            </w:pPr>
            <w:r>
              <w:rPr>
                <w:rFonts w:ascii="Arial" w:cs="Arial" w:eastAsia="Arial" w:hAnsi="Arial"/>
                <w:sz w:val="15"/>
                <w:szCs w:val="15"/>
                <w:color w:val="0000FF"/>
              </w:rPr>
              <w:t>07/28/2031</w:t>
            </w:r>
          </w:p>
        </w:tc>
        <w:tc>
          <w:tcPr>
            <w:tcW w:w="178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860" w:type="dxa"/>
            <w:vAlign w:val="bottom"/>
            <w:vMerge w:val="restart"/>
          </w:tcPr>
          <w:p>
            <w:pPr>
              <w:ind w:left="160"/>
              <w:spacing w:after="0"/>
              <w:rPr>
                <w:sz w:val="20"/>
                <w:szCs w:val="20"/>
                <w:color w:val="auto"/>
              </w:rPr>
            </w:pPr>
            <w:r>
              <w:rPr>
                <w:rFonts w:ascii="Arial" w:cs="Arial" w:eastAsia="Arial" w:hAnsi="Arial"/>
                <w:sz w:val="20"/>
                <w:szCs w:val="20"/>
                <w:color w:val="0000FF"/>
                <w:w w:val="94"/>
              </w:rPr>
              <w:t>285,920</w:t>
            </w:r>
          </w:p>
        </w:tc>
        <w:tc>
          <w:tcPr>
            <w:tcW w:w="60" w:type="dxa"/>
            <w:vAlign w:val="bottom"/>
          </w:tcPr>
          <w:p>
            <w:pPr>
              <w:spacing w:after="0"/>
              <w:rPr>
                <w:sz w:val="24"/>
                <w:szCs w:val="24"/>
                <w:color w:val="auto"/>
              </w:rPr>
            </w:pPr>
          </w:p>
        </w:tc>
        <w:tc>
          <w:tcPr>
            <w:tcW w:w="940" w:type="dxa"/>
            <w:vAlign w:val="bottom"/>
            <w:vMerge w:val="restart"/>
          </w:tcPr>
          <w:p>
            <w:pPr>
              <w:jc w:val="right"/>
              <w:ind w:right="244"/>
              <w:spacing w:after="0"/>
              <w:rPr>
                <w:sz w:val="20"/>
                <w:szCs w:val="20"/>
                <w:color w:val="auto"/>
              </w:rPr>
            </w:pPr>
            <w:r>
              <w:rPr>
                <w:rFonts w:ascii="Arial" w:cs="Arial" w:eastAsia="Arial" w:hAnsi="Arial"/>
                <w:sz w:val="20"/>
                <w:szCs w:val="20"/>
                <w:color w:val="0000FF"/>
              </w:rPr>
              <w:t>6.99</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Arial" w:cs="Arial" w:eastAsia="Arial" w:hAnsi="Arial"/>
                <w:sz w:val="20"/>
                <w:szCs w:val="20"/>
                <w:color w:val="0000FF"/>
                <w:w w:val="91"/>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60" w:firstLine="5"/>
        <w:spacing w:after="0" w:line="286" w:lineRule="auto"/>
        <w:tabs>
          <w:tab w:leader="none" w:pos="19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Represents Common LLC Units of Rani Therapeutics, LLC, a direct subsidiary of the Issuer. The Common LLC Units are redeemable at the election of the Reporting Person at any time for newly-issued Class A Common Stock of the Issuer ("Class A Shares") on a one-for-one basis or, if mutually agreed with the Issuer, a cash payment equal to the volume weighted average market price of one Class A Share for each Common LLC Unit redeemed (subject to customary adjustments, including for stock splits, stock dividends and reclassifications). However, the Issuer may elect to effect a direct exchange of such Class A Shares (or such cash, if mutually agreed) for such Common LLC Units.</w:t>
      </w:r>
    </w:p>
    <w:p>
      <w:pPr>
        <w:spacing w:after="0" w:line="7" w:lineRule="exact"/>
        <w:rPr>
          <w:rFonts w:ascii="Arial" w:cs="Arial" w:eastAsia="Arial" w:hAnsi="Arial"/>
          <w:sz w:val="13"/>
          <w:szCs w:val="13"/>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subject to the option vest as follows: 1/48th of the shares subject to the option vest monthly over four years from June 17, 2021.</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Arial" w:cs="Arial" w:eastAsia="Arial" w:hAnsi="Arial"/>
                <w:sz w:val="20"/>
                <w:szCs w:val="20"/>
                <w:color w:val="0000FF"/>
              </w:rPr>
              <w:t>/s/ Josh Seidenfeld,</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Arial" w:cs="Arial" w:eastAsia="Arial" w:hAnsi="Arial"/>
                <w:sz w:val="20"/>
                <w:szCs w:val="20"/>
                <w:color w:val="0000FF"/>
              </w:rPr>
              <w:t>Attorney-in-Fact for Mir</w:t>
            </w:r>
          </w:p>
        </w:tc>
        <w:tc>
          <w:tcPr>
            <w:tcW w:w="900" w:type="dxa"/>
            <w:vAlign w:val="bottom"/>
          </w:tcPr>
          <w:p>
            <w:pPr>
              <w:spacing w:after="0" w:line="220" w:lineRule="exact"/>
              <w:rPr>
                <w:sz w:val="20"/>
                <w:szCs w:val="20"/>
                <w:color w:val="auto"/>
              </w:rPr>
            </w:pPr>
            <w:r>
              <w:rPr>
                <w:rFonts w:ascii="Arial" w:cs="Arial" w:eastAsia="Arial" w:hAnsi="Arial"/>
                <w:sz w:val="20"/>
                <w:szCs w:val="20"/>
                <w:color w:val="0000FF"/>
                <w:w w:val="87"/>
              </w:rPr>
              <w:t>07/29/2021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85"/>
              </w:rPr>
              <w:t>Hashim</w:t>
            </w:r>
          </w:p>
        </w:tc>
        <w:tc>
          <w:tcPr>
            <w:tcW w:w="1320" w:type="dxa"/>
            <w:vAlign w:val="bottom"/>
            <w:tcBorders>
              <w:top w:val="single" w:sz="8" w:color="auto"/>
            </w:tcBorders>
            <w:gridSpan w:val="2"/>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007"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 FOR</w:t>
      </w:r>
    </w:p>
    <w:p>
      <w:pPr>
        <w:spacing w:after="0" w:line="238" w:lineRule="auto"/>
        <w:rPr>
          <w:sz w:val="20"/>
          <w:szCs w:val="20"/>
          <w:color w:val="auto"/>
        </w:rPr>
      </w:pPr>
      <w:r>
        <w:rPr>
          <w:rFonts w:ascii="Courier New" w:cs="Courier New" w:eastAsia="Courier New" w:hAnsi="Courier New"/>
          <w:sz w:val="20"/>
          <w:szCs w:val="20"/>
          <w:color w:val="auto"/>
        </w:rPr>
        <w:t>SECTION 16 REPORTING OBLIGATIONS</w:t>
      </w:r>
    </w:p>
    <w:p>
      <w:pPr>
        <w:spacing w:after="0" w:line="200" w:lineRule="exact"/>
        <w:rPr>
          <w:sz w:val="20"/>
          <w:szCs w:val="20"/>
          <w:color w:val="auto"/>
        </w:rPr>
      </w:pPr>
    </w:p>
    <w:p>
      <w:pPr>
        <w:spacing w:after="0" w:line="255" w:lineRule="exact"/>
        <w:rPr>
          <w:sz w:val="20"/>
          <w:szCs w:val="20"/>
          <w:color w:val="auto"/>
        </w:rPr>
      </w:pPr>
    </w:p>
    <w:p>
      <w:pPr>
        <w:ind w:right="940" w:firstLine="937"/>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Talat Imran and Svai Sanford of Rani Therapeutics Holdings, Inc. and Josh Seidenfeld and Nguyen X. Nguyen of Cooley LLP, or any of them signing singly, with full power of substitution, the undersigned's true and lawful attorney in fact to:</w:t>
      </w:r>
    </w:p>
    <w:p>
      <w:pPr>
        <w:spacing w:after="0" w:line="232" w:lineRule="exact"/>
        <w:rPr>
          <w:sz w:val="20"/>
          <w:szCs w:val="20"/>
          <w:color w:val="auto"/>
        </w:rPr>
      </w:pPr>
    </w:p>
    <w:p>
      <w:pPr>
        <w:ind w:right="460"/>
        <w:spacing w:after="0" w:line="264"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or beneficial owner of more than 10% of a registered class of securities of Rani Therapeutics Holdings, Inc. (the "Company"), Forms</w:t>
      </w:r>
    </w:p>
    <w:p>
      <w:pPr>
        <w:spacing w:after="0" w:line="2" w:lineRule="exact"/>
        <w:rPr>
          <w:rFonts w:ascii="Courier New" w:cs="Courier New" w:eastAsia="Courier New" w:hAnsi="Courier New"/>
          <w:sz w:val="18"/>
          <w:szCs w:val="18"/>
          <w:color w:val="auto"/>
        </w:rPr>
      </w:pPr>
    </w:p>
    <w:p>
      <w:pPr>
        <w:ind w:right="940"/>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4 and 5 (including any amendments thereto) in accordance with Section 16(a) of the Securities Exchange Act of 1934, as amended (the "Exchange Act") and the rules thereunder and a Form ID, Uniform Application for Access Codes to File 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EDGAR;</w:t>
      </w:r>
    </w:p>
    <w:p>
      <w:pPr>
        <w:spacing w:after="0" w:line="230" w:lineRule="exact"/>
        <w:rPr>
          <w:rFonts w:ascii="Courier New" w:cs="Courier New" w:eastAsia="Courier New" w:hAnsi="Courier New"/>
          <w:sz w:val="18"/>
          <w:szCs w:val="18"/>
          <w:color w:val="auto"/>
        </w:rPr>
      </w:pPr>
    </w:p>
    <w:p>
      <w:pPr>
        <w:ind w:right="700"/>
        <w:spacing w:after="0" w:line="237"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231" w:lineRule="exact"/>
        <w:rPr>
          <w:rFonts w:ascii="Courier New" w:cs="Courier New" w:eastAsia="Courier New" w:hAnsi="Courier New"/>
          <w:sz w:val="20"/>
          <w:szCs w:val="20"/>
          <w:color w:val="auto"/>
        </w:rPr>
      </w:pPr>
    </w:p>
    <w:p>
      <w:pPr>
        <w:ind w:right="820"/>
        <w:spacing w:after="0" w:line="237"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580" w:firstLine="937"/>
        <w:spacing w:after="0" w:line="267"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w:t>
      </w:r>
    </w:p>
    <w:p>
      <w:pPr>
        <w:spacing w:after="0" w:line="209" w:lineRule="exact"/>
        <w:rPr>
          <w:sz w:val="20"/>
          <w:szCs w:val="20"/>
          <w:color w:val="auto"/>
        </w:rPr>
      </w:pPr>
    </w:p>
    <w:p>
      <w:pPr>
        <w:ind w:right="820"/>
        <w:spacing w:after="0" w:line="236" w:lineRule="auto"/>
        <w:rPr>
          <w:sz w:val="20"/>
          <w:szCs w:val="20"/>
          <w:color w:val="auto"/>
        </w:rPr>
      </w:pPr>
      <w:r>
        <w:rPr>
          <w:rFonts w:ascii="Courier New" w:cs="Courier New" w:eastAsia="Courier New" w:hAnsi="Courier New"/>
          <w:sz w:val="20"/>
          <w:szCs w:val="20"/>
          <w:color w:val="auto"/>
        </w:rPr>
        <w:t>nor is the Company assuming, any of the undersigned's responsibilities to comply with Section 16 of the Exchange Act.</w:t>
      </w:r>
    </w:p>
    <w:p>
      <w:pPr>
        <w:spacing w:after="0" w:line="230" w:lineRule="exact"/>
        <w:rPr>
          <w:sz w:val="20"/>
          <w:szCs w:val="20"/>
          <w:color w:val="auto"/>
        </w:rPr>
      </w:pPr>
    </w:p>
    <w:p>
      <w:pPr>
        <w:ind w:firstLine="937"/>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w:t>
      </w:r>
    </w:p>
    <w:p>
      <w:pPr>
        <w:spacing w:after="0" w:line="2" w:lineRule="exact"/>
        <w:rPr>
          <w:sz w:val="20"/>
          <w:szCs w:val="20"/>
          <w:color w:val="auto"/>
        </w:rPr>
      </w:pPr>
    </w:p>
    <w:p>
      <w:pPr>
        <w:ind w:right="1040"/>
        <w:spacing w:after="0" w:line="237" w:lineRule="auto"/>
        <w:rPr>
          <w:sz w:val="20"/>
          <w:szCs w:val="20"/>
          <w:color w:val="auto"/>
        </w:rPr>
      </w:pPr>
      <w:r>
        <w:rPr>
          <w:rFonts w:ascii="Courier New" w:cs="Courier New" w:eastAsia="Courier New" w:hAnsi="Courier New"/>
          <w:sz w:val="20"/>
          <w:szCs w:val="20"/>
          <w:color w:val="auto"/>
        </w:rPr>
        <w:t>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232" w:lineRule="exact"/>
        <w:rPr>
          <w:sz w:val="20"/>
          <w:szCs w:val="20"/>
          <w:color w:val="auto"/>
        </w:rPr>
      </w:pPr>
    </w:p>
    <w:p>
      <w:pPr>
        <w:ind w:right="460" w:firstLine="937"/>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17th day of July,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Mir Hashim</w:t>
      </w:r>
    </w:p>
    <w:p>
      <w:pPr>
        <w:spacing w:after="0" w:line="238" w:lineRule="auto"/>
        <w:rPr>
          <w:sz w:val="20"/>
          <w:szCs w:val="20"/>
          <w:color w:val="auto"/>
        </w:rPr>
      </w:pPr>
      <w:r>
        <w:rPr>
          <w:rFonts w:ascii="Courier New" w:cs="Courier New" w:eastAsia="Courier New" w:hAnsi="Courier New"/>
          <w:sz w:val="20"/>
          <w:szCs w:val="20"/>
          <w:color w:val="auto"/>
        </w:rPr>
        <w:t>Mir Hashim</w:t>
      </w:r>
    </w:p>
    <w:sectPr>
      <w:pgSz w:w="11900" w:h="16838" w:orient="portrait"/>
      <w:cols w:equalWidth="0" w:num="1">
        <w:col w:w="10180"/>
      </w:cols>
      <w:pgMar w:left="480" w:top="136"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5891" TargetMode="External"/><Relationship Id="rId11"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2021-07-29T20:55:36Z</dcterms:created>
  <dcterms:modified xsi:type="dcterms:W3CDTF">2021-07-29T20:55:36Z</dcterms:modified>
</cp:coreProperties>
</file>