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15,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Rani Therapeutics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001-40672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86-3114789</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2051 Ringwood Avenue</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San Jose, California</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95131</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457-3700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RANI</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Purchase Agreement</w:t>
      </w:r>
    </w:p>
    <w:p>
      <w:pPr>
        <w:spacing w:after="0" w:line="11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On October 15, 2024, Rani Therapeutics Holdings, Inc., or Rani, entered into a securities purchase agreement, or the Purchase Agreement, with an institutional investor, or the Purchaser, relating to the:</w:t>
      </w:r>
    </w:p>
    <w:p>
      <w:pPr>
        <w:spacing w:after="0" w:line="67" w:lineRule="exact"/>
        <w:rPr>
          <w:sz w:val="20"/>
          <w:szCs w:val="20"/>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and sale, or the Offering, of:</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 shares of our Class A common stock, par value $0.0001 per share, or Class A common stock;</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pre-funded warrants to purchase 333,333 shares of Class A common stock; and</w:t>
      </w:r>
    </w:p>
    <w:p>
      <w:pPr>
        <w:spacing w:after="0" w:line="130" w:lineRule="exact"/>
        <w:rPr>
          <w:rFonts w:ascii="Times New Roman" w:cs="Times New Roman" w:eastAsia="Times New Roman" w:hAnsi="Times New Roman"/>
          <w:sz w:val="18"/>
          <w:szCs w:val="18"/>
          <w:color w:val="auto"/>
        </w:rPr>
      </w:pPr>
    </w:p>
    <w:p>
      <w:pPr>
        <w:ind w:left="1420" w:right="80" w:hanging="331"/>
        <w:spacing w:after="0" w:line="282" w:lineRule="auto"/>
        <w:tabs>
          <w:tab w:leader="none" w:pos="1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C common warrants, which will accompany the Class A common stock and pre-funded warrants, to purchase an aggregate of 3,333,333 shares of Class A common stock.</w:t>
      </w:r>
    </w:p>
    <w:p>
      <w:pPr>
        <w:spacing w:after="0" w:line="67"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Series A common warrants to purchase an aggregate of 3,246,753 shares of Class A common stock issued on July 23, 2024, pursuant to a securities purchase agreement with the Purchaser, dated July 22,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pre-funded warrants are exercisable immediately following the closing date of the Offering and have an unlimited term and an exercise price of</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$0.0001 per share. The Series C common warrants are exercisable immediately following the closing date of the Offering and will expire five years from the date of issuance and will have an exercise price of $3.00 per share. The combined offering price is $3.00 per share of Class A common stock and accompanying Series C common warrant, or in the case of pre-funded warrants, $2.9999 per pre-funded warrant and accompanying Series C common warrant. The aggregate gross proceeds to Rani from the Offering are expected to be approximately $10.0 million, before deducting placement agent fees and other estimated Offering expenses payable by Rani, and excluding the proceeds, if any, from the exercise of the pre-funded warrants and Series C common warrants issued in the Offering. The closing of the Offering is expected to occur on or about October 16, 2024, subject to the satisfaction of customary closing conditions.</w:t>
      </w:r>
    </w:p>
    <w:p>
      <w:pPr>
        <w:spacing w:after="0" w:line="18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Series C common warrants include certain rights upon “fundamental transactions” as described in the Series C common warrants. In the Series C common warrants, these rights upon “fundamental transactions” include the right of the holders thereof to receive from Rani or a successor entity the same type or form of consideration (and in the same proportion) that is being offered and paid to the holders of Class A common stock in such fundamental transaction in the amount of the Black Scholes value (as described in such Series C common warrants) of the unexercised portion of the applicable Series C common warrants on the date of the consummation of such fundamental transaction.</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and agreements by Rani, customary conditions to closing, and indemnification obligations of Rani and the Purchaser. The representations, warranties and covenants contained in the Purchase Agreement were made only for purposes of the Purchase Agreement and as of a specific date, were solely for the benefit of the parties to the Purchase Agreement, and may be subject to limitations agreed upon by the contracting parties.</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Pursuant to the terms of the Purchase Agreement, until 30 days following the closing of the Offering, Rani has agreed not to issue, enter into any agreement to issue, or announce the issuance or proposed issuance of any shares of Class A common stock or common stock equivalents, or file or amend any registration statement or prospectus, other than as necessary to maintain the registration of the securities issued in the Offering. Rani has further agreed not to enter into an agreement involving any new variable rate transactions until January 23, 2025, subject to certain exceptions. In addition, Rani’s directors and officers have entered into lock-up agreements with Rani pursuant to which each of them has agreed not to, for a period of 30 days from the closing of the Offering, offer, sell, transfer or otherwise dispose of Rani’s securities, subject to certain exceptions.</w:t>
      </w:r>
    </w:p>
    <w:p>
      <w:pPr>
        <w:spacing w:after="0" w:line="187"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auto"/>
        </w:rPr>
        <w:t>Rani engaged Maxim Group LLC to act as placement agent in the Offering and entered into a placement agency agreement dated October 15, 2024, pursuant to which Rani has agreed to pay the placement agent a cash fee equal to 5.25% of the aggregate gross proceeds generated from the Offering.</w:t>
      </w:r>
    </w:p>
    <w:p>
      <w:pPr>
        <w:spacing w:after="0" w:line="14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Offering is being made pursuant to Rani’s registration statement on Form S-3 (No. 333-266444), as previously declared effective by the Securities and Exchange Commission on August 10, 2022, and a related base prospectus and prospectus supplement.</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 copy of the form of Series C common warrant is filed as Exhibit 4.1 hereto, a copy of the form of pre-funded warrant is filed as Exhibit 4.2 hereto and the form of Purchase Agreement is filed as Exhibit 10.1 hereto. The foregoing descriptions of the terms of the Purchase Agreement, the pre-funded warrant and the Series C common warrant are qualified in their entirety by reference to such exhibits. A copy of the opinion of Cooley LLP relating to the legality of the issuance and sale of the securities in the Offering is attached as Exhibit 5.1 hereto.</w:t>
      </w:r>
    </w:p>
    <w:p>
      <w:pPr>
        <w:sectPr>
          <w:pgSz w:w="11900" w:h="16838" w:orient="portrait"/>
          <w:cols w:equalWidth="0" w:num="1">
            <w:col w:w="11000"/>
          </w:cols>
          <w:pgMar w:left="440" w:top="293"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4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1014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22"/>
                <w:szCs w:val="22"/>
                <w:color w:val="auto"/>
              </w:rPr>
            </w:pPr>
          </w:p>
        </w:tc>
        <w:tc>
          <w:tcPr>
            <w:tcW w:w="1014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0000EE"/>
              </w:rPr>
              <w:t>Form of Series C Common Warrant</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24"/>
                <w:szCs w:val="24"/>
                <w:color w:val="auto"/>
              </w:rPr>
            </w:pPr>
          </w:p>
        </w:tc>
        <w:tc>
          <w:tcPr>
            <w:tcW w:w="256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Form of Pre-funded Warrant</w:t>
            </w:r>
          </w:p>
        </w:tc>
        <w:tc>
          <w:tcPr>
            <w:tcW w:w="75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tcPr>
          <w:p>
            <w:pPr>
              <w:spacing w:after="0"/>
              <w:rPr>
                <w:sz w:val="24"/>
                <w:szCs w:val="24"/>
                <w:color w:val="auto"/>
              </w:rPr>
            </w:pPr>
          </w:p>
        </w:tc>
        <w:tc>
          <w:tcPr>
            <w:tcW w:w="20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Opinion of Cooley LLP</w:t>
            </w:r>
          </w:p>
        </w:tc>
        <w:tc>
          <w:tcPr>
            <w:tcW w:w="8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24"/>
                <w:szCs w:val="24"/>
                <w:color w:val="auto"/>
              </w:rPr>
            </w:pPr>
          </w:p>
        </w:tc>
        <w:tc>
          <w:tcPr>
            <w:tcW w:w="46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Form of Securities Purchase Agreement, dated October 15, 2024</w:t>
            </w:r>
          </w:p>
        </w:tc>
        <w:tc>
          <w:tcPr>
            <w:tcW w:w="5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20" w:type="dxa"/>
            <w:vAlign w:val="bottom"/>
          </w:tcPr>
          <w:p>
            <w:pPr>
              <w:spacing w:after="0"/>
              <w:rPr>
                <w:sz w:val="24"/>
                <w:szCs w:val="24"/>
                <w:color w:val="auto"/>
              </w:rPr>
            </w:pPr>
          </w:p>
        </w:tc>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Consent of Cooley LLP (contained in Exhibit 5.1)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0" w:type="dxa"/>
            <w:vAlign w:val="bottom"/>
            <w:gridSpan w:val="4"/>
            <w:shd w:val="clear" w:color="auto" w:fill="0000EE"/>
          </w:tcPr>
          <w:p>
            <w:pPr>
              <w:spacing w:after="0" w:line="20" w:lineRule="exact"/>
              <w:rPr>
                <w:sz w:val="1"/>
                <w:szCs w:val="1"/>
                <w:color w:val="auto"/>
              </w:rPr>
            </w:pPr>
          </w:p>
        </w:tc>
        <w:tc>
          <w:tcPr>
            <w:tcW w:w="6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3" w:right="43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October 16,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Svai Sanford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260"/>
          </w:cols>
          <w:pgMar w:left="440" w:top="293" w:right="1199" w:bottom="1440" w:gutter="0" w:footer="0" w:header="0"/>
        </w:sectPr>
      </w:pPr>
    </w:p>
    <w:bookmarkStart w:id="4" w:name="page5"/>
    <w:bookmarkEnd w:id="4"/>
    <w:p>
      <w:pPr>
        <w:ind w:left="1018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SERIES C COMMON STOCK PURCHASE WARRANT</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ectPr>
          <w:pgSz w:w="11900" w:h="16838" w:orient="portrait"/>
          <w:cols w:equalWidth="0" w:num="1">
            <w:col w:w="11020"/>
          </w:cols>
          <w:pgMar w:left="440" w:top="117" w:right="439" w:bottom="1440" w:gutter="0" w:footer="0" w:header="0"/>
        </w:sect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 _______</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Issuance Date: October  </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2024</w:t>
      </w:r>
    </w:p>
    <w:p>
      <w:pPr>
        <w:spacing w:after="0" w:line="200" w:lineRule="exact"/>
        <w:rPr>
          <w:sz w:val="20"/>
          <w:szCs w:val="20"/>
          <w:color w:val="auto"/>
        </w:rPr>
      </w:pPr>
    </w:p>
    <w:p>
      <w:pPr>
        <w:sectPr>
          <w:pgSz w:w="11900" w:h="16838" w:orient="portrait"/>
          <w:cols w:equalWidth="0" w:num="3">
            <w:col w:w="5020" w:space="720"/>
            <w:col w:w="1760" w:space="140"/>
            <w:col w:w="3380"/>
          </w:cols>
          <w:pgMar w:left="440" w:top="117" w:right="439" w:bottom="1440" w:gutter="0" w:footer="0" w:header="0"/>
          <w:type w:val="continuous"/>
        </w:sectPr>
      </w:pPr>
    </w:p>
    <w:p>
      <w:pPr>
        <w:spacing w:after="0" w:line="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SERIES C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_____________ or its</w:t>
      </w:r>
    </w:p>
    <w:p>
      <w:pPr>
        <w:spacing w:after="0" w:line="2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date hereof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October __, 2029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Rani Therapeutics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______ shares of</w:t>
      </w:r>
    </w:p>
    <w:p>
      <w:pPr>
        <w:spacing w:after="0" w:line="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Common Stock (as subject to 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The purchase price of one share of Common Stock under this Warrant shall be equal to the Exercise Price, as defined in Section 2(b).</w:t>
      </w:r>
    </w:p>
    <w:p>
      <w:pPr>
        <w:spacing w:after="0" w:line="181" w:lineRule="exact"/>
        <w:rPr>
          <w:sz w:val="20"/>
          <w:szCs w:val="20"/>
          <w:color w:val="auto"/>
        </w:rPr>
      </w:pPr>
    </w:p>
    <w:p>
      <w:pPr>
        <w:ind w:right="680" w:firstLine="440"/>
        <w:spacing w:after="0" w:line="312" w:lineRule="auto"/>
        <w:rPr>
          <w:sz w:val="20"/>
          <w:szCs w:val="20"/>
          <w:color w:val="auto"/>
        </w:rPr>
      </w:pPr>
      <w:r>
        <w:rPr>
          <w:rFonts w:ascii="Times New Roman" w:cs="Times New Roman" w:eastAsia="Times New Roman" w:hAnsi="Times New Roman"/>
          <w:sz w:val="17"/>
          <w:szCs w:val="17"/>
          <w:u w:val="single" w:color="auto"/>
          <w:color w:val="auto"/>
        </w:rPr>
        <w:t>Section 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7"/>
          <w:szCs w:val="17"/>
          <w:u w:val="single" w:color="auto"/>
          <w:color w:val="auto"/>
        </w:rPr>
        <w:t>Purchase Agreement</w:t>
      </w:r>
      <w:r>
        <w:rPr>
          <w:rFonts w:ascii="Times New Roman" w:cs="Times New Roman" w:eastAsia="Times New Roman" w:hAnsi="Times New Roman"/>
          <w:sz w:val="17"/>
          <w:szCs w:val="17"/>
          <w:color w:val="auto"/>
        </w:rPr>
        <w:t>”), dated October 15, 2024, among the Company and the purchasers signatory thereto.</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40" w:firstLine="419"/>
        <w:spacing w:after="0" w:line="253" w:lineRule="auto"/>
        <w:tabs>
          <w:tab w:leader="none" w:pos="104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w:t>
      </w:r>
    </w:p>
    <w:p>
      <w:pPr>
        <w:sectPr>
          <w:pgSz w:w="11900" w:h="16838" w:orient="portrait"/>
          <w:cols w:equalWidth="0" w:num="1">
            <w:col w:w="11020"/>
          </w:cols>
          <w:pgMar w:left="440" w:top="117" w:right="439" w:bottom="1440" w:gutter="0" w:footer="0" w:header="0"/>
          <w:type w:val="continuous"/>
        </w:sectPr>
      </w:pPr>
    </w:p>
    <w:bookmarkStart w:id="5" w:name="page6"/>
    <w:bookmarkEnd w:id="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8"/>
          <w:szCs w:val="18"/>
          <w:b w:val="1"/>
          <w:bCs w:val="1"/>
          <w:color w:val="auto"/>
        </w:rPr>
        <w:t>The Holder and any assignee, by acceptance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75" w:lineRule="exact"/>
        <w:rPr>
          <w:sz w:val="20"/>
          <w:szCs w:val="20"/>
          <w:color w:val="auto"/>
        </w:rPr>
      </w:pPr>
    </w:p>
    <w:p>
      <w:pPr>
        <w:ind w:right="120" w:firstLine="419"/>
        <w:spacing w:after="0" w:line="261" w:lineRule="auto"/>
        <w:tabs>
          <w:tab w:leader="none" w:pos="61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of Common Stock under this Warrant shall be $3.00,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may only be paid in cash, unless at the time of exercise there is no effective registration statement registering and the prospectus contained therein is not available for the issuance of the Warrant Shares to the Holder, then this Warrant may only be exercised pursuant to the “cashless exercise” provisions of Section 2(c) below.</w:t>
      </w:r>
    </w:p>
    <w:p>
      <w:pPr>
        <w:spacing w:after="0" w:line="71" w:lineRule="exact"/>
        <w:rPr>
          <w:rFonts w:ascii="Times New Roman" w:cs="Times New Roman" w:eastAsia="Times New Roman" w:hAnsi="Times New Roman"/>
          <w:sz w:val="18"/>
          <w:szCs w:val="18"/>
          <w:color w:val="auto"/>
        </w:rPr>
      </w:pPr>
    </w:p>
    <w:p>
      <w:pPr>
        <w:ind w:right="60" w:firstLine="419"/>
        <w:spacing w:after="0" w:line="261" w:lineRule="auto"/>
        <w:tabs>
          <w:tab w:leader="none" w:pos="6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and the prospectus contained therein is not available for the issuance of the Warrant Shares to the Holder, then this Warrant may only be exercised, in whole or in part, at such time by means of a “cashless exercise” in which the Holder shall be entitled to receive a number of Warrant Shares equal to the quotient obtained by dividing [(A-B) (X)] by (A), where:</w:t>
      </w:r>
    </w:p>
    <w:p>
      <w:pPr>
        <w:spacing w:after="0" w:line="85" w:lineRule="exact"/>
        <w:rPr>
          <w:sz w:val="20"/>
          <w:szCs w:val="20"/>
          <w:color w:val="auto"/>
        </w:rPr>
      </w:pPr>
    </w:p>
    <w:p>
      <w:pPr>
        <w:ind w:left="980" w:hanging="431"/>
        <w:spacing w:after="0" w:line="253" w:lineRule="auto"/>
        <w:rPr>
          <w:sz w:val="20"/>
          <w:szCs w:val="20"/>
          <w:color w:val="auto"/>
        </w:rPr>
      </w:pPr>
      <w:r>
        <w:rPr>
          <w:rFonts w:ascii="Times New Roman" w:cs="Times New Roman" w:eastAsia="Times New Roman" w:hAnsi="Times New Roman"/>
          <w:sz w:val="18"/>
          <w:szCs w:val="18"/>
          <w:color w:val="auto"/>
        </w:rPr>
        <w:t>(A) = as applicable: (i) the VWAP (as defined below)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 = the Exercise Price of this Warrant, as adjusted hereunder; and</w:t>
      </w:r>
    </w:p>
    <w:p>
      <w:pPr>
        <w:spacing w:after="0" w:line="131" w:lineRule="exact"/>
        <w:rPr>
          <w:sz w:val="20"/>
          <w:szCs w:val="20"/>
          <w:color w:val="auto"/>
        </w:rPr>
      </w:pPr>
    </w:p>
    <w:p>
      <w:pPr>
        <w:ind w:left="980" w:right="180" w:hanging="431"/>
        <w:spacing w:after="0" w:line="282" w:lineRule="auto"/>
        <w:rPr>
          <w:sz w:val="20"/>
          <w:szCs w:val="20"/>
          <w:color w:val="auto"/>
        </w:rPr>
      </w:pPr>
      <w:r>
        <w:rPr>
          <w:rFonts w:ascii="Times New Roman" w:cs="Times New Roman" w:eastAsia="Times New Roman" w:hAnsi="Times New Roman"/>
          <w:sz w:val="18"/>
          <w:szCs w:val="18"/>
          <w:color w:val="auto"/>
        </w:rPr>
        <w:t>(X) = the number of Warrant Shares that would be issuable upon exercise of this Warrant in accordance with the terms of this Warrant if such exercise were by means of a cash exercise rather than a cashless exercise.</w:t>
      </w:r>
    </w:p>
    <w:p>
      <w:pPr>
        <w:sectPr>
          <w:pgSz w:w="11900" w:h="16838" w:orient="portrait"/>
          <w:cols w:equalWidth="0" w:num="1">
            <w:col w:w="10500"/>
          </w:cols>
          <w:pgMar w:left="880" w:top="270" w:right="519" w:bottom="1440" w:gutter="0" w:footer="0" w:header="0"/>
        </w:sectPr>
      </w:pPr>
    </w:p>
    <w:bookmarkStart w:id="6" w:name="page7"/>
    <w:bookmarkEnd w:id="6"/>
    <w:p>
      <w:pPr>
        <w:ind w:left="4" w:firstLine="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68" w:lineRule="exact"/>
        <w:rPr>
          <w:sz w:val="20"/>
          <w:szCs w:val="20"/>
          <w:color w:val="auto"/>
        </w:rPr>
      </w:pPr>
    </w:p>
    <w:p>
      <w:pPr>
        <w:ind w:left="4" w:right="180" w:firstLine="42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Venture Market (“</w:t>
      </w:r>
      <w:r>
        <w:rPr>
          <w:rFonts w:ascii="Times New Roman" w:cs="Times New Roman" w:eastAsia="Times New Roman" w:hAnsi="Times New Roman"/>
          <w:sz w:val="18"/>
          <w:szCs w:val="18"/>
          <w:u w:val="single" w:color="auto"/>
          <w:color w:val="auto"/>
        </w:rPr>
        <w:t>OTCQB</w:t>
      </w:r>
      <w:r>
        <w:rPr>
          <w:rFonts w:ascii="Times New Roman" w:cs="Times New Roman" w:eastAsia="Times New Roman" w:hAnsi="Times New Roman"/>
          <w:sz w:val="18"/>
          <w:szCs w:val="18"/>
          <w:color w:val="auto"/>
        </w:rPr>
        <w:t>”) or OTCQX Best Market (“</w:t>
      </w:r>
      <w:r>
        <w:rPr>
          <w:rFonts w:ascii="Times New Roman" w:cs="Times New Roman" w:eastAsia="Times New Roman" w:hAnsi="Times New Roman"/>
          <w:sz w:val="18"/>
          <w:szCs w:val="18"/>
          <w:u w:val="single" w:color="auto"/>
          <w:color w:val="auto"/>
        </w:rPr>
        <w:t>OTCQX</w:t>
      </w:r>
      <w:r>
        <w:rPr>
          <w:rFonts w:ascii="Times New Roman" w:cs="Times New Roman" w:eastAsia="Times New Roman" w:hAnsi="Times New Roman"/>
          <w:sz w:val="18"/>
          <w:szCs w:val="18"/>
          <w:color w:val="auto"/>
        </w:rPr>
        <w:t>”)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86" w:lineRule="exact"/>
        <w:rPr>
          <w:sz w:val="20"/>
          <w:szCs w:val="20"/>
          <w:color w:val="auto"/>
        </w:rPr>
      </w:pPr>
    </w:p>
    <w:p>
      <w:pPr>
        <w:ind w:left="4" w:right="20" w:firstLine="42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w:t>
      </w:r>
      <w:r>
        <w:rPr>
          <w:rFonts w:ascii="Times New Roman" w:cs="Times New Roman" w:eastAsia="Times New Roman" w:hAnsi="Times New Roman"/>
          <w:sz w:val="18"/>
          <w:szCs w:val="18"/>
          <w:u w:val="single" w:color="auto"/>
          <w:color w:val="auto"/>
        </w:rPr>
        <w:t>Pink Market</w:t>
      </w:r>
      <w:r>
        <w:rPr>
          <w:rFonts w:ascii="Times New Roman" w:cs="Times New Roman" w:eastAsia="Times New Roman" w:hAnsi="Times New Roman"/>
          <w:sz w:val="18"/>
          <w:szCs w:val="18"/>
          <w:color w:val="auto"/>
        </w:rPr>
        <w: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86" w:lineRule="exact"/>
        <w:rPr>
          <w:sz w:val="20"/>
          <w:szCs w:val="20"/>
          <w:color w:val="auto"/>
        </w:rPr>
      </w:pPr>
    </w:p>
    <w:p>
      <w:pPr>
        <w:ind w:left="4" w:right="220" w:firstLine="423"/>
        <w:spacing w:after="0" w:line="282" w:lineRule="auto"/>
        <w:rPr>
          <w:sz w:val="20"/>
          <w:szCs w:val="20"/>
          <w:color w:val="auto"/>
        </w:rPr>
      </w:pPr>
      <w:r>
        <w:rPr>
          <w:rFonts w:ascii="Times New Roman" w:cs="Times New Roman" w:eastAsia="Times New Roman" w:hAnsi="Times New Roman"/>
          <w:sz w:val="18"/>
          <w:szCs w:val="18"/>
          <w:color w:val="auto"/>
        </w:rPr>
        <w:t>Notwithstanding anything herein to the contrary, on the Termination Date, in the event this Section 2(c) is applicable this Warrant shall be automatically exercised via cashless exercise pursuant to this Section 2(c).</w:t>
      </w:r>
    </w:p>
    <w:p>
      <w:pPr>
        <w:spacing w:after="0" w:line="54" w:lineRule="exact"/>
        <w:rPr>
          <w:sz w:val="20"/>
          <w:szCs w:val="20"/>
          <w:color w:val="auto"/>
        </w:rPr>
      </w:pPr>
    </w:p>
    <w:p>
      <w:pPr>
        <w:ind w:left="204" w:hanging="204"/>
        <w:spacing w:after="0"/>
        <w:tabs>
          <w:tab w:leader="none" w:pos="20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ectPr>
          <w:pgSz w:w="11900" w:h="16838" w:orient="portrait"/>
          <w:cols w:equalWidth="0" w:num="1">
            <w:col w:w="10564"/>
          </w:cols>
          <w:pgMar w:left="876" w:top="270" w:right="459" w:bottom="1440" w:gutter="0" w:footer="0" w:header="0"/>
        </w:sectPr>
      </w:pPr>
    </w:p>
    <w:bookmarkStart w:id="7" w:name="page8"/>
    <w:bookmarkEnd w:id="7"/>
    <w:p>
      <w:pPr>
        <w:ind w:left="420" w:firstLine="383"/>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 </w:t>
      </w: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aggregate Exercise Price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80" w:lineRule="exact"/>
        <w:rPr>
          <w:sz w:val="20"/>
          <w:szCs w:val="20"/>
          <w:color w:val="auto"/>
        </w:rPr>
      </w:pPr>
    </w:p>
    <w:p>
      <w:pPr>
        <w:ind w:left="420" w:firstLine="391"/>
        <w:spacing w:after="0" w:line="261" w:lineRule="auto"/>
        <w:tabs>
          <w:tab w:leader="none" w:pos="9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ectPr>
          <w:pgSz w:w="11900" w:h="16838" w:orient="portrait"/>
          <w:cols w:equalWidth="0" w:num="1">
            <w:col w:w="10000"/>
          </w:cols>
          <w:pgMar w:left="1440" w:top="270" w:right="459" w:bottom="1440" w:gutter="0" w:footer="0" w:header="0"/>
        </w:sectPr>
      </w:pPr>
    </w:p>
    <w:bookmarkStart w:id="8" w:name="page9"/>
    <w:bookmarkEnd w:id="8"/>
    <w:p>
      <w:pPr>
        <w:ind w:left="420" w:firstLine="391"/>
        <w:spacing w:after="0" w:line="282" w:lineRule="auto"/>
        <w:tabs>
          <w:tab w:leader="none" w:pos="10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53" w:lineRule="exact"/>
        <w:rPr>
          <w:rFonts w:ascii="Times New Roman" w:cs="Times New Roman" w:eastAsia="Times New Roman" w:hAnsi="Times New Roman"/>
          <w:sz w:val="18"/>
          <w:szCs w:val="18"/>
          <w:color w:val="auto"/>
        </w:rPr>
      </w:pPr>
    </w:p>
    <w:p>
      <w:pPr>
        <w:ind w:left="420" w:right="40" w:firstLine="391"/>
        <w:spacing w:after="0" w:line="252" w:lineRule="auto"/>
        <w:tabs>
          <w:tab w:leader="none" w:pos="102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81" w:lineRule="exact"/>
        <w:rPr>
          <w:rFonts w:ascii="Times New Roman" w:cs="Times New Roman" w:eastAsia="Times New Roman" w:hAnsi="Times New Roman"/>
          <w:sz w:val="18"/>
          <w:szCs w:val="18"/>
          <w:color w:val="auto"/>
        </w:rPr>
      </w:pPr>
    </w:p>
    <w:p>
      <w:pPr>
        <w:ind w:left="420" w:firstLine="391"/>
        <w:spacing w:after="0" w:line="261" w:lineRule="auto"/>
        <w:tabs>
          <w:tab w:leader="none" w:pos="97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ectPr>
          <w:pgSz w:w="11900" w:h="16838" w:orient="portrait"/>
          <w:cols w:equalWidth="0" w:num="1">
            <w:col w:w="10000"/>
          </w:cols>
          <w:pgMar w:left="1440" w:top="270" w:right="459" w:bottom="1440" w:gutter="0" w:footer="0" w:header="0"/>
        </w:sectPr>
      </w:pPr>
    </w:p>
    <w:bookmarkStart w:id="9" w:name="page10"/>
    <w:bookmarkEnd w:id="9"/>
    <w:p>
      <w:pPr>
        <w:ind w:left="992" w:firstLine="391"/>
        <w:spacing w:after="0" w:line="254" w:lineRule="auto"/>
        <w:tabs>
          <w:tab w:leader="none" w:pos="160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80" w:lineRule="exact"/>
        <w:rPr>
          <w:rFonts w:ascii="Times New Roman" w:cs="Times New Roman" w:eastAsia="Times New Roman" w:hAnsi="Times New Roman"/>
          <w:sz w:val="18"/>
          <w:szCs w:val="18"/>
          <w:color w:val="auto"/>
        </w:rPr>
      </w:pPr>
    </w:p>
    <w:p>
      <w:pPr>
        <w:ind w:left="992" w:right="180" w:firstLine="391"/>
        <w:spacing w:after="0" w:line="282" w:lineRule="auto"/>
        <w:tabs>
          <w:tab w:leader="none" w:pos="165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67" w:lineRule="exact"/>
        <w:rPr>
          <w:rFonts w:ascii="Times New Roman" w:cs="Times New Roman" w:eastAsia="Times New Roman" w:hAnsi="Times New Roman"/>
          <w:sz w:val="18"/>
          <w:szCs w:val="18"/>
          <w:color w:val="auto"/>
        </w:rPr>
      </w:pPr>
    </w:p>
    <w:p>
      <w:pPr>
        <w:ind w:left="532" w:right="40" w:hanging="532"/>
        <w:spacing w:after="0" w:line="267" w:lineRule="auto"/>
        <w:tabs>
          <w:tab w:leader="none" w:pos="532"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Exercise Limitations</w:t>
      </w:r>
      <w:r>
        <w:rPr>
          <w:rFonts w:ascii="Times New Roman" w:cs="Times New Roman" w:eastAsia="Times New Roman" w:hAnsi="Times New Roman"/>
          <w:sz w:val="17"/>
          <w:szCs w:val="17"/>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7"/>
          <w:szCs w:val="17"/>
          <w:u w:val="single" w:color="auto"/>
          <w:color w:val="auto"/>
        </w:rPr>
        <w:t>Attribution Parties</w:t>
      </w:r>
      <w:r>
        <w:rPr>
          <w:rFonts w:ascii="Times New Roman" w:cs="Times New Roman" w:eastAsia="Times New Roman" w:hAnsi="Times New Roman"/>
          <w:sz w:val="17"/>
          <w:szCs w:val="17"/>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w:t>
      </w:r>
    </w:p>
    <w:p>
      <w:pPr>
        <w:spacing w:after="0" w:line="2" w:lineRule="exact"/>
        <w:rPr>
          <w:rFonts w:ascii="Times New Roman" w:cs="Times New Roman" w:eastAsia="Times New Roman" w:hAnsi="Times New Roman"/>
          <w:sz w:val="17"/>
          <w:szCs w:val="17"/>
          <w:color w:val="auto"/>
        </w:rPr>
      </w:pPr>
    </w:p>
    <w:p>
      <w:pPr>
        <w:ind w:left="532" w:right="6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w:t>
      </w:r>
    </w:p>
    <w:p>
      <w:pPr>
        <w:sectPr>
          <w:pgSz w:w="11900" w:h="16838" w:orient="portrait"/>
          <w:cols w:equalWidth="0" w:num="1">
            <w:col w:w="10552"/>
          </w:cols>
          <w:pgMar w:left="868" w:top="270" w:right="479" w:bottom="1440" w:gutter="0" w:footer="0" w:header="0"/>
        </w:sectPr>
      </w:pPr>
    </w:p>
    <w:bookmarkStart w:id="10" w:name="page11"/>
    <w:bookmarkEnd w:id="10"/>
    <w:p>
      <w:pPr>
        <w:ind w:left="5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firstLine="408"/>
        <w:spacing w:after="0" w:line="253" w:lineRule="auto"/>
        <w:tabs>
          <w:tab w:leader="none" w:pos="11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ectPr>
          <w:pgSz w:w="11900" w:h="16838" w:orient="portrait"/>
          <w:cols w:equalWidth="0" w:num="1">
            <w:col w:w="10560"/>
          </w:cols>
          <w:pgMar w:left="880" w:top="270" w:right="459" w:bottom="1440" w:gutter="0" w:footer="0" w:header="0"/>
        </w:sectPr>
      </w:pPr>
    </w:p>
    <w:bookmarkStart w:id="11" w:name="page12"/>
    <w:bookmarkEnd w:id="11"/>
    <w:p>
      <w:pPr>
        <w:ind w:left="-20" w:right="40" w:firstLine="408"/>
        <w:spacing w:after="0" w:line="253" w:lineRule="auto"/>
        <w:tabs>
          <w:tab w:leader="none" w:pos="5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81" w:lineRule="exact"/>
        <w:rPr>
          <w:rFonts w:ascii="Times New Roman" w:cs="Times New Roman" w:eastAsia="Times New Roman" w:hAnsi="Times New Roman"/>
          <w:sz w:val="18"/>
          <w:szCs w:val="18"/>
          <w:color w:val="auto"/>
        </w:rPr>
      </w:pPr>
    </w:p>
    <w:p>
      <w:pPr>
        <w:ind w:left="-20" w:firstLine="408"/>
        <w:spacing w:after="0" w:line="252" w:lineRule="auto"/>
        <w:tabs>
          <w:tab w:leader="none" w:pos="5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Distribution shall be held in abeyance for the benefit of the Holder until the Holder has exercised this Warrant.</w:t>
      </w:r>
    </w:p>
    <w:p>
      <w:pPr>
        <w:sectPr>
          <w:pgSz w:w="11900" w:h="16838" w:orient="portrait"/>
          <w:cols w:equalWidth="0" w:num="1">
            <w:col w:w="10000"/>
          </w:cols>
          <w:pgMar w:left="1440" w:top="270" w:right="459" w:bottom="1440" w:gutter="0" w:footer="0" w:header="0"/>
        </w:sectPr>
      </w:pPr>
    </w:p>
    <w:bookmarkStart w:id="12" w:name="page13"/>
    <w:bookmarkEnd w:id="12"/>
    <w:p>
      <w:pPr>
        <w:ind w:left="-7" w:right="20" w:firstLine="408"/>
        <w:spacing w:after="0" w:line="252" w:lineRule="auto"/>
        <w:tabs>
          <w:tab w:leader="none" w:pos="58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shares of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w:t>
      </w:r>
    </w:p>
    <w:p>
      <w:pPr>
        <w:spacing w:after="0" w:line="6" w:lineRule="exact"/>
        <w:rPr>
          <w:rFonts w:ascii="Times New Roman" w:cs="Times New Roman" w:eastAsia="Times New Roman" w:hAnsi="Times New Roman"/>
          <w:sz w:val="18"/>
          <w:szCs w:val="18"/>
          <w:color w:val="auto"/>
        </w:rPr>
      </w:pPr>
    </w:p>
    <w:p>
      <w:pPr>
        <w:ind w:left="-7" w:firstLine="7"/>
        <w:spacing w:after="0" w:line="250" w:lineRule="auto"/>
        <w:tabs>
          <w:tab w:leader="none" w:pos="24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(which, for the avoidance of doubt, shall not include transactions consummated by the Company for the principal purpose of raising capital for the Company) (each a “</w:t>
      </w:r>
      <w:r>
        <w:rPr>
          <w:rFonts w:ascii="Times New Roman" w:cs="Times New Roman" w:eastAsia="Times New Roman" w:hAnsi="Times New Roman"/>
          <w:sz w:val="18"/>
          <w:szCs w:val="18"/>
          <w:u w:val="single" w:color="auto"/>
          <w:color w:val="auto"/>
        </w:rPr>
        <w:t>Fundamental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Holder shall, at the Holder’s option, exercisable at any time concurrently with, or within 30 days after, the consummation of the Fundamental Transaction (or, if later, the date of the public announcement of the applicable Fundamental Transaction)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w:t>
      </w:r>
    </w:p>
    <w:p>
      <w:pPr>
        <w:sectPr>
          <w:pgSz w:w="11900" w:h="16838" w:orient="portrait"/>
          <w:cols w:equalWidth="0" w:num="1">
            <w:col w:w="10033"/>
          </w:cols>
          <w:pgMar w:left="1427" w:top="270" w:right="439" w:bottom="1440" w:gutter="0" w:footer="0" w:header="0"/>
        </w:sectPr>
      </w:pPr>
    </w:p>
    <w:bookmarkStart w:id="13" w:name="page14"/>
    <w:bookmarkEnd w:id="13"/>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Stock are given the choice to receive from among alternative forms of consideration in connection with the Fundamental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 “</w:t>
      </w:r>
      <w:r>
        <w:rPr>
          <w:rFonts w:ascii="Times New Roman" w:cs="Times New Roman" w:eastAsia="Times New Roman" w:hAnsi="Times New Roman"/>
          <w:sz w:val="18"/>
          <w:szCs w:val="18"/>
          <w:u w:val="single" w:color="auto"/>
          <w:color w:val="auto"/>
        </w:rPr>
        <w:t>Black Scholes Value</w:t>
      </w:r>
      <w:r>
        <w:rPr>
          <w:rFonts w:ascii="Times New Roman" w:cs="Times New Roman" w:eastAsia="Times New Roman" w:hAnsi="Times New Roman"/>
          <w:sz w:val="18"/>
          <w:szCs w:val="18"/>
          <w:color w:val="auto"/>
        </w:rPr>
        <w:t>” means the value of this Warrant based on the Black-Scholes Option Pricing Model obtained from the “OV” function on Bloomberg determined as of the day of consummation of the applicable contemplated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the 100 day volatility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sum of the price per share being offered in cash, if any, plus the value of any non-cash consideration, if any, being offered in such Fundamental Transaction and, (D) a remaining option time equal to the time between the date of the public announcement of the applicable contemplated Fundamental Transaction and the Termination Date and (E) a zero cost of borrow.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w:t>
      </w:r>
    </w:p>
    <w:p>
      <w:pPr>
        <w:sectPr>
          <w:pgSz w:w="11900" w:h="16838" w:orient="portrait"/>
          <w:cols w:equalWidth="0" w:num="1">
            <w:col w:w="10020"/>
          </w:cols>
          <w:pgMar w:left="1420" w:top="270" w:right="459" w:bottom="1440" w:gutter="0" w:footer="0" w:header="0"/>
        </w:sectPr>
      </w:pPr>
    </w:p>
    <w:bookmarkStart w:id="14" w:name="page15"/>
    <w:bookmarkEnd w:id="14"/>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shares of Common Stock for the issuance of Warrant Shares and/or (ii) whether a Fundamental Transaction occurs prior to the Initial Exercise Date.</w:t>
      </w:r>
    </w:p>
    <w:p>
      <w:pPr>
        <w:spacing w:after="0" w:line="72" w:lineRule="exact"/>
        <w:rPr>
          <w:sz w:val="20"/>
          <w:szCs w:val="20"/>
          <w:color w:val="auto"/>
        </w:rPr>
      </w:pPr>
    </w:p>
    <w:p>
      <w:pPr>
        <w:ind w:right="220" w:firstLine="408"/>
        <w:spacing w:after="0" w:line="266" w:lineRule="auto"/>
        <w:tabs>
          <w:tab w:leader="none" w:pos="5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67" w:lineRule="exact"/>
        <w:rPr>
          <w:rFonts w:ascii="Times New Roman" w:cs="Times New Roman" w:eastAsia="Times New Roman" w:hAnsi="Times New Roman"/>
          <w:sz w:val="18"/>
          <w:szCs w:val="18"/>
          <w:color w:val="auto"/>
        </w:rPr>
      </w:pPr>
    </w:p>
    <w:p>
      <w:pPr>
        <w:ind w:left="580" w:hanging="172"/>
        <w:spacing w:after="0"/>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40" w:right="460" w:firstLine="391"/>
        <w:spacing w:after="0" w:line="289" w:lineRule="auto"/>
        <w:tabs>
          <w:tab w:leader="none" w:pos="963"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to Exercise Price</w:t>
      </w:r>
      <w:r>
        <w:rPr>
          <w:rFonts w:ascii="Times New Roman" w:cs="Times New Roman" w:eastAsia="Times New Roman" w:hAnsi="Times New Roman"/>
          <w:sz w:val="17"/>
          <w:szCs w:val="17"/>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49" w:lineRule="exact"/>
        <w:rPr>
          <w:rFonts w:ascii="Times New Roman" w:cs="Times New Roman" w:eastAsia="Times New Roman" w:hAnsi="Times New Roman"/>
          <w:sz w:val="17"/>
          <w:szCs w:val="17"/>
          <w:color w:val="auto"/>
        </w:rPr>
      </w:pPr>
    </w:p>
    <w:p>
      <w:pPr>
        <w:ind w:left="440" w:firstLine="391"/>
        <w:spacing w:after="0" w:line="252" w:lineRule="auto"/>
        <w:tabs>
          <w:tab w:leader="none" w:pos="101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w:t>
      </w:r>
    </w:p>
    <w:p>
      <w:pPr>
        <w:sectPr>
          <w:pgSz w:w="11900" w:h="16838" w:orient="portrait"/>
          <w:cols w:equalWidth="0" w:num="1">
            <w:col w:w="10020"/>
          </w:cols>
          <w:pgMar w:left="1420" w:top="270" w:right="459" w:bottom="1440" w:gutter="0" w:footer="0" w:header="0"/>
        </w:sectPr>
      </w:pPr>
    </w:p>
    <w:bookmarkStart w:id="15" w:name="page16"/>
    <w:bookmarkEnd w:id="15"/>
    <w:p>
      <w:pPr>
        <w:ind w:left="9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81" w:lineRule="exact"/>
        <w:rPr>
          <w:sz w:val="20"/>
          <w:szCs w:val="20"/>
          <w:color w:val="auto"/>
        </w:rPr>
      </w:pPr>
    </w:p>
    <w:p>
      <w:pPr>
        <w:jc w:val="both"/>
        <w:ind w:right="40" w:firstLine="419"/>
        <w:spacing w:after="0" w:line="266" w:lineRule="auto"/>
        <w:tabs>
          <w:tab w:leader="none" w:pos="6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the rules and regulations of the Trading Market, the Company may at any time during the term of this Warrant reduce the then current Exercise Price to any amount and for any period of time deemed appropriate by the board of directors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53" w:lineRule="auto"/>
        <w:tabs>
          <w:tab w:leader="none" w:pos="60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83" w:lineRule="exact"/>
        <w:rPr>
          <w:rFonts w:ascii="Times New Roman" w:cs="Times New Roman" w:eastAsia="Times New Roman" w:hAnsi="Times New Roman"/>
          <w:sz w:val="18"/>
          <w:szCs w:val="18"/>
          <w:color w:val="auto"/>
        </w:rPr>
      </w:pPr>
    </w:p>
    <w:p>
      <w:pPr>
        <w:ind w:right="20" w:firstLine="419"/>
        <w:spacing w:after="0" w:line="256" w:lineRule="auto"/>
        <w:tabs>
          <w:tab w:leader="none" w:pos="61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Issuance Date of this Warrant and shall be identical with this Warrant except as to the number of Warrant Shares issuable pursuant thereto.</w:t>
      </w:r>
    </w:p>
    <w:p>
      <w:pPr>
        <w:sectPr>
          <w:pgSz w:w="11900" w:h="16838" w:orient="portrait"/>
          <w:cols w:equalWidth="0" w:num="1">
            <w:col w:w="10540"/>
          </w:cols>
          <w:pgMar w:left="880" w:top="270" w:right="479" w:bottom="1440" w:gutter="0" w:footer="0" w:header="0"/>
        </w:sectPr>
      </w:pPr>
    </w:p>
    <w:bookmarkStart w:id="16" w:name="page17"/>
    <w:bookmarkEnd w:id="16"/>
    <w:p>
      <w:pPr>
        <w:ind w:firstLine="419"/>
        <w:spacing w:after="0" w:line="261" w:lineRule="auto"/>
        <w:tabs>
          <w:tab w:leader="none" w:pos="6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419"/>
        <w:spacing w:after="0" w:line="281" w:lineRule="auto"/>
        <w:tabs>
          <w:tab w:leader="none" w:pos="608"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Rights as Stockholder Until Exercise; No Settlement in Cash</w:t>
      </w:r>
      <w:r>
        <w:rPr>
          <w:rFonts w:ascii="Times New Roman" w:cs="Times New Roman" w:eastAsia="Times New Roman" w:hAnsi="Times New Roman"/>
          <w:sz w:val="17"/>
          <w:szCs w:val="17"/>
          <w:color w:val="auto"/>
        </w:rPr>
        <w:t xml:space="preserve">.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w:t>
      </w:r>
      <w:r>
        <w:rPr>
          <w:rFonts w:ascii="Times New Roman" w:cs="Times New Roman" w:eastAsia="Times New Roman" w:hAnsi="Times New Roman"/>
          <w:sz w:val="17"/>
          <w:szCs w:val="17"/>
          <w:b w:val="1"/>
          <w:bCs w:val="1"/>
          <w:color w:val="auto"/>
        </w:rPr>
        <w:t>in no event shall the Company be required to net cash settle this Warrant</w:t>
      </w:r>
      <w:r>
        <w:rPr>
          <w:rFonts w:ascii="Times New Roman" w:cs="Times New Roman" w:eastAsia="Times New Roman" w:hAnsi="Times New Roman"/>
          <w:sz w:val="17"/>
          <w:szCs w:val="17"/>
          <w:color w:val="auto"/>
        </w:rPr>
        <w:t>.</w:t>
      </w:r>
    </w:p>
    <w:p>
      <w:pPr>
        <w:spacing w:after="0" w:line="56" w:lineRule="exact"/>
        <w:rPr>
          <w:rFonts w:ascii="Times New Roman" w:cs="Times New Roman" w:eastAsia="Times New Roman" w:hAnsi="Times New Roman"/>
          <w:sz w:val="17"/>
          <w:szCs w:val="17"/>
          <w:color w:val="auto"/>
        </w:rPr>
      </w:pPr>
    </w:p>
    <w:p>
      <w:pPr>
        <w:ind w:right="160" w:firstLine="419"/>
        <w:spacing w:after="0" w:line="258" w:lineRule="auto"/>
        <w:tabs>
          <w:tab w:leader="none" w:pos="61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75" w:lineRule="exact"/>
        <w:rPr>
          <w:rFonts w:ascii="Times New Roman" w:cs="Times New Roman" w:eastAsia="Times New Roman" w:hAnsi="Times New Roman"/>
          <w:sz w:val="18"/>
          <w:szCs w:val="18"/>
          <w:color w:val="auto"/>
        </w:rPr>
      </w:pPr>
    </w:p>
    <w:p>
      <w:pPr>
        <w:ind w:right="380" w:firstLine="419"/>
        <w:spacing w:after="0" w:line="312" w:lineRule="auto"/>
        <w:tabs>
          <w:tab w:leader="none" w:pos="608"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Saturdays, Sundays, Holidays, etc</w:t>
      </w:r>
      <w:r>
        <w:rPr>
          <w:rFonts w:ascii="Times New Roman" w:cs="Times New Roman" w:eastAsia="Times New Roman" w:hAnsi="Times New Roman"/>
          <w:sz w:val="17"/>
          <w:szCs w:val="17"/>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31" w:lineRule="exact"/>
        <w:rPr>
          <w:rFonts w:ascii="Times New Roman" w:cs="Times New Roman" w:eastAsia="Times New Roman" w:hAnsi="Times New Roman"/>
          <w:sz w:val="17"/>
          <w:szCs w:val="17"/>
          <w:color w:val="auto"/>
        </w:rPr>
      </w:pPr>
    </w:p>
    <w:p>
      <w:pPr>
        <w:ind w:left="620" w:hanging="201"/>
        <w:spacing w:after="0"/>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right="60" w:firstLine="902"/>
        <w:spacing w:after="0" w:line="255"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w:t>
      </w:r>
    </w:p>
    <w:p>
      <w:pPr>
        <w:sectPr>
          <w:pgSz w:w="11900" w:h="16838" w:orient="portrait"/>
          <w:cols w:equalWidth="0" w:num="1">
            <w:col w:w="10540"/>
          </w:cols>
          <w:pgMar w:left="880" w:top="270" w:right="479" w:bottom="1440" w:gutter="0" w:footer="0" w:header="0"/>
        </w:sectPr>
      </w:pPr>
    </w:p>
    <w:bookmarkStart w:id="17" w:name="page18"/>
    <w:bookmarkEnd w:id="17"/>
    <w:p>
      <w:pPr>
        <w:ind w:left="12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72" w:lineRule="exact"/>
        <w:rPr>
          <w:sz w:val="20"/>
          <w:szCs w:val="20"/>
          <w:color w:val="auto"/>
        </w:rPr>
      </w:pPr>
    </w:p>
    <w:p>
      <w:pPr>
        <w:ind w:left="121" w:right="180" w:firstLine="902"/>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86" w:lineRule="exact"/>
        <w:rPr>
          <w:sz w:val="20"/>
          <w:szCs w:val="20"/>
          <w:color w:val="auto"/>
        </w:rPr>
      </w:pPr>
    </w:p>
    <w:p>
      <w:pPr>
        <w:ind w:left="121" w:firstLine="902"/>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68" w:lineRule="exact"/>
        <w:rPr>
          <w:sz w:val="20"/>
          <w:szCs w:val="20"/>
          <w:color w:val="auto"/>
        </w:rPr>
      </w:pPr>
    </w:p>
    <w:p>
      <w:pPr>
        <w:ind w:left="-419" w:right="340" w:firstLine="419"/>
        <w:spacing w:after="0" w:line="282" w:lineRule="auto"/>
        <w:tabs>
          <w:tab w:leader="none" w:pos="18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53" w:lineRule="exact"/>
        <w:rPr>
          <w:rFonts w:ascii="Times New Roman" w:cs="Times New Roman" w:eastAsia="Times New Roman" w:hAnsi="Times New Roman"/>
          <w:sz w:val="18"/>
          <w:szCs w:val="18"/>
          <w:color w:val="auto"/>
        </w:rPr>
      </w:pPr>
    </w:p>
    <w:p>
      <w:pPr>
        <w:ind w:left="-419" w:right="480" w:firstLine="419"/>
        <w:spacing w:after="0" w:line="282" w:lineRule="auto"/>
        <w:tabs>
          <w:tab w:leader="none" w:pos="16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53" w:lineRule="exact"/>
        <w:rPr>
          <w:rFonts w:ascii="Times New Roman" w:cs="Times New Roman" w:eastAsia="Times New Roman" w:hAnsi="Times New Roman"/>
          <w:sz w:val="18"/>
          <w:szCs w:val="18"/>
          <w:color w:val="auto"/>
        </w:rPr>
      </w:pPr>
    </w:p>
    <w:p>
      <w:pPr>
        <w:ind w:left="-419" w:firstLine="419"/>
        <w:spacing w:after="0" w:line="256" w:lineRule="auto"/>
        <w:tabs>
          <w:tab w:leader="none" w:pos="19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ectPr>
          <w:pgSz w:w="11900" w:h="16838" w:orient="portrait"/>
          <w:cols w:equalWidth="0" w:num="1">
            <w:col w:w="10141"/>
          </w:cols>
          <w:pgMar w:left="1299" w:top="270" w:right="459" w:bottom="1440" w:gutter="0" w:footer="0" w:header="0"/>
        </w:sectPr>
      </w:pPr>
    </w:p>
    <w:bookmarkStart w:id="18" w:name="page19"/>
    <w:bookmarkEnd w:id="18"/>
    <w:p>
      <w:pPr>
        <w:ind w:right="380" w:firstLine="419"/>
        <w:spacing w:after="0" w:line="282" w:lineRule="auto"/>
        <w:tabs>
          <w:tab w:leader="none" w:pos="61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53" w:lineRule="exact"/>
        <w:rPr>
          <w:rFonts w:ascii="Times New Roman" w:cs="Times New Roman" w:eastAsia="Times New Roman" w:hAnsi="Times New Roman"/>
          <w:sz w:val="18"/>
          <w:szCs w:val="18"/>
          <w:color w:val="auto"/>
        </w:rPr>
      </w:pPr>
    </w:p>
    <w:p>
      <w:pPr>
        <w:jc w:val="both"/>
        <w:ind w:right="200" w:firstLine="419"/>
        <w:spacing w:after="0" w:line="261" w:lineRule="auto"/>
        <w:tabs>
          <w:tab w:leader="none" w:pos="57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71" w:lineRule="exact"/>
        <w:rPr>
          <w:rFonts w:ascii="Times New Roman" w:cs="Times New Roman" w:eastAsia="Times New Roman" w:hAnsi="Times New Roman"/>
          <w:sz w:val="18"/>
          <w:szCs w:val="18"/>
          <w:color w:val="auto"/>
        </w:rPr>
      </w:pPr>
    </w:p>
    <w:p>
      <w:pPr>
        <w:ind w:firstLine="419"/>
        <w:spacing w:after="0" w:line="261" w:lineRule="auto"/>
        <w:tabs>
          <w:tab w:leader="none" w:pos="57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71" w:lineRule="exact"/>
        <w:rPr>
          <w:rFonts w:ascii="Times New Roman" w:cs="Times New Roman" w:eastAsia="Times New Roman" w:hAnsi="Times New Roman"/>
          <w:sz w:val="18"/>
          <w:szCs w:val="18"/>
          <w:color w:val="auto"/>
        </w:rPr>
      </w:pPr>
    </w:p>
    <w:p>
      <w:pPr>
        <w:jc w:val="both"/>
        <w:ind w:firstLine="419"/>
        <w:spacing w:after="0" w:line="261" w:lineRule="auto"/>
        <w:tabs>
          <w:tab w:leader="none" w:pos="61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71" w:lineRule="exact"/>
        <w:rPr>
          <w:rFonts w:ascii="Times New Roman" w:cs="Times New Roman" w:eastAsia="Times New Roman" w:hAnsi="Times New Roman"/>
          <w:sz w:val="18"/>
          <w:szCs w:val="18"/>
          <w:color w:val="auto"/>
        </w:rPr>
      </w:pPr>
    </w:p>
    <w:p>
      <w:pPr>
        <w:ind w:left="580" w:hanging="161"/>
        <w:spacing w:after="0"/>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w:t>
      </w:r>
    </w:p>
    <w:p>
      <w:pPr>
        <w:spacing w:after="0" w:line="98" w:lineRule="exact"/>
        <w:rPr>
          <w:rFonts w:ascii="Times New Roman" w:cs="Times New Roman" w:eastAsia="Times New Roman" w:hAnsi="Times New Roman"/>
          <w:sz w:val="18"/>
          <w:szCs w:val="18"/>
          <w:color w:val="auto"/>
        </w:rPr>
      </w:pPr>
    </w:p>
    <w:p>
      <w:pPr>
        <w:ind w:right="20" w:firstLine="419"/>
        <w:spacing w:after="0" w:line="266" w:lineRule="auto"/>
        <w:tabs>
          <w:tab w:leader="none" w:pos="66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67" w:lineRule="exact"/>
        <w:rPr>
          <w:rFonts w:ascii="Times New Roman" w:cs="Times New Roman" w:eastAsia="Times New Roman" w:hAnsi="Times New Roman"/>
          <w:sz w:val="18"/>
          <w:szCs w:val="18"/>
          <w:color w:val="auto"/>
        </w:rPr>
      </w:pPr>
    </w:p>
    <w:p>
      <w:pPr>
        <w:ind w:right="40" w:firstLine="419"/>
        <w:spacing w:after="0" w:line="282" w:lineRule="auto"/>
        <w:tabs>
          <w:tab w:leader="none" w:pos="61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0560"/>
          </w:cols>
          <w:pgMar w:left="880" w:top="270" w:right="459" w:bottom="1440" w:gutter="0" w:footer="0" w:header="0"/>
        </w:sectPr>
      </w:pPr>
    </w:p>
    <w:bookmarkStart w:id="19" w:name="page20"/>
    <w:bookmarkEnd w:id="19"/>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Warrant to be executed by its officer thereunto duly authorized as of the date first above indicated.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Talat Imran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0980"/>
          </w:cols>
          <w:pgMar w:left="440" w:top="270" w:right="479" w:bottom="1440" w:gutter="0" w:footer="0" w:header="0"/>
        </w:sectPr>
      </w:pPr>
    </w:p>
    <w:bookmarkStart w:id="20" w:name="page21"/>
    <w:bookmarkEnd w:id="20"/>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EXERCISE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RANI THERAPEUTICS HOLDINGS, INC.</w:t>
      </w:r>
    </w:p>
    <w:p>
      <w:pPr>
        <w:spacing w:after="0" w:line="225" w:lineRule="exact"/>
        <w:rPr>
          <w:sz w:val="20"/>
          <w:szCs w:val="20"/>
          <w:color w:val="auto"/>
        </w:rPr>
      </w:pPr>
    </w:p>
    <w:p>
      <w:pPr>
        <w:ind w:firstLine="987"/>
        <w:spacing w:after="0" w:line="282" w:lineRule="auto"/>
        <w:tabs>
          <w:tab w:leader="none" w:pos="124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225" w:lineRule="exact"/>
        <w:rPr>
          <w:sz w:val="20"/>
          <w:szCs w:val="20"/>
          <w:color w:val="auto"/>
        </w:rPr>
      </w:pPr>
    </w:p>
    <w:p>
      <w:pPr>
        <w:ind w:left="1420" w:right="160"/>
        <w:spacing w:after="0" w:line="266" w:lineRule="auto"/>
        <w:rPr>
          <w:sz w:val="20"/>
          <w:szCs w:val="20"/>
          <w:color w:val="auto"/>
        </w:rPr>
      </w:pPr>
      <w:r>
        <w:rPr>
          <w:rFonts w:ascii="Times New Roman" w:cs="Times New Roman" w:eastAsia="Times New Roman" w:hAnsi="Times New Roman"/>
          <w:sz w:val="18"/>
          <w:szCs w:val="18"/>
          <w:color w:val="auto"/>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 Please issue said Warrant Shares in the name of the undersigned or in such other name as is specified below:</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991870</wp:posOffset>
            </wp:positionH>
            <wp:positionV relativeFrom="paragraph">
              <wp:posOffset>17145</wp:posOffset>
            </wp:positionV>
            <wp:extent cx="30003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991870</wp:posOffset>
            </wp:positionH>
            <wp:positionV relativeFrom="paragraph">
              <wp:posOffset>17145</wp:posOffset>
            </wp:positionV>
            <wp:extent cx="30003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991870</wp:posOffset>
            </wp:positionH>
            <wp:positionV relativeFrom="paragraph">
              <wp:posOffset>17145</wp:posOffset>
            </wp:positionV>
            <wp:extent cx="30003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991870</wp:posOffset>
            </wp:positionH>
            <wp:positionV relativeFrom="paragraph">
              <wp:posOffset>171450</wp:posOffset>
            </wp:positionV>
            <wp:extent cx="30003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991870</wp:posOffset>
            </wp:positionH>
            <wp:positionV relativeFrom="paragraph">
              <wp:posOffset>325755</wp:posOffset>
            </wp:positionV>
            <wp:extent cx="30003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w:t>
      </w:r>
    </w:p>
    <w:p>
      <w:pPr>
        <w:sectPr>
          <w:pgSz w:w="11900" w:h="16838" w:orient="portrait"/>
          <w:cols w:equalWidth="0" w:num="1">
            <w:col w:w="10700"/>
          </w:cols>
          <w:pgMar w:left="440" w:top="266" w:right="75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 assign the foregoing Warrant, execute this form and supply required information. Do not use this form to exercise the Warrant to purchase shares.)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2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28"/>
        </w:trPr>
        <w:tc>
          <w:tcPr>
            <w:tcW w:w="4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(Please Print)</w:t>
            </w:r>
          </w:p>
        </w:tc>
      </w:tr>
      <w:tr>
        <w:trPr>
          <w:trHeight w:val="31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116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331"/>
        </w:trPr>
        <w:tc>
          <w:tcPr>
            <w:tcW w:w="4780" w:type="dxa"/>
            <w:vAlign w:val="bottom"/>
          </w:tcPr>
          <w:p>
            <w:pPr>
              <w:spacing w:after="0"/>
              <w:rPr>
                <w:sz w:val="24"/>
                <w:szCs w:val="24"/>
                <w:color w:val="auto"/>
              </w:rPr>
            </w:pPr>
          </w:p>
        </w:tc>
        <w:tc>
          <w:tcPr>
            <w:tcW w:w="62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(Please Print)</w:t>
            </w:r>
          </w:p>
        </w:tc>
      </w:tr>
      <w:tr>
        <w:trPr>
          <w:trHeight w:val="32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Phone Number:</w:t>
            </w:r>
          </w:p>
        </w:tc>
        <w:tc>
          <w:tcPr>
            <w:tcW w:w="116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331"/>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116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331"/>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Dated: _______________ __, ______</w:t>
            </w:r>
          </w:p>
        </w:tc>
        <w:tc>
          <w:tcPr>
            <w:tcW w:w="11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32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Holder’s Signature: ______________________________</w:t>
            </w:r>
          </w:p>
        </w:tc>
        <w:tc>
          <w:tcPr>
            <w:tcW w:w="11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32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Holder’s Address: _______________________________</w:t>
            </w:r>
          </w:p>
        </w:tc>
        <w:tc>
          <w:tcPr>
            <w:tcW w:w="1160" w:type="dxa"/>
            <w:vAlign w:val="bottom"/>
          </w:tcPr>
          <w:p>
            <w:pPr>
              <w:spacing w:after="0"/>
              <w:rPr>
                <w:sz w:val="24"/>
                <w:szCs w:val="24"/>
                <w:color w:val="auto"/>
              </w:rPr>
            </w:pPr>
          </w:p>
        </w:tc>
        <w:tc>
          <w:tcPr>
            <w:tcW w:w="508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22" w:name="page23"/>
    <w:bookmarkEnd w:id="22"/>
    <w:p>
      <w:pPr>
        <w:ind w:left="10180"/>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PREFUNDED COMMON STOCK PURCHASE WARRANT</w:t>
      </w: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ectPr>
          <w:pgSz w:w="11900" w:h="16838" w:orient="portrait"/>
          <w:cols w:equalWidth="0" w:num="1">
            <w:col w:w="11020"/>
          </w:cols>
          <w:pgMar w:left="440" w:top="117" w:right="43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 _______</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Issuance Date: October __, 2024</w:t>
      </w:r>
    </w:p>
    <w:p>
      <w:pPr>
        <w:spacing w:after="0" w:line="200" w:lineRule="exact"/>
        <w:rPr>
          <w:sz w:val="20"/>
          <w:szCs w:val="20"/>
          <w:color w:val="auto"/>
        </w:rPr>
      </w:pPr>
    </w:p>
    <w:p>
      <w:pPr>
        <w:sectPr>
          <w:pgSz w:w="11900" w:h="16838" w:orient="portrait"/>
          <w:cols w:equalWidth="0" w:num="2">
            <w:col w:w="5020" w:space="720"/>
            <w:col w:w="5280"/>
          </w:cols>
          <w:pgMar w:left="440" w:top="117" w:right="439" w:bottom="1440" w:gutter="0" w:footer="0" w:header="0"/>
          <w:type w:val="continuous"/>
        </w:sectPr>
      </w:pPr>
    </w:p>
    <w:p>
      <w:pPr>
        <w:spacing w:after="0" w:line="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PREFUNDED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_____________ or</w:t>
      </w:r>
    </w:p>
    <w:p>
      <w:pPr>
        <w:spacing w:after="0" w:line="27"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7"/>
          <w:szCs w:val="17"/>
          <w:color w:val="auto"/>
        </w:rPr>
        <w:t>its assigns (the “</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is entitled, upon the terms and subject to the limitations on exercise and the conditions hereinafter set forth, at any time on or after the date hereof (the “</w:t>
      </w:r>
      <w:r>
        <w:rPr>
          <w:rFonts w:ascii="Times New Roman" w:cs="Times New Roman" w:eastAsia="Times New Roman" w:hAnsi="Times New Roman"/>
          <w:sz w:val="17"/>
          <w:szCs w:val="17"/>
          <w:u w:val="single" w:color="auto"/>
          <w:color w:val="auto"/>
        </w:rPr>
        <w:t>Initial Exercise Date</w:t>
      </w:r>
      <w:r>
        <w:rPr>
          <w:rFonts w:ascii="Times New Roman" w:cs="Times New Roman" w:eastAsia="Times New Roman" w:hAnsi="Times New Roman"/>
          <w:sz w:val="17"/>
          <w:szCs w:val="17"/>
          <w:color w:val="auto"/>
        </w:rPr>
        <w:t>”) and until this Warrant is exercised in full (the “</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but not thereafter, to subscribe for and purchase from Rani Therapeutics Holdings,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up to ______ shares of Common Stock (as subject to</w:t>
      </w:r>
    </w:p>
    <w:p>
      <w:pPr>
        <w:ind w:right="60"/>
        <w:spacing w:after="0" w:line="260" w:lineRule="auto"/>
        <w:rPr>
          <w:sz w:val="20"/>
          <w:szCs w:val="20"/>
          <w:color w:val="auto"/>
        </w:rPr>
      </w:pPr>
      <w:r>
        <w:rPr>
          <w:rFonts w:ascii="Times New Roman" w:cs="Times New Roman" w:eastAsia="Times New Roman" w:hAnsi="Times New Roman"/>
          <w:sz w:val="18"/>
          <w:szCs w:val="18"/>
          <w:color w:val="auto"/>
        </w:rPr>
        <w:t>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The purchase price of one share of Common Stock under this Warrant shall be equal to the Exercise Price, as defined in Section 2(b).</w:t>
      </w:r>
    </w:p>
    <w:p>
      <w:pPr>
        <w:spacing w:after="0" w:line="181" w:lineRule="exact"/>
        <w:rPr>
          <w:sz w:val="20"/>
          <w:szCs w:val="20"/>
          <w:color w:val="auto"/>
        </w:rPr>
      </w:pPr>
    </w:p>
    <w:p>
      <w:pPr>
        <w:ind w:right="680" w:firstLine="440"/>
        <w:spacing w:after="0" w:line="312" w:lineRule="auto"/>
        <w:rPr>
          <w:sz w:val="20"/>
          <w:szCs w:val="20"/>
          <w:color w:val="auto"/>
        </w:rPr>
      </w:pPr>
      <w:r>
        <w:rPr>
          <w:rFonts w:ascii="Times New Roman" w:cs="Times New Roman" w:eastAsia="Times New Roman" w:hAnsi="Times New Roman"/>
          <w:sz w:val="17"/>
          <w:szCs w:val="17"/>
          <w:u w:val="single" w:color="auto"/>
          <w:color w:val="auto"/>
        </w:rPr>
        <w:t>Section 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7"/>
          <w:szCs w:val="17"/>
          <w:u w:val="single" w:color="auto"/>
          <w:color w:val="auto"/>
        </w:rPr>
        <w:t>Purchase Agreement</w:t>
      </w:r>
      <w:r>
        <w:rPr>
          <w:rFonts w:ascii="Times New Roman" w:cs="Times New Roman" w:eastAsia="Times New Roman" w:hAnsi="Times New Roman"/>
          <w:sz w:val="17"/>
          <w:szCs w:val="17"/>
          <w:color w:val="auto"/>
        </w:rPr>
        <w:t>”), dated October __, 2024, among the Company and the purchasers signatory thereto.</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40" w:firstLine="419"/>
        <w:spacing w:after="0" w:line="253" w:lineRule="auto"/>
        <w:tabs>
          <w:tab w:leader="none" w:pos="104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w:t>
      </w:r>
    </w:p>
    <w:p>
      <w:pPr>
        <w:sectPr>
          <w:pgSz w:w="11900" w:h="16838" w:orient="portrait"/>
          <w:cols w:equalWidth="0" w:num="1">
            <w:col w:w="11020"/>
          </w:cols>
          <w:pgMar w:left="440" w:top="117" w:right="439" w:bottom="1440" w:gutter="0" w:footer="0" w:header="0"/>
          <w:type w:val="continuous"/>
        </w:sectPr>
      </w:pPr>
    </w:p>
    <w:bookmarkStart w:id="23" w:name="page24"/>
    <w:bookmarkEnd w:id="23"/>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8"/>
          <w:szCs w:val="18"/>
          <w:b w:val="1"/>
          <w:bCs w:val="1"/>
          <w:color w:val="auto"/>
        </w:rPr>
        <w:t>The Holder and any assignee, by acceptance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75" w:lineRule="exact"/>
        <w:rPr>
          <w:sz w:val="20"/>
          <w:szCs w:val="20"/>
          <w:color w:val="auto"/>
        </w:rPr>
      </w:pPr>
    </w:p>
    <w:p>
      <w:pPr>
        <w:ind w:firstLine="423"/>
        <w:spacing w:after="0" w:line="254"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aggregate exercise price of this Warrant, except for a nominal exercise price of $0.0001 per Warrant Share, was pre-funded to the Company on or prior to the Initial Exercise Date and, consequently, no additional consideration (other than the nominal exercise price of $0.0001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 The remaining unpaid exercise price per share of Common Stock under this Warrant shall be $0.0001, subject to adjustment hereunder (such remaining unpaid exercise price,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If at the time of exercise hereof there is no effective registration statement registering and the prospectus contained therein is not available for the issuance of the Warrant Shares to the Holder, then this Warrant may only be exercised pursuant to the “cashless exercise” provisions of Section 2(c) below.</w:t>
      </w:r>
    </w:p>
    <w:p>
      <w:pPr>
        <w:spacing w:after="0" w:line="80" w:lineRule="exact"/>
        <w:rPr>
          <w:sz w:val="20"/>
          <w:szCs w:val="20"/>
          <w:color w:val="auto"/>
        </w:rPr>
      </w:pPr>
    </w:p>
    <w:p>
      <w:pPr>
        <w:ind w:right="180" w:firstLine="419"/>
        <w:spacing w:after="0" w:line="282" w:lineRule="auto"/>
        <w:tabs>
          <w:tab w:leader="none" w:pos="60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This Warrant may also be exercised, in whole or in part, at such time by means of a “cashless exercise” in which the Holder shall be entitled to receive a number of Warrant Shares equal to the quotient obtained by dividing [(A-B) (X)] by (A), where:</w:t>
      </w:r>
    </w:p>
    <w:p>
      <w:pPr>
        <w:spacing w:after="0" w:line="67" w:lineRule="exact"/>
        <w:rPr>
          <w:sz w:val="20"/>
          <w:szCs w:val="20"/>
          <w:color w:val="auto"/>
        </w:rPr>
      </w:pPr>
    </w:p>
    <w:p>
      <w:pPr>
        <w:ind w:left="980" w:right="20" w:hanging="431"/>
        <w:spacing w:after="0" w:line="253" w:lineRule="auto"/>
        <w:rPr>
          <w:sz w:val="20"/>
          <w:szCs w:val="20"/>
          <w:color w:val="auto"/>
        </w:rPr>
      </w:pPr>
      <w:r>
        <w:rPr>
          <w:rFonts w:ascii="Times New Roman" w:cs="Times New Roman" w:eastAsia="Times New Roman" w:hAnsi="Times New Roman"/>
          <w:sz w:val="18"/>
          <w:szCs w:val="18"/>
          <w:color w:val="auto"/>
        </w:rPr>
        <w:t>(A) = as applicable: (i) the VWAP (as defined below)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 = the Exercise Price of this Warrant, as adjusted hereunder; and</w:t>
      </w:r>
    </w:p>
    <w:p>
      <w:pPr>
        <w:sectPr>
          <w:pgSz w:w="11900" w:h="16838" w:orient="portrait"/>
          <w:cols w:equalWidth="0" w:num="1">
            <w:col w:w="10520"/>
          </w:cols>
          <w:pgMar w:left="880" w:top="270" w:right="499" w:bottom="1440" w:gutter="0" w:footer="0" w:header="0"/>
        </w:sectPr>
      </w:pPr>
    </w:p>
    <w:bookmarkStart w:id="24" w:name="page25"/>
    <w:bookmarkEnd w:id="24"/>
    <w:p>
      <w:pPr>
        <w:ind w:left="980" w:right="240" w:hanging="43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(X) = the number of Warrant Shares that would be issuable upon exercise of this Warrant in accordance with the terms of this Warrant if such exercise were by means of a cash exercise rather than a cashless exercise.</w:t>
      </w:r>
    </w:p>
    <w:p>
      <w:pPr>
        <w:spacing w:after="0" w:line="54" w:lineRule="exact"/>
        <w:rPr>
          <w:sz w:val="20"/>
          <w:szCs w:val="20"/>
          <w:color w:val="auto"/>
        </w:rPr>
      </w:pPr>
    </w:p>
    <w:p>
      <w:pPr>
        <w:ind w:firstLine="423"/>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68" w:lineRule="exact"/>
        <w:rPr>
          <w:sz w:val="20"/>
          <w:szCs w:val="20"/>
          <w:color w:val="auto"/>
        </w:rPr>
      </w:pPr>
    </w:p>
    <w:p>
      <w:pPr>
        <w:ind w:right="180" w:firstLine="42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Venture Market (“</w:t>
      </w:r>
      <w:r>
        <w:rPr>
          <w:rFonts w:ascii="Times New Roman" w:cs="Times New Roman" w:eastAsia="Times New Roman" w:hAnsi="Times New Roman"/>
          <w:sz w:val="18"/>
          <w:szCs w:val="18"/>
          <w:u w:val="single" w:color="auto"/>
          <w:color w:val="auto"/>
        </w:rPr>
        <w:t>OTCQB</w:t>
      </w:r>
      <w:r>
        <w:rPr>
          <w:rFonts w:ascii="Times New Roman" w:cs="Times New Roman" w:eastAsia="Times New Roman" w:hAnsi="Times New Roman"/>
          <w:sz w:val="18"/>
          <w:szCs w:val="18"/>
          <w:color w:val="auto"/>
        </w:rPr>
        <w:t>”) or OTCQX Best Market (“</w:t>
      </w:r>
      <w:r>
        <w:rPr>
          <w:rFonts w:ascii="Times New Roman" w:cs="Times New Roman" w:eastAsia="Times New Roman" w:hAnsi="Times New Roman"/>
          <w:sz w:val="18"/>
          <w:szCs w:val="18"/>
          <w:u w:val="single" w:color="auto"/>
          <w:color w:val="auto"/>
        </w:rPr>
        <w:t>OTCQX</w:t>
      </w:r>
      <w:r>
        <w:rPr>
          <w:rFonts w:ascii="Times New Roman" w:cs="Times New Roman" w:eastAsia="Times New Roman" w:hAnsi="Times New Roman"/>
          <w:sz w:val="18"/>
          <w:szCs w:val="18"/>
          <w:color w:val="auto"/>
        </w:rPr>
        <w:t>”)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86" w:lineRule="exact"/>
        <w:rPr>
          <w:sz w:val="20"/>
          <w:szCs w:val="20"/>
          <w:color w:val="auto"/>
        </w:rPr>
      </w:pPr>
    </w:p>
    <w:p>
      <w:pPr>
        <w:ind w:right="20" w:firstLine="42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w:t>
      </w:r>
      <w:r>
        <w:rPr>
          <w:rFonts w:ascii="Times New Roman" w:cs="Times New Roman" w:eastAsia="Times New Roman" w:hAnsi="Times New Roman"/>
          <w:sz w:val="18"/>
          <w:szCs w:val="18"/>
          <w:u w:val="single" w:color="auto"/>
          <w:color w:val="auto"/>
        </w:rPr>
        <w:t>Pink Market</w:t>
      </w:r>
      <w:r>
        <w:rPr>
          <w:rFonts w:ascii="Times New Roman" w:cs="Times New Roman" w:eastAsia="Times New Roman" w:hAnsi="Times New Roman"/>
          <w:sz w:val="18"/>
          <w:szCs w:val="18"/>
          <w:color w:val="auto"/>
        </w:rPr>
        <w: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ectPr>
          <w:pgSz w:w="11900" w:h="16838" w:orient="portrait"/>
          <w:cols w:equalWidth="0" w:num="1">
            <w:col w:w="10560"/>
          </w:cols>
          <w:pgMar w:left="880" w:top="270" w:right="459" w:bottom="1440" w:gutter="0" w:footer="0" w:header="0"/>
        </w:sectPr>
      </w:pPr>
    </w:p>
    <w:bookmarkStart w:id="25" w:name="page26"/>
    <w:bookmarkEnd w:id="25"/>
    <w:p>
      <w:pPr>
        <w:ind w:left="204" w:hanging="204"/>
        <w:spacing w:after="0"/>
        <w:tabs>
          <w:tab w:leader="none" w:pos="20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Mechanics of Exercise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524" w:hanging="149"/>
        <w:spacing w:after="0"/>
        <w:tabs>
          <w:tab w:leader="none" w:pos="15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w:t>
      </w:r>
    </w:p>
    <w:p>
      <w:pPr>
        <w:spacing w:after="0" w:line="27" w:lineRule="exact"/>
        <w:rPr>
          <w:rFonts w:ascii="Times New Roman" w:cs="Times New Roman" w:eastAsia="Times New Roman" w:hAnsi="Times New Roman"/>
          <w:sz w:val="18"/>
          <w:szCs w:val="18"/>
          <w:color w:val="auto"/>
        </w:rPr>
      </w:pPr>
    </w:p>
    <w:p>
      <w:pPr>
        <w:ind w:left="98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aggregate Exercise Price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80" w:lineRule="exact"/>
        <w:rPr>
          <w:rFonts w:ascii="Times New Roman" w:cs="Times New Roman" w:eastAsia="Times New Roman" w:hAnsi="Times New Roman"/>
          <w:sz w:val="18"/>
          <w:szCs w:val="18"/>
          <w:color w:val="auto"/>
        </w:rPr>
      </w:pPr>
    </w:p>
    <w:p>
      <w:pPr>
        <w:ind w:left="984" w:firstLine="391"/>
        <w:spacing w:after="0" w:line="261" w:lineRule="auto"/>
        <w:tabs>
          <w:tab w:leader="none" w:pos="155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ectPr>
          <w:pgSz w:w="11900" w:h="16838" w:orient="portrait"/>
          <w:cols w:equalWidth="0" w:num="1">
            <w:col w:w="10564"/>
          </w:cols>
          <w:pgMar w:left="876" w:top="270" w:right="459" w:bottom="1440" w:gutter="0" w:footer="0" w:header="0"/>
        </w:sectPr>
      </w:pPr>
    </w:p>
    <w:bookmarkStart w:id="26" w:name="page27"/>
    <w:bookmarkEnd w:id="26"/>
    <w:p>
      <w:pPr>
        <w:ind w:left="420" w:firstLine="391"/>
        <w:spacing w:after="0" w:line="282" w:lineRule="auto"/>
        <w:tabs>
          <w:tab w:leader="none" w:pos="104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53" w:lineRule="exact"/>
        <w:rPr>
          <w:rFonts w:ascii="Times New Roman" w:cs="Times New Roman" w:eastAsia="Times New Roman" w:hAnsi="Times New Roman"/>
          <w:sz w:val="18"/>
          <w:szCs w:val="18"/>
          <w:color w:val="auto"/>
        </w:rPr>
      </w:pPr>
    </w:p>
    <w:p>
      <w:pPr>
        <w:ind w:left="420" w:right="40" w:firstLine="391"/>
        <w:spacing w:after="0" w:line="252" w:lineRule="auto"/>
        <w:tabs>
          <w:tab w:leader="none" w:pos="102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81" w:lineRule="exact"/>
        <w:rPr>
          <w:rFonts w:ascii="Times New Roman" w:cs="Times New Roman" w:eastAsia="Times New Roman" w:hAnsi="Times New Roman"/>
          <w:sz w:val="18"/>
          <w:szCs w:val="18"/>
          <w:color w:val="auto"/>
        </w:rPr>
      </w:pPr>
    </w:p>
    <w:p>
      <w:pPr>
        <w:ind w:left="420" w:firstLine="391"/>
        <w:spacing w:after="0" w:line="261" w:lineRule="auto"/>
        <w:tabs>
          <w:tab w:leader="none" w:pos="97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ectPr>
          <w:pgSz w:w="11900" w:h="16838" w:orient="portrait"/>
          <w:cols w:equalWidth="0" w:num="1">
            <w:col w:w="10000"/>
          </w:cols>
          <w:pgMar w:left="1440" w:top="270" w:right="459" w:bottom="1440" w:gutter="0" w:footer="0" w:header="0"/>
        </w:sectPr>
      </w:pPr>
    </w:p>
    <w:bookmarkStart w:id="27" w:name="page28"/>
    <w:bookmarkEnd w:id="27"/>
    <w:p>
      <w:pPr>
        <w:ind w:left="1424" w:right="20" w:firstLine="391"/>
        <w:spacing w:after="0" w:line="254" w:lineRule="auto"/>
        <w:tabs>
          <w:tab w:leader="none" w:pos="203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80" w:lineRule="exact"/>
        <w:rPr>
          <w:rFonts w:ascii="Times New Roman" w:cs="Times New Roman" w:eastAsia="Times New Roman" w:hAnsi="Times New Roman"/>
          <w:sz w:val="18"/>
          <w:szCs w:val="18"/>
          <w:color w:val="auto"/>
        </w:rPr>
      </w:pPr>
    </w:p>
    <w:p>
      <w:pPr>
        <w:ind w:left="1424" w:right="200" w:firstLine="391"/>
        <w:spacing w:after="0" w:line="282" w:lineRule="auto"/>
        <w:tabs>
          <w:tab w:leader="none" w:pos="208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67" w:lineRule="exact"/>
        <w:rPr>
          <w:rFonts w:ascii="Times New Roman" w:cs="Times New Roman" w:eastAsia="Times New Roman" w:hAnsi="Times New Roman"/>
          <w:sz w:val="18"/>
          <w:szCs w:val="18"/>
          <w:color w:val="auto"/>
        </w:rPr>
      </w:pPr>
    </w:p>
    <w:p>
      <w:pPr>
        <w:ind w:left="424" w:hanging="424"/>
        <w:spacing w:after="0" w:line="252" w:lineRule="auto"/>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w:t>
      </w:r>
    </w:p>
    <w:p>
      <w:pPr>
        <w:sectPr>
          <w:pgSz w:w="11900" w:h="16838" w:orient="portrait"/>
          <w:cols w:equalWidth="0" w:num="1">
            <w:col w:w="11004"/>
          </w:cols>
          <w:pgMar w:left="436" w:top="270" w:right="459" w:bottom="1440" w:gutter="0" w:footer="0" w:header="0"/>
        </w:sectPr>
      </w:pPr>
    </w:p>
    <w:bookmarkStart w:id="28" w:name="page29"/>
    <w:bookmarkEnd w:id="28"/>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9.99%.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firstLine="419"/>
        <w:spacing w:after="0" w:line="269" w:lineRule="auto"/>
        <w:tabs>
          <w:tab w:leader="none" w:pos="628"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Dividends and Splits</w:t>
      </w:r>
      <w:r>
        <w:rPr>
          <w:rFonts w:ascii="Times New Roman" w:cs="Times New Roman" w:eastAsia="Times New Roman" w:hAnsi="Times New Roman"/>
          <w:sz w:val="17"/>
          <w:szCs w:val="17"/>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ectPr>
          <w:pgSz w:w="11900" w:h="16838" w:orient="portrait"/>
          <w:cols w:equalWidth="0" w:num="1">
            <w:col w:w="10580"/>
          </w:cols>
          <w:pgMar w:left="860" w:top="270" w:right="459" w:bottom="1440" w:gutter="0" w:footer="0" w:header="0"/>
        </w:sectPr>
      </w:pPr>
    </w:p>
    <w:bookmarkStart w:id="29" w:name="page30"/>
    <w:bookmarkEnd w:id="29"/>
    <w:p>
      <w:pPr>
        <w:ind w:left="-419" w:firstLine="419"/>
        <w:spacing w:after="0" w:line="253" w:lineRule="auto"/>
        <w:tabs>
          <w:tab w:leader="none" w:pos="19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all of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81" w:lineRule="exact"/>
        <w:rPr>
          <w:rFonts w:ascii="Times New Roman" w:cs="Times New Roman" w:eastAsia="Times New Roman" w:hAnsi="Times New Roman"/>
          <w:sz w:val="18"/>
          <w:szCs w:val="18"/>
          <w:color w:val="auto"/>
        </w:rPr>
      </w:pPr>
    </w:p>
    <w:p>
      <w:pPr>
        <w:ind w:left="-419" w:right="20" w:firstLine="419"/>
        <w:spacing w:after="0" w:line="252" w:lineRule="auto"/>
        <w:tabs>
          <w:tab w:leader="none" w:pos="18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Distribution shall be held in abeyance for the benefit of the Holder until the Holder has exercised this Warrant.</w:t>
      </w:r>
    </w:p>
    <w:p>
      <w:pPr>
        <w:sectPr>
          <w:pgSz w:w="11900" w:h="16838" w:orient="portrait"/>
          <w:cols w:equalWidth="0" w:num="1">
            <w:col w:w="10121"/>
          </w:cols>
          <w:pgMar w:left="1299" w:top="270" w:right="479" w:bottom="1440" w:gutter="0" w:footer="0" w:header="0"/>
        </w:sectPr>
      </w:pPr>
    </w:p>
    <w:bookmarkStart w:id="30" w:name="page31"/>
    <w:bookmarkEnd w:id="30"/>
    <w:p>
      <w:pPr>
        <w:ind w:left="-419" w:firstLine="419"/>
        <w:spacing w:after="0" w:line="251" w:lineRule="auto"/>
        <w:tabs>
          <w:tab w:leader="none" w:pos="19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shares of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(which, for the avoidance of doubt, shall not include transactions consummated by the Company for the principal purpose of raising capital for the Company)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w:t>
      </w:r>
    </w:p>
    <w:p>
      <w:pPr>
        <w:sectPr>
          <w:pgSz w:w="11900" w:h="16838" w:orient="portrait"/>
          <w:cols w:equalWidth="0" w:num="1">
            <w:col w:w="10141"/>
          </w:cols>
          <w:pgMar w:left="1299" w:top="270" w:right="459" w:bottom="1440" w:gutter="0" w:footer="0" w:header="0"/>
        </w:sectPr>
      </w:pPr>
    </w:p>
    <w:bookmarkStart w:id="31" w:name="page32"/>
    <w:bookmarkEnd w:id="31"/>
    <w:p>
      <w:pPr>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shares of Common Stock for the issuance of Warrant Shares and/or (ii) whether a Fundamental Transaction occurs prior to the Initial Exercise Date.</w:t>
      </w:r>
    </w:p>
    <w:p>
      <w:pPr>
        <w:spacing w:after="0" w:line="71" w:lineRule="exact"/>
        <w:rPr>
          <w:sz w:val="20"/>
          <w:szCs w:val="20"/>
          <w:color w:val="auto"/>
        </w:rPr>
      </w:pPr>
    </w:p>
    <w:p>
      <w:pPr>
        <w:ind w:right="20" w:firstLine="419"/>
        <w:spacing w:after="0" w:line="266" w:lineRule="auto"/>
        <w:tabs>
          <w:tab w:leader="none" w:pos="60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67" w:lineRule="exact"/>
        <w:rPr>
          <w:rFonts w:ascii="Times New Roman" w:cs="Times New Roman" w:eastAsia="Times New Roman" w:hAnsi="Times New Roman"/>
          <w:sz w:val="18"/>
          <w:szCs w:val="18"/>
          <w:color w:val="auto"/>
        </w:rPr>
      </w:pPr>
    </w:p>
    <w:p>
      <w:pPr>
        <w:ind w:left="580" w:hanging="161"/>
        <w:spacing w:after="0"/>
        <w:tabs>
          <w:tab w:leader="none" w:pos="5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980" w:right="420" w:firstLine="391"/>
        <w:spacing w:after="0" w:line="289" w:lineRule="auto"/>
        <w:tabs>
          <w:tab w:leader="none" w:pos="1503"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to Exercise Price</w:t>
      </w:r>
      <w:r>
        <w:rPr>
          <w:rFonts w:ascii="Times New Roman" w:cs="Times New Roman" w:eastAsia="Times New Roman" w:hAnsi="Times New Roman"/>
          <w:sz w:val="17"/>
          <w:szCs w:val="17"/>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49" w:lineRule="exact"/>
        <w:rPr>
          <w:rFonts w:ascii="Times New Roman" w:cs="Times New Roman" w:eastAsia="Times New Roman" w:hAnsi="Times New Roman"/>
          <w:sz w:val="17"/>
          <w:szCs w:val="17"/>
          <w:color w:val="auto"/>
        </w:rPr>
      </w:pPr>
    </w:p>
    <w:p>
      <w:pPr>
        <w:ind w:left="980" w:right="360" w:firstLine="391"/>
        <w:spacing w:after="0" w:line="266" w:lineRule="auto"/>
        <w:tabs>
          <w:tab w:leader="none" w:pos="155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w:t>
      </w:r>
    </w:p>
    <w:p>
      <w:pPr>
        <w:sectPr>
          <w:pgSz w:w="11900" w:h="16838" w:orient="portrait"/>
          <w:cols w:equalWidth="0" w:num="1">
            <w:col w:w="10520"/>
          </w:cols>
          <w:pgMar w:left="880" w:top="270" w:right="499" w:bottom="1440" w:gutter="0" w:footer="0" w:header="0"/>
        </w:sectPr>
      </w:pPr>
    </w:p>
    <w:bookmarkStart w:id="32" w:name="page33"/>
    <w:bookmarkEnd w:id="32"/>
    <w:p>
      <w:pPr>
        <w:ind w:left="980"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54" w:lineRule="auto"/>
        <w:tabs>
          <w:tab w:leader="none" w:pos="60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w:t>
      </w:r>
    </w:p>
    <w:p>
      <w:pPr>
        <w:sectPr>
          <w:pgSz w:w="11900" w:h="16838" w:orient="portrait"/>
          <w:cols w:equalWidth="0" w:num="1">
            <w:col w:w="10540"/>
          </w:cols>
          <w:pgMar w:left="880" w:top="270" w:right="479" w:bottom="1440" w:gutter="0" w:footer="0" w:header="0"/>
        </w:sectPr>
      </w:pPr>
    </w:p>
    <w:bookmarkStart w:id="33" w:name="page34"/>
    <w:bookmarkEnd w:id="33"/>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68" w:lineRule="exact"/>
        <w:rPr>
          <w:sz w:val="20"/>
          <w:szCs w:val="20"/>
          <w:color w:val="auto"/>
        </w:rPr>
      </w:pPr>
    </w:p>
    <w:p>
      <w:pPr>
        <w:ind w:right="20" w:firstLine="419"/>
        <w:spacing w:after="0" w:line="256" w:lineRule="auto"/>
        <w:tabs>
          <w:tab w:leader="none" w:pos="61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Issuance Date of this Warrant and shall be identical with this Warrant except as to the number of Warrant Shares issuable pursuant thereto.</w:t>
      </w:r>
    </w:p>
    <w:p>
      <w:pPr>
        <w:spacing w:after="0" w:line="79" w:lineRule="exact"/>
        <w:rPr>
          <w:rFonts w:ascii="Times New Roman" w:cs="Times New Roman" w:eastAsia="Times New Roman" w:hAnsi="Times New Roman"/>
          <w:sz w:val="18"/>
          <w:szCs w:val="18"/>
          <w:color w:val="auto"/>
        </w:rPr>
      </w:pPr>
    </w:p>
    <w:p>
      <w:pPr>
        <w:ind w:firstLine="419"/>
        <w:spacing w:after="0" w:line="261" w:lineRule="auto"/>
        <w:tabs>
          <w:tab w:leader="none" w:pos="60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419"/>
        <w:spacing w:after="0" w:line="281" w:lineRule="auto"/>
        <w:tabs>
          <w:tab w:leader="none" w:pos="608"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Rights as Stockholder Until Exercise; No Settlement in Cash</w:t>
      </w:r>
      <w:r>
        <w:rPr>
          <w:rFonts w:ascii="Times New Roman" w:cs="Times New Roman" w:eastAsia="Times New Roman" w:hAnsi="Times New Roman"/>
          <w:sz w:val="17"/>
          <w:szCs w:val="17"/>
          <w:color w:val="auto"/>
        </w:rPr>
        <w:t xml:space="preserve">.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w:t>
      </w:r>
      <w:r>
        <w:rPr>
          <w:rFonts w:ascii="Times New Roman" w:cs="Times New Roman" w:eastAsia="Times New Roman" w:hAnsi="Times New Roman"/>
          <w:sz w:val="17"/>
          <w:szCs w:val="17"/>
          <w:b w:val="1"/>
          <w:bCs w:val="1"/>
          <w:color w:val="auto"/>
        </w:rPr>
        <w:t>in no event shall the Company be required to net cash settle this Warrant</w:t>
      </w:r>
      <w:r>
        <w:rPr>
          <w:rFonts w:ascii="Times New Roman" w:cs="Times New Roman" w:eastAsia="Times New Roman" w:hAnsi="Times New Roman"/>
          <w:sz w:val="17"/>
          <w:szCs w:val="17"/>
          <w:color w:val="auto"/>
        </w:rPr>
        <w:t>.</w:t>
      </w:r>
    </w:p>
    <w:p>
      <w:pPr>
        <w:spacing w:after="0" w:line="56" w:lineRule="exact"/>
        <w:rPr>
          <w:rFonts w:ascii="Times New Roman" w:cs="Times New Roman" w:eastAsia="Times New Roman" w:hAnsi="Times New Roman"/>
          <w:sz w:val="17"/>
          <w:szCs w:val="17"/>
          <w:color w:val="auto"/>
        </w:rPr>
      </w:pPr>
    </w:p>
    <w:p>
      <w:pPr>
        <w:ind w:right="160" w:firstLine="419"/>
        <w:spacing w:after="0" w:line="258" w:lineRule="auto"/>
        <w:tabs>
          <w:tab w:leader="none" w:pos="61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75" w:lineRule="exact"/>
        <w:rPr>
          <w:rFonts w:ascii="Times New Roman" w:cs="Times New Roman" w:eastAsia="Times New Roman" w:hAnsi="Times New Roman"/>
          <w:sz w:val="18"/>
          <w:szCs w:val="18"/>
          <w:color w:val="auto"/>
        </w:rPr>
      </w:pPr>
    </w:p>
    <w:p>
      <w:pPr>
        <w:ind w:right="380" w:firstLine="419"/>
        <w:spacing w:after="0" w:line="312" w:lineRule="auto"/>
        <w:tabs>
          <w:tab w:leader="none" w:pos="608"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Saturdays, Sundays, Holidays, etc</w:t>
      </w:r>
      <w:r>
        <w:rPr>
          <w:rFonts w:ascii="Times New Roman" w:cs="Times New Roman" w:eastAsia="Times New Roman" w:hAnsi="Times New Roman"/>
          <w:sz w:val="17"/>
          <w:szCs w:val="17"/>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ectPr>
          <w:pgSz w:w="11900" w:h="16838" w:orient="portrait"/>
          <w:cols w:equalWidth="0" w:num="1">
            <w:col w:w="10540"/>
          </w:cols>
          <w:pgMar w:left="880" w:top="270" w:right="479" w:bottom="1440" w:gutter="0" w:footer="0" w:header="0"/>
        </w:sectPr>
      </w:pPr>
    </w:p>
    <w:bookmarkStart w:id="34" w:name="page35"/>
    <w:bookmarkEnd w:id="34"/>
    <w:p>
      <w:pPr>
        <w:ind w:left="201" w:hanging="201"/>
        <w:spacing w:after="0"/>
        <w:tabs>
          <w:tab w:leader="none" w:pos="20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Authorized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1" w:right="60" w:firstLine="902"/>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86" w:lineRule="exact"/>
        <w:rPr>
          <w:sz w:val="20"/>
          <w:szCs w:val="20"/>
          <w:color w:val="auto"/>
        </w:rPr>
      </w:pPr>
    </w:p>
    <w:p>
      <w:pPr>
        <w:ind w:left="121" w:firstLine="401"/>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86" w:lineRule="exact"/>
        <w:rPr>
          <w:sz w:val="20"/>
          <w:szCs w:val="20"/>
          <w:color w:val="auto"/>
        </w:rPr>
      </w:pPr>
    </w:p>
    <w:p>
      <w:pPr>
        <w:jc w:val="both"/>
        <w:ind w:left="121" w:right="100" w:firstLine="401"/>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68" w:lineRule="exact"/>
        <w:rPr>
          <w:sz w:val="20"/>
          <w:szCs w:val="20"/>
          <w:color w:val="auto"/>
        </w:rPr>
      </w:pPr>
    </w:p>
    <w:p>
      <w:pPr>
        <w:ind w:left="-419" w:right="340" w:firstLine="419"/>
        <w:spacing w:after="0" w:line="282" w:lineRule="auto"/>
        <w:tabs>
          <w:tab w:leader="none" w:pos="18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ectPr>
          <w:pgSz w:w="11900" w:h="16838" w:orient="portrait"/>
          <w:cols w:equalWidth="0" w:num="1">
            <w:col w:w="10141"/>
          </w:cols>
          <w:pgMar w:left="1299" w:top="270" w:right="459" w:bottom="1440" w:gutter="0" w:footer="0" w:header="0"/>
        </w:sectPr>
      </w:pPr>
    </w:p>
    <w:bookmarkStart w:id="35" w:name="page36"/>
    <w:bookmarkEnd w:id="35"/>
    <w:p>
      <w:pPr>
        <w:ind w:right="480" w:firstLine="419"/>
        <w:spacing w:after="0" w:line="282" w:lineRule="auto"/>
        <w:tabs>
          <w:tab w:leader="none" w:pos="58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53" w:lineRule="exact"/>
        <w:rPr>
          <w:rFonts w:ascii="Times New Roman" w:cs="Times New Roman" w:eastAsia="Times New Roman" w:hAnsi="Times New Roman"/>
          <w:sz w:val="18"/>
          <w:szCs w:val="18"/>
          <w:color w:val="auto"/>
        </w:rPr>
      </w:pPr>
    </w:p>
    <w:p>
      <w:pPr>
        <w:ind w:right="20" w:firstLine="419"/>
        <w:spacing w:after="0" w:line="255" w:lineRule="auto"/>
        <w:tabs>
          <w:tab w:leader="none" w:pos="6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notwithstanding the fact that the right to exercise this Warrant terminates on the Termination Date.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80" w:lineRule="exact"/>
        <w:rPr>
          <w:rFonts w:ascii="Times New Roman" w:cs="Times New Roman" w:eastAsia="Times New Roman" w:hAnsi="Times New Roman"/>
          <w:sz w:val="18"/>
          <w:szCs w:val="18"/>
          <w:color w:val="auto"/>
        </w:rPr>
      </w:pPr>
    </w:p>
    <w:p>
      <w:pPr>
        <w:ind w:right="380" w:firstLine="419"/>
        <w:spacing w:after="0" w:line="282" w:lineRule="auto"/>
        <w:tabs>
          <w:tab w:leader="none" w:pos="6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53" w:lineRule="exact"/>
        <w:rPr>
          <w:rFonts w:ascii="Times New Roman" w:cs="Times New Roman" w:eastAsia="Times New Roman" w:hAnsi="Times New Roman"/>
          <w:sz w:val="18"/>
          <w:szCs w:val="18"/>
          <w:color w:val="auto"/>
        </w:rPr>
      </w:pPr>
    </w:p>
    <w:p>
      <w:pPr>
        <w:jc w:val="both"/>
        <w:ind w:right="200" w:firstLine="419"/>
        <w:spacing w:after="0" w:line="261" w:lineRule="auto"/>
        <w:tabs>
          <w:tab w:leader="none" w:pos="5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71" w:lineRule="exact"/>
        <w:rPr>
          <w:rFonts w:ascii="Times New Roman" w:cs="Times New Roman" w:eastAsia="Times New Roman" w:hAnsi="Times New Roman"/>
          <w:sz w:val="18"/>
          <w:szCs w:val="18"/>
          <w:color w:val="auto"/>
        </w:rPr>
      </w:pPr>
    </w:p>
    <w:p>
      <w:pPr>
        <w:ind w:firstLine="419"/>
        <w:spacing w:after="0" w:line="261" w:lineRule="auto"/>
        <w:tabs>
          <w:tab w:leader="none" w:pos="5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71" w:lineRule="exact"/>
        <w:rPr>
          <w:rFonts w:ascii="Times New Roman" w:cs="Times New Roman" w:eastAsia="Times New Roman" w:hAnsi="Times New Roman"/>
          <w:sz w:val="18"/>
          <w:szCs w:val="18"/>
          <w:color w:val="auto"/>
        </w:rPr>
      </w:pPr>
    </w:p>
    <w:p>
      <w:pPr>
        <w:jc w:val="both"/>
        <w:ind w:firstLine="419"/>
        <w:spacing w:after="0" w:line="261" w:lineRule="auto"/>
        <w:tabs>
          <w:tab w:leader="none" w:pos="6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71" w:lineRule="exact"/>
        <w:rPr>
          <w:rFonts w:ascii="Times New Roman" w:cs="Times New Roman" w:eastAsia="Times New Roman" w:hAnsi="Times New Roman"/>
          <w:sz w:val="18"/>
          <w:szCs w:val="18"/>
          <w:color w:val="auto"/>
        </w:rPr>
      </w:pPr>
    </w:p>
    <w:p>
      <w:pPr>
        <w:ind w:left="580" w:hanging="161"/>
        <w:spacing w:after="0"/>
        <w:tabs>
          <w:tab w:leader="none" w:pos="5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w:t>
      </w:r>
    </w:p>
    <w:p>
      <w:pPr>
        <w:sectPr>
          <w:pgSz w:w="11900" w:h="16838" w:orient="portrait"/>
          <w:cols w:equalWidth="0" w:num="1">
            <w:col w:w="10560"/>
          </w:cols>
          <w:pgMar w:left="880" w:top="270" w:right="459" w:bottom="1440" w:gutter="0" w:footer="0" w:header="0"/>
        </w:sectPr>
      </w:pPr>
    </w:p>
    <w:bookmarkStart w:id="36" w:name="page37"/>
    <w:bookmarkEnd w:id="36"/>
    <w:p>
      <w:pPr>
        <w:ind w:firstLine="419"/>
        <w:spacing w:after="0" w:line="266" w:lineRule="auto"/>
        <w:tabs>
          <w:tab w:leader="none" w:pos="66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67" w:lineRule="exact"/>
        <w:rPr>
          <w:rFonts w:ascii="Times New Roman" w:cs="Times New Roman" w:eastAsia="Times New Roman" w:hAnsi="Times New Roman"/>
          <w:sz w:val="18"/>
          <w:szCs w:val="18"/>
          <w:color w:val="auto"/>
        </w:rPr>
      </w:pPr>
    </w:p>
    <w:p>
      <w:pPr>
        <w:ind w:right="20" w:firstLine="419"/>
        <w:spacing w:after="0" w:line="282" w:lineRule="auto"/>
        <w:tabs>
          <w:tab w:leader="none" w:pos="61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0540"/>
          </w:cols>
          <w:pgMar w:left="880" w:top="270" w:right="479" w:bottom="1440" w:gutter="0" w:footer="0" w:header="0"/>
        </w:sectPr>
      </w:pPr>
    </w:p>
    <w:bookmarkStart w:id="37" w:name="page38"/>
    <w:bookmarkEnd w:id="37"/>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Company has caused this Warrant to be executed by its officer thereunto duly authorized as of the date first above indicated.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Talat Imran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0980"/>
          </w:cols>
          <w:pgMar w:left="440" w:top="270" w:right="479" w:bottom="1440" w:gutter="0" w:footer="0" w:header="0"/>
        </w:sectPr>
      </w:pPr>
    </w:p>
    <w:bookmarkStart w:id="38" w:name="page39"/>
    <w:bookmarkEnd w:id="38"/>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EXERCISE</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RANI THERAPEUTICS HOLDINGS, INC.</w:t>
      </w:r>
    </w:p>
    <w:p>
      <w:pPr>
        <w:spacing w:after="0" w:line="117" w:lineRule="exact"/>
        <w:rPr>
          <w:sz w:val="20"/>
          <w:szCs w:val="20"/>
          <w:color w:val="auto"/>
        </w:rPr>
      </w:pPr>
    </w:p>
    <w:p>
      <w:pPr>
        <w:ind w:left="4" w:firstLine="987"/>
        <w:spacing w:after="0" w:line="282" w:lineRule="auto"/>
        <w:tabs>
          <w:tab w:leader="none" w:pos="125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11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117" w:lineRule="exact"/>
        <w:rPr>
          <w:sz w:val="20"/>
          <w:szCs w:val="20"/>
          <w:color w:val="auto"/>
        </w:rPr>
      </w:pPr>
    </w:p>
    <w:p>
      <w:pPr>
        <w:jc w:val="both"/>
        <w:ind w:left="1424" w:right="280" w:firstLine="8"/>
        <w:spacing w:after="0" w:line="266" w:lineRule="auto"/>
        <w:tabs>
          <w:tab w:leader="none" w:pos="1529"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52"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994410</wp:posOffset>
            </wp:positionH>
            <wp:positionV relativeFrom="paragraph">
              <wp:posOffset>17145</wp:posOffset>
            </wp:positionV>
            <wp:extent cx="30003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994410</wp:posOffset>
            </wp:positionH>
            <wp:positionV relativeFrom="paragraph">
              <wp:posOffset>17145</wp:posOffset>
            </wp:positionV>
            <wp:extent cx="30003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994410</wp:posOffset>
            </wp:positionH>
            <wp:positionV relativeFrom="paragraph">
              <wp:posOffset>171450</wp:posOffset>
            </wp:positionV>
            <wp:extent cx="30003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000375" cy="8890"/>
                    </a:xfrm>
                    <a:prstGeom prst="rect">
                      <a:avLst/>
                    </a:prstGeom>
                    <a:noFill/>
                  </pic:spPr>
                </pic:pic>
              </a:graphicData>
            </a:graphic>
          </wp:anchor>
        </w:drawing>
        <w:drawing>
          <wp:anchor simplePos="0" relativeHeight="251657728" behindDoc="1" locked="0" layoutInCell="0" allowOverlap="1">
            <wp:simplePos x="0" y="0"/>
            <wp:positionH relativeFrom="column">
              <wp:posOffset>994410</wp:posOffset>
            </wp:positionH>
            <wp:positionV relativeFrom="paragraph">
              <wp:posOffset>325755</wp:posOffset>
            </wp:positionV>
            <wp:extent cx="30003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w:t>
      </w:r>
    </w:p>
    <w:p>
      <w:pPr>
        <w:sectPr>
          <w:pgSz w:w="11900" w:h="16838" w:orient="portrait"/>
          <w:cols w:equalWidth="0" w:num="1">
            <w:col w:w="10704"/>
          </w:cols>
          <w:pgMar w:left="436" w:top="266" w:right="75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 assign the foregoing Warrant, execute this form and supply required information. Do not use this form to exercise the Warrant to purchase shares.)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2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28"/>
        </w:trPr>
        <w:tc>
          <w:tcPr>
            <w:tcW w:w="4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(Please Print)</w:t>
            </w:r>
          </w:p>
        </w:tc>
      </w:tr>
      <w:tr>
        <w:trPr>
          <w:trHeight w:val="31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116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331"/>
        </w:trPr>
        <w:tc>
          <w:tcPr>
            <w:tcW w:w="4780" w:type="dxa"/>
            <w:vAlign w:val="bottom"/>
          </w:tcPr>
          <w:p>
            <w:pPr>
              <w:spacing w:after="0"/>
              <w:rPr>
                <w:sz w:val="24"/>
                <w:szCs w:val="24"/>
                <w:color w:val="auto"/>
              </w:rPr>
            </w:pPr>
          </w:p>
        </w:tc>
        <w:tc>
          <w:tcPr>
            <w:tcW w:w="62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(Please Print)</w:t>
            </w:r>
          </w:p>
        </w:tc>
      </w:tr>
      <w:tr>
        <w:trPr>
          <w:trHeight w:val="32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Phone Number:</w:t>
            </w:r>
          </w:p>
        </w:tc>
        <w:tc>
          <w:tcPr>
            <w:tcW w:w="116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331"/>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116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331"/>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Dated: _______________ __, ______</w:t>
            </w:r>
          </w:p>
        </w:tc>
        <w:tc>
          <w:tcPr>
            <w:tcW w:w="11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32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Holder’s Signature: ______________________________</w:t>
            </w:r>
          </w:p>
        </w:tc>
        <w:tc>
          <w:tcPr>
            <w:tcW w:w="11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32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Holder’s Address: _______________________________</w:t>
            </w:r>
          </w:p>
        </w:tc>
        <w:tc>
          <w:tcPr>
            <w:tcW w:w="1160" w:type="dxa"/>
            <w:vAlign w:val="bottom"/>
          </w:tcPr>
          <w:p>
            <w:pPr>
              <w:spacing w:after="0"/>
              <w:rPr>
                <w:sz w:val="24"/>
                <w:szCs w:val="24"/>
                <w:color w:val="auto"/>
              </w:rPr>
            </w:pPr>
          </w:p>
        </w:tc>
        <w:tc>
          <w:tcPr>
            <w:tcW w:w="508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165860" cy="3771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6586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Josh Seidenfeld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+1 650 843 5862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jseidenfeld@cooley.com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16,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We have acted as counsel to Rani Therapeutics Holdings,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offering by the Company of (i) 3,000,000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its Class A common stock, par value $0.0001 per share (the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(ii) pre-funded warrants (the “</w:t>
      </w:r>
      <w:r>
        <w:rPr>
          <w:rFonts w:ascii="Times New Roman" w:cs="Times New Roman" w:eastAsia="Times New Roman" w:hAnsi="Times New Roman"/>
          <w:sz w:val="18"/>
          <w:szCs w:val="18"/>
          <w:b w:val="1"/>
          <w:bCs w:val="1"/>
          <w:i w:val="1"/>
          <w:iCs w:val="1"/>
          <w:color w:val="auto"/>
        </w:rPr>
        <w:t>Pre-Funded Warrants</w:t>
      </w:r>
      <w:r>
        <w:rPr>
          <w:rFonts w:ascii="Times New Roman" w:cs="Times New Roman" w:eastAsia="Times New Roman" w:hAnsi="Times New Roman"/>
          <w:sz w:val="18"/>
          <w:szCs w:val="18"/>
          <w:color w:val="auto"/>
        </w:rPr>
        <w:t>”) to purchase up to 333,333 shares of Class A Common Stock (the “</w:t>
      </w:r>
      <w:r>
        <w:rPr>
          <w:rFonts w:ascii="Times New Roman" w:cs="Times New Roman" w:eastAsia="Times New Roman" w:hAnsi="Times New Roman"/>
          <w:sz w:val="18"/>
          <w:szCs w:val="18"/>
          <w:b w:val="1"/>
          <w:bCs w:val="1"/>
          <w:i w:val="1"/>
          <w:iCs w:val="1"/>
          <w:color w:val="auto"/>
        </w:rPr>
        <w:t>Pre-Funded Warrant Shares</w:t>
      </w:r>
      <w:r>
        <w:rPr>
          <w:rFonts w:ascii="Times New Roman" w:cs="Times New Roman" w:eastAsia="Times New Roman" w:hAnsi="Times New Roman"/>
          <w:sz w:val="18"/>
          <w:szCs w:val="18"/>
          <w:color w:val="auto"/>
        </w:rPr>
        <w:t>”), and (iii) Series C warrants (together with the Pre-Funded Warrants,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to purchase up to 3,333,333 shares of Class A Common Stock (together with the Pre-Funded Warrant Shares, the “</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pursuant to a Registration Statement on Form S-3 (Registration Statement No. 333-266444)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the base prospectus included in the Registration Statement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and the prospectus supplement relating to the Shares, the Warrants and the Warrant Shares filed with the Commission pursuant to Rule 424(b) under the Securities Act (together with the Base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the (a) Registration Statement and the Prospectus, (b) the forms of Warrants to be filed as exhibits to a Current Report on Form 8-K, (c) the Company’s certificate of incorporation and bylaws, each as currently in effect, and (d)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19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With regard to our opinion as to the Warrants and the Warrant Shares, we express no opinion to the extent that future issuances of securities of the Company, antidilution adjustments to outstanding securities of the Company or other matters cause the Warrants to be exercisable for more shares of Common Stock than the number available for issuance by the Company or that the consideration paid upon exercise of the Warrants is below the par value per share of the Common Stock.</w:t>
      </w:r>
    </w:p>
    <w:p>
      <w:pPr>
        <w:spacing w:after="0" w:line="180"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Our opinion is expressed only with respect to the General Corporation Law of the State of Delaware and, as to the Warrants constituting binding obligations of the Company, the laws of the State of New York. We express no opinion to the extent that any other laws are applicable to the subject matter hereof and express no opinion and provide no assurance as to compliance with any federal or state securities law, rule or regulation.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regard to our opinion concerning the Warrants constituting binding obligations of the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Cooley LLP   3175 Hanover Street   Palo Alto, CA   94304-1130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 (650) 843-5000 f: (650) 849-7400 cooley.com</w:t>
      </w:r>
    </w:p>
    <w:p>
      <w:pPr>
        <w:sectPr>
          <w:pgSz w:w="11900" w:h="16838" w:orient="portrait"/>
          <w:cols w:equalWidth="0" w:num="1">
            <w:col w:w="11020"/>
          </w:cols>
          <w:pgMar w:left="440" w:top="117" w:right="439" w:bottom="1440" w:gutter="0" w:footer="0" w:header="0"/>
        </w:sectPr>
      </w:pPr>
    </w:p>
    <w:bookmarkStart w:id="41" w:name="page42"/>
    <w:bookmarkEnd w:id="4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65860" cy="3771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Rani Therapeutics Holdings,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October 16,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Two</w:t>
      </w:r>
    </w:p>
    <w:p>
      <w:pPr>
        <w:spacing w:after="0" w:line="139" w:lineRule="exact"/>
        <w:rPr>
          <w:sz w:val="20"/>
          <w:szCs w:val="20"/>
          <w:color w:val="auto"/>
        </w:rPr>
      </w:pPr>
    </w:p>
    <w:p>
      <w:pPr>
        <w:ind w:left="4" w:right="260" w:firstLine="436"/>
        <w:spacing w:after="0" w:line="289" w:lineRule="auto"/>
        <w:tabs>
          <w:tab w:leader="none" w:pos="659"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opinion is subject to, and may be limited by, (a) applicable bankruptcy, reorganization, insolvency, moratorium, fraudulent conveyance, debtor and creditor, and similar laws which relate to or affect creditors’ rights generally, and (b) general principles of equity (including, without limitation, concepts of materiality, reasonableness, good faith and fair dealing) regardless of whether considered in a proceeding in equity or at law;</w:t>
      </w:r>
    </w:p>
    <w:p>
      <w:pPr>
        <w:spacing w:after="0" w:line="49" w:lineRule="exact"/>
        <w:rPr>
          <w:rFonts w:ascii="Times New Roman" w:cs="Times New Roman" w:eastAsia="Times New Roman" w:hAnsi="Times New Roman"/>
          <w:sz w:val="17"/>
          <w:szCs w:val="17"/>
          <w:color w:val="auto"/>
        </w:rPr>
      </w:pPr>
    </w:p>
    <w:p>
      <w:pPr>
        <w:ind w:left="4" w:right="20" w:firstLine="436"/>
        <w:spacing w:after="0" w:line="266" w:lineRule="auto"/>
        <w:tabs>
          <w:tab w:leader="none" w:pos="70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opinion is subject to the qualification that (a) the enforceability of provisions for indemnification or limitations on liability may be limited by applicable law and by public policy considerations, and (b) the availability of specific performance, an injunction or other equitable remedies is subject to the discretion of the court before which the request is brought;</w:t>
      </w:r>
    </w:p>
    <w:p>
      <w:pPr>
        <w:spacing w:after="0" w:line="67" w:lineRule="exact"/>
        <w:rPr>
          <w:rFonts w:ascii="Times New Roman" w:cs="Times New Roman" w:eastAsia="Times New Roman" w:hAnsi="Times New Roman"/>
          <w:sz w:val="18"/>
          <w:szCs w:val="18"/>
          <w:color w:val="auto"/>
        </w:rPr>
      </w:pPr>
    </w:p>
    <w:p>
      <w:pPr>
        <w:ind w:left="4" w:firstLine="436"/>
        <w:spacing w:after="0" w:line="253" w:lineRule="auto"/>
        <w:tabs>
          <w:tab w:leader="none" w:pos="75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with respect to any provision of the Warrants that: (a) relates to the subject matter jurisdiction of any federal court of the United States of America or any federal appellate court to adjudicate any controversy related to the Warrants; (b) specifies provisions may be waived in writing, to the extent that an oral agreement or implied agreement by trade practice or course of conduct has been created that modifies such provision; (c) contains a waiver of an inconvenient forum; (d) provides for liquidated damages, default interest, late charges, monetary penalties, prepayment or make-whole payments or other economic remedies; (e) relates to advance waivers of claims, defenses, rights granted by law, or notice, opportunity for hearing, evidentiary requirements, statutes of limitations, trial by jury, service of process or procedural rights; (f) restricts non-written modifications and waivers; (g) provides for the payment of legal and other professional fees where such payment is contrary to law or public policy;</w:t>
      </w:r>
    </w:p>
    <w:p>
      <w:pPr>
        <w:spacing w:after="0" w:line="2" w:lineRule="exact"/>
        <w:rPr>
          <w:rFonts w:ascii="Times New Roman" w:cs="Times New Roman" w:eastAsia="Times New Roman" w:hAnsi="Times New Roman"/>
          <w:sz w:val="18"/>
          <w:szCs w:val="18"/>
          <w:color w:val="auto"/>
        </w:rPr>
      </w:pPr>
    </w:p>
    <w:p>
      <w:pPr>
        <w:ind w:left="4" w:right="320" w:hanging="4"/>
        <w:spacing w:after="0" w:line="260" w:lineRule="auto"/>
        <w:tabs>
          <w:tab w:leader="none" w:pos="25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exclusivity, election or accumulation of rights or remedies; or (i) provides that provisions of the Warrants are severable to the extent an essential part of the agreed exchange is determined to be invalid and unenforceable; and</w:t>
      </w:r>
    </w:p>
    <w:p>
      <w:pPr>
        <w:spacing w:after="0" w:line="73" w:lineRule="exact"/>
        <w:rPr>
          <w:sz w:val="20"/>
          <w:szCs w:val="20"/>
          <w:color w:val="auto"/>
        </w:rPr>
      </w:pPr>
    </w:p>
    <w:p>
      <w:pPr>
        <w:ind w:left="4" w:right="220" w:hanging="4"/>
        <w:spacing w:after="0" w:line="282" w:lineRule="auto"/>
        <w:tabs>
          <w:tab w:leader="none" w:pos="30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as to whether a state court outside of the State of New York or a federal court of the United States would give effect to the choice of New York law or jurisdiction provided for in the Warrants.</w:t>
      </w:r>
    </w:p>
    <w:p>
      <w:pPr>
        <w:spacing w:after="0" w:line="162" w:lineRule="exact"/>
        <w:rPr>
          <w:sz w:val="20"/>
          <w:szCs w:val="20"/>
          <w:color w:val="auto"/>
        </w:rPr>
      </w:pPr>
    </w:p>
    <w:p>
      <w:pPr>
        <w:ind w:left="4" w:right="120"/>
        <w:spacing w:after="0" w:line="276" w:lineRule="auto"/>
        <w:rPr>
          <w:sz w:val="20"/>
          <w:szCs w:val="20"/>
          <w:color w:val="auto"/>
        </w:rPr>
      </w:pPr>
      <w:r>
        <w:rPr>
          <w:rFonts w:ascii="Times New Roman" w:cs="Times New Roman" w:eastAsia="Times New Roman" w:hAnsi="Times New Roman"/>
          <w:sz w:val="17"/>
          <w:szCs w:val="17"/>
          <w:color w:val="auto"/>
        </w:rPr>
        <w:t>On the basis of the foregoing, in reliance thereon and subject to the qualifications set forth herein, we are of the opinion that (i) the Shares, when sold and issued against payment therefor as described in the Registration Statement and the Prospectus, will be validly issued, fully paid and nonassessable,</w:t>
      </w:r>
    </w:p>
    <w:p>
      <w:pPr>
        <w:spacing w:after="0" w:line="1" w:lineRule="exact"/>
        <w:rPr>
          <w:sz w:val="20"/>
          <w:szCs w:val="20"/>
          <w:color w:val="auto"/>
        </w:rPr>
      </w:pPr>
    </w:p>
    <w:p>
      <w:pPr>
        <w:ind w:left="4" w:right="460" w:hanging="4"/>
        <w:spacing w:after="0" w:line="255" w:lineRule="auto"/>
        <w:tabs>
          <w:tab w:leader="none" w:pos="26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when duly executed and delivered by the Company against payment therefor as provided in the Registration Statement and the Prospectus, will be binding obligations of the Company, and (iii) the Warrant Shares, when issued and paid for in accordance with the terms of the Warrants, will be validly issued, fully paid and nonassessable.</w:t>
      </w:r>
    </w:p>
    <w:p>
      <w:pPr>
        <w:spacing w:after="0" w:line="186"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Cooley LLP 3175 Hanover Street Palo Alto, CA 94304-1130</w:t>
      </w:r>
    </w:p>
    <w:p>
      <w:pPr>
        <w:spacing w:after="0" w:line="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t: (650) 843-5000 f: (650) 849-7400 cooley.com</w:t>
      </w:r>
    </w:p>
    <w:p>
      <w:pPr>
        <w:sectPr>
          <w:pgSz w:w="11900" w:h="16838" w:orient="portrait"/>
          <w:cols w:equalWidth="0" w:num="1">
            <w:col w:w="10984"/>
          </w:cols>
          <w:pgMar w:left="436" w:top="972"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65860" cy="3771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Rani Therapeutics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16,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Three</w:t>
      </w:r>
    </w:p>
    <w:p>
      <w:pPr>
        <w:spacing w:after="0" w:line="1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consent to the reference to our firm under the heading “Legal Matters” in the Prospectus and to the filing of this opinion as an exhibit to a Current Report on Form 8-K to be filed with the Commission for incorporation by reference into the Registration Statement. In giving such consents, we do not thereby admit that we are in the category of persons whose consent is required under Section 7 of the Securities Act or the rules and regulations of the Commission thereunder.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Cooley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Josh Seidenfeld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Josh Seidenfeld</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Cooley LLP 3175 Hanover Street Palo Alto, CA 94304-1130</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 (650) 843-5000 f: (650) 849-7400 cooley.com</w:t>
      </w:r>
    </w:p>
    <w:p>
      <w:pPr>
        <w:sectPr>
          <w:pgSz w:w="11900" w:h="16838" w:orient="portrait"/>
          <w:cols w:equalWidth="0" w:num="1">
            <w:col w:w="10900"/>
          </w:cols>
          <w:pgMar w:left="440" w:top="972" w:right="55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October 15, 2024, between Rani Therapeutics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an effective registration statement under the Securities Act (as defined below), the Company desires to issue and sell to each Purchaser, and each Purchaser, severally and not jointly, desires to purchase from the Company, securities of the Company as more fully described in this Agreement.</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4.5.</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117" w:lineRule="exact"/>
        <w:rPr>
          <w:sz w:val="20"/>
          <w:szCs w:val="20"/>
          <w:color w:val="auto"/>
        </w:rPr>
      </w:pPr>
    </w:p>
    <w:p>
      <w:pPr>
        <w:ind w:left="440" w:right="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117" w:lineRule="exact"/>
        <w:rPr>
          <w:sz w:val="20"/>
          <w:szCs w:val="20"/>
          <w:color w:val="auto"/>
        </w:rPr>
      </w:pPr>
    </w:p>
    <w:p>
      <w:pPr>
        <w:ind w:left="440" w:right="80" w:firstLine="423"/>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any day which is a federal legal holiday in the United States or any other day on which commercial banks in The City of New York are authorized or required by law or other governmental action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7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Securities pursuant to Section 2.1.</w:t>
      </w:r>
    </w:p>
    <w:p>
      <w:pPr>
        <w:sectPr>
          <w:pgSz w:w="11900" w:h="16838" w:orient="portrait"/>
          <w:cols w:equalWidth="0" w:num="1">
            <w:col w:w="11020"/>
          </w:cols>
          <w:pgMar w:left="440" w:top="117" w:right="439" w:bottom="1440" w:gutter="0" w:footer="0" w:header="0"/>
        </w:sectPr>
      </w:pPr>
    </w:p>
    <w:bookmarkStart w:id="44" w:name="page45"/>
    <w:bookmarkEnd w:id="44"/>
    <w:p>
      <w:pPr>
        <w:ind w:firstLine="423"/>
        <w:spacing w:after="0" w:line="23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first (1st) Trading Day following the date hereof (or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Trading Day following the date hereof if this Agreement is signed on a day that is not a Trading Day or after 4:00 p.m. (New York City time) and before midnight (New York City time) on a Trading Day).</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117" w:lineRule="exact"/>
        <w:rPr>
          <w:sz w:val="20"/>
          <w:szCs w:val="20"/>
          <w:color w:val="auto"/>
        </w:rPr>
      </w:pPr>
    </w:p>
    <w:p>
      <w:pPr>
        <w:ind w:right="3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Class A common stock of the Company, par value $0.0001 per share, and any other class of securities into which such securities may hereafter be reclassified or changed.</w:t>
      </w:r>
    </w:p>
    <w:p>
      <w:pPr>
        <w:spacing w:after="0" w:line="54" w:lineRule="exact"/>
        <w:rPr>
          <w:sz w:val="20"/>
          <w:szCs w:val="20"/>
          <w:color w:val="auto"/>
        </w:rPr>
      </w:pPr>
    </w:p>
    <w:p>
      <w:pPr>
        <w:ind w:right="8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68" w:lineRule="exact"/>
        <w:rPr>
          <w:sz w:val="20"/>
          <w:szCs w:val="20"/>
          <w:color w:val="auto"/>
        </w:rPr>
      </w:pPr>
    </w:p>
    <w:p>
      <w:pPr>
        <w:ind w:right="40"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EGS</w:t>
      </w:r>
      <w:r>
        <w:rPr>
          <w:rFonts w:ascii="Times New Roman" w:cs="Times New Roman" w:eastAsia="Times New Roman" w:hAnsi="Times New Roman"/>
          <w:sz w:val="18"/>
          <w:szCs w:val="18"/>
          <w:color w:val="auto"/>
        </w:rPr>
        <w:t>” means Ellenoff Grossman &amp; Schole LLP, with offices located at 1345 Avenue of the Americas, New York, New York 10105-0302.</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117" w:lineRule="exact"/>
        <w:rPr>
          <w:sz w:val="20"/>
          <w:szCs w:val="20"/>
          <w:color w:val="auto"/>
        </w:rPr>
      </w:pPr>
    </w:p>
    <w:p>
      <w:pPr>
        <w:ind w:right="200" w:firstLine="423"/>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the issuance of (a) securities to employees, officers, consultants or directors of the Company pursuant to any equity incentive, stock or option plan duly adopted for such purpose, (b) securities upon the exercise or exchange of or conversion of any Securities issued hereunder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(c) securities issued pursuant to any joint venture, commercial or collaborative relationship, or the acquisition or license by the Company of the securities, businesses, property or other assets of another</w:t>
      </w:r>
    </w:p>
    <w:p>
      <w:pPr>
        <w:sectPr>
          <w:pgSz w:w="11900" w:h="16838" w:orient="portrait"/>
          <w:cols w:equalWidth="0" w:num="1">
            <w:col w:w="10540"/>
          </w:cols>
          <w:pgMar w:left="880" w:top="270" w:right="479" w:bottom="1440" w:gutter="0" w:footer="0" w:header="0"/>
        </w:sectPr>
      </w:pPr>
    </w:p>
    <w:bookmarkStart w:id="45" w:name="page46"/>
    <w:bookmarkEnd w:id="4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person approved by a majority of the disinterested directors of the Company, provided that either (1) such securities are issued as “restricted securities” (as defined in Rule 144) and carry no registration rights that require or permit the filing of any registration statement in connection therewith during the prohibition period in Section 4.11(a) herein or (2) such purchaser is prohibited from selling, transferring or otherwise disposing of such securities during the prohibition period in Section 4.11(a)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and (d) issuances to one or more lenders in connection with the Company’s entry into a debt financing transaction, provided that such issuances shall only be in the form of warrants to purchase shares of Common Stock and carry no registration rights that require or permit the filing of any registration statement in connection therewith during the prohibition period in Section 4.11(a) herein.</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shall have the meaning ascribed to such term in Section 3.1(gg).</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shall have the meaning ascribed to such term in Section 3.1(gg).</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3.1(h).</w:t>
      </w:r>
    </w:p>
    <w:p>
      <w:pPr>
        <w:spacing w:after="0" w:line="117" w:lineRule="exact"/>
        <w:rPr>
          <w:sz w:val="20"/>
          <w:szCs w:val="20"/>
          <w:color w:val="auto"/>
        </w:rPr>
      </w:pPr>
    </w:p>
    <w:p>
      <w:pPr>
        <w:ind w:right="20"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or encumbrance.</w:t>
      </w:r>
    </w:p>
    <w:p>
      <w:pPr>
        <w:spacing w:after="0" w:line="117" w:lineRule="exact"/>
        <w:rPr>
          <w:sz w:val="20"/>
          <w:szCs w:val="20"/>
          <w:color w:val="auto"/>
        </w:rPr>
      </w:pPr>
    </w:p>
    <w:p>
      <w:pPr>
        <w:ind w:right="5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xml:space="preserve">” means the Lock-Up Agreement, dated as of the date hereof, by and among the Company and the directors and officers of the Company,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attached hereto.</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3.1(n).</w:t>
      </w:r>
    </w:p>
    <w:p>
      <w:pPr>
        <w:sectPr>
          <w:pgSz w:w="11900" w:h="16838" w:orient="portrait"/>
          <w:cols w:equalWidth="0" w:num="1">
            <w:col w:w="10560"/>
          </w:cols>
          <w:pgMar w:left="880" w:top="270" w:right="459" w:bottom="1440" w:gutter="0" w:footer="0" w:header="0"/>
        </w:sectPr>
      </w:pPr>
    </w:p>
    <w:bookmarkStart w:id="46" w:name="page47"/>
    <w:bookmarkEnd w:id="46"/>
    <w:p>
      <w:pPr>
        <w:ind w:firstLine="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$3.00, subject to adjustment for reverse and forward stock splits, stock dividends, stock combinations and other similar transactions of the Common Stock that occur after the date of this Agreement, provided that the purchase price per Prefunded Warrant shall be the Per Share Purchase Price minus $0.0001.</w:t>
      </w:r>
    </w:p>
    <w:p>
      <w:pPr>
        <w:spacing w:after="0" w:line="68" w:lineRule="exact"/>
        <w:rPr>
          <w:sz w:val="20"/>
          <w:szCs w:val="20"/>
          <w:color w:val="auto"/>
        </w:rPr>
      </w:pPr>
    </w:p>
    <w:p>
      <w:pPr>
        <w:ind w:right="2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Pharmaceutical Product</w:t>
      </w:r>
      <w:r>
        <w:rPr>
          <w:rFonts w:ascii="Times New Roman" w:cs="Times New Roman" w:eastAsia="Times New Roman" w:hAnsi="Times New Roman"/>
          <w:sz w:val="18"/>
          <w:szCs w:val="18"/>
          <w:color w:val="auto"/>
        </w:rPr>
        <w:t>” shall have the meaning ascribed to such term in Section 3.1(gg).</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means Maxim Group LLC.</w:t>
      </w:r>
    </w:p>
    <w:p>
      <w:pPr>
        <w:spacing w:after="0" w:line="117" w:lineRule="exact"/>
        <w:rPr>
          <w:sz w:val="20"/>
          <w:szCs w:val="20"/>
          <w:color w:val="auto"/>
        </w:rPr>
      </w:pPr>
    </w:p>
    <w:p>
      <w:pPr>
        <w:ind w:right="10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w:t>
      </w:r>
      <w:r>
        <w:rPr>
          <w:rFonts w:ascii="Times New Roman" w:cs="Times New Roman" w:eastAsia="Times New Roman" w:hAnsi="Times New Roman"/>
          <w:sz w:val="18"/>
          <w:szCs w:val="18"/>
          <w:color w:val="auto"/>
        </w:rPr>
        <w:t xml:space="preserve">” means, collectively, the Prefunded Common Stock purchase warrants delivered to the Purchasers at the Closing in accordance with Section 2.2(a) hereof, which Prefunded Warrants shall be exercisable immediately and shall expire when exercised in full,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right="2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base prospectus filed for the Registration Statement.</w:t>
      </w:r>
    </w:p>
    <w:p>
      <w:pPr>
        <w:spacing w:after="0" w:line="117" w:lineRule="exact"/>
        <w:rPr>
          <w:sz w:val="20"/>
          <w:szCs w:val="20"/>
          <w:color w:val="auto"/>
        </w:rPr>
      </w:pPr>
    </w:p>
    <w:p>
      <w:pPr>
        <w:jc w:val="both"/>
        <w:ind w:right="36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means the supplement to the Prospectus complying with Rule 424(b) of the Securities Act to be filed with the Commission and delivered by the Company to each Purchaser at the Closing, including all information, documents and exhibits filed with or incorporated by reference into such supplement to the Prospectus.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4.8.</w:t>
      </w:r>
    </w:p>
    <w:p>
      <w:pPr>
        <w:spacing w:after="0" w:line="117" w:lineRule="exact"/>
        <w:rPr>
          <w:sz w:val="20"/>
          <w:szCs w:val="20"/>
          <w:color w:val="auto"/>
        </w:rPr>
      </w:pPr>
    </w:p>
    <w:p>
      <w:pPr>
        <w:ind w:right="2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effective registration statement with Commission file No. 333-266444 which registers the sale of the Shares, the Warrants and the Warrant Shares to the Purchasers.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117" w:lineRule="exact"/>
        <w:rPr>
          <w:sz w:val="20"/>
          <w:szCs w:val="20"/>
          <w:color w:val="auto"/>
        </w:rPr>
      </w:pPr>
    </w:p>
    <w:p>
      <w:pPr>
        <w:ind w:right="4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68" w:lineRule="exact"/>
        <w:rPr>
          <w:sz w:val="20"/>
          <w:szCs w:val="20"/>
          <w:color w:val="auto"/>
        </w:rPr>
      </w:pPr>
    </w:p>
    <w:p>
      <w:pPr>
        <w:ind w:right="4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ectPr>
          <w:pgSz w:w="11900" w:h="16838" w:orient="portrait"/>
          <w:cols w:equalWidth="0" w:num="1">
            <w:col w:w="10540"/>
          </w:cols>
          <w:pgMar w:left="880" w:top="270" w:right="479" w:bottom="1440" w:gutter="0" w:footer="0" w:header="0"/>
        </w:sectPr>
      </w:pPr>
    </w:p>
    <w:bookmarkStart w:id="47" w:name="page48"/>
    <w:bookmarkEnd w:id="47"/>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Shares, the Warrants and the Warrant Shares.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by the Commission thereunder.</w:t>
      </w:r>
    </w:p>
    <w:p>
      <w:pPr>
        <w:spacing w:after="0" w:line="117" w:lineRule="exact"/>
        <w:rPr>
          <w:sz w:val="20"/>
          <w:szCs w:val="20"/>
          <w:color w:val="auto"/>
        </w:rPr>
      </w:pPr>
    </w:p>
    <w:p>
      <w:pPr>
        <w:jc w:val="both"/>
        <w:ind w:right="10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C Warrants</w:t>
      </w:r>
      <w:r>
        <w:rPr>
          <w:rFonts w:ascii="Times New Roman" w:cs="Times New Roman" w:eastAsia="Times New Roman" w:hAnsi="Times New Roman"/>
          <w:sz w:val="18"/>
          <w:szCs w:val="18"/>
          <w:color w:val="auto"/>
        </w:rPr>
        <w:t xml:space="preserve">” means, collectively, the Series C Common Stock purchase warrants to be delivered to the Purchasers at the Closing in accordance with Section 2.2 hereof, which Series C Warrants shall be exercisable immediately from the Closing Date and have a term of exercise equal to five (5) years from the initial exercise date,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Common Stock issued or issuable to each Purchaser pursuant to this Agreement.</w:t>
      </w:r>
    </w:p>
    <w:p>
      <w:pPr>
        <w:spacing w:after="0" w:line="117" w:lineRule="exact"/>
        <w:rPr>
          <w:sz w:val="20"/>
          <w:szCs w:val="20"/>
          <w:color w:val="auto"/>
        </w:rPr>
      </w:pPr>
    </w:p>
    <w:p>
      <w:pPr>
        <w:ind w:right="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54" w:lineRule="exact"/>
        <w:rPr>
          <w:sz w:val="20"/>
          <w:szCs w:val="20"/>
          <w:color w:val="auto"/>
        </w:rPr>
      </w:pPr>
    </w:p>
    <w:p>
      <w:pPr>
        <w:ind w:right="2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Shares and Warrants purchased hereunder as specified below such Purchaser’s name on the signature page of this Agreement and next to the heading “Subscription Amount,” in United States dollars and in immediately available funds (minus, if applicable, a Purchaser’s aggregate exercise price of the Prefunded Warrants, which amounts shall be paid as and when such Prefunded Warrants are exercised).</w:t>
      </w:r>
    </w:p>
    <w:p>
      <w:pPr>
        <w:spacing w:after="0" w:line="72" w:lineRule="exact"/>
        <w:rPr>
          <w:sz w:val="20"/>
          <w:szCs w:val="20"/>
          <w:color w:val="auto"/>
        </w:rPr>
      </w:pPr>
    </w:p>
    <w:p>
      <w:pPr>
        <w:ind w:right="12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means those entities set forth on Exhibit 21.1 to the Company’s Annual Report on Form 10-K for the year ended December 31, 2023 and shall, where applicable, also include any direct or indirect subsidiary of the Company formed or acquired after the date hereof.</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117" w:lineRule="exact"/>
        <w:rPr>
          <w:sz w:val="20"/>
          <w:szCs w:val="20"/>
          <w:color w:val="auto"/>
        </w:rPr>
      </w:pPr>
    </w:p>
    <w:p>
      <w:pPr>
        <w:ind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the Pink Open Market, OTCQB Venture Market or the OTCQX Best Market (or any successors to any of the foregoing).</w:t>
      </w:r>
    </w:p>
    <w:p>
      <w:pPr>
        <w:spacing w:after="0" w:line="68" w:lineRule="exact"/>
        <w:rPr>
          <w:sz w:val="20"/>
          <w:szCs w:val="20"/>
          <w:color w:val="auto"/>
        </w:rPr>
      </w:pPr>
    </w:p>
    <w:p>
      <w:pPr>
        <w:ind w:right="1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Lock-Up Agreement, the Warrants, all exhibits and schedules thereto and hereto and any other documents or agreements executed in connection with the transactions contemplated hereunder.</w:t>
      </w:r>
    </w:p>
    <w:p>
      <w:pPr>
        <w:spacing w:after="0" w:line="54" w:lineRule="exact"/>
        <w:rPr>
          <w:sz w:val="20"/>
          <w:szCs w:val="20"/>
          <w:color w:val="auto"/>
        </w:rPr>
      </w:pPr>
    </w:p>
    <w:p>
      <w:pPr>
        <w:ind w:right="4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Equiniti Trust Company, LLC, the current transfer agent of the Company, with a mailing address of 6201 15th Avenue, Brooklyn, NY 11219, and any successor transfer agent of the Company.</w:t>
      </w:r>
    </w:p>
    <w:p>
      <w:pPr>
        <w:sectPr>
          <w:pgSz w:w="11900" w:h="16838" w:orient="portrait"/>
          <w:cols w:equalWidth="0" w:num="1">
            <w:col w:w="10560"/>
          </w:cols>
          <w:pgMar w:left="880" w:top="270" w:right="459" w:bottom="1440" w:gutter="0" w:footer="0" w:header="0"/>
        </w:sectPr>
      </w:pPr>
    </w:p>
    <w:bookmarkStart w:id="48" w:name="page49"/>
    <w:bookmarkEnd w:id="48"/>
    <w:p>
      <w:pPr>
        <w:ind w:left="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shall have the meaning ascribed to such term in Section 4.11(b).</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means, collectively, the Series C Warrants and the Prefunded Warrants.</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means the shares of Common Stock issuable upon exercise of the Warrants.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0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On the Closing Date, upon the terms and subject to the conditions set forth herein, the Company agrees to sell, and the Purchasers, severally and not jointly, agree to purchase, up to an aggregate of $9,999,999.00 of Shares and Series C Warrants;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w:t>
      </w:r>
      <w:r>
        <w:rPr>
          <w:rFonts w:ascii="Times New Roman" w:cs="Times New Roman" w:eastAsia="Times New Roman" w:hAnsi="Times New Roman"/>
          <w:sz w:val="18"/>
          <w:szCs w:val="18"/>
          <w:color w:val="auto"/>
        </w:rPr>
        <w:t>r, that, to the extent that a Purchaser determines, in its sole discretion, that such Purchaser (together with such Purchaser’s Affiliates, and any Person acting as a group together with such Purchaser or any of such Purchaser’s Affiliates) would beneficially own in excess of the Beneficial Ownership Limitation (as defined below), or as such Purchaser may otherwise choose, in lieu of purchasing Shares such Purchaser may elect to purchase Prefunded Warrants in lieu of Shares in such manner to result in the same aggregate purchase price being paid by such Purchaser to the Company.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9.99% of the number of shares of the Common Stock outstanding immediately after giving effect to the issuance of the Shares on the Closing Date. Each Purchaser’s Subscription Amount as set forth on the signature page hereto executed by such Purchaser shall be made available for “Delivery Versus Payment” settlement with the Company or its designees. The Company shall deliver to each Purchaser its respective Shares and Warrants as determined pursuant to Section 2.2(a), and the Company and each Purchaser shall deliver the other items set forth in Section 2.2 deliverable at the Closing. Upon satisfaction of the covenants and conditions set forth in Sections 2.2 and 2.3, the Closing shall occur at the offices of EGS or such other location (including by electronic transmission) as determined by the Company. Unless otherwise directed by the Placement Agent, settlement of the Shares shall occur via “Delivery Versus Payment”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 Notwithstanding anything herein to the contrary, if at any time on or after the time of execution of this Agreement by the Company and an applicable Purchaser, through, and including the time immediately prior to the Closing (the “</w:t>
      </w:r>
      <w:r>
        <w:rPr>
          <w:rFonts w:ascii="Times New Roman" w:cs="Times New Roman" w:eastAsia="Times New Roman" w:hAnsi="Times New Roman"/>
          <w:sz w:val="18"/>
          <w:szCs w:val="18"/>
          <w:u w:val="single" w:color="auto"/>
          <w:color w:val="auto"/>
        </w:rPr>
        <w:t>Pre-Settlement Period</w:t>
      </w:r>
      <w:r>
        <w:rPr>
          <w:rFonts w:ascii="Times New Roman" w:cs="Times New Roman" w:eastAsia="Times New Roman" w:hAnsi="Times New Roman"/>
          <w:sz w:val="18"/>
          <w:szCs w:val="18"/>
          <w:color w:val="auto"/>
        </w:rPr>
        <w:t>”), such Purchaser sells to any Person all, or any portion, of the Shares to be issued hereunder to such Purchaser at the Closing (collectively, the “</w:t>
      </w:r>
      <w:r>
        <w:rPr>
          <w:rFonts w:ascii="Times New Roman" w:cs="Times New Roman" w:eastAsia="Times New Roman" w:hAnsi="Times New Roman"/>
          <w:sz w:val="18"/>
          <w:szCs w:val="18"/>
          <w:u w:val="single" w:color="auto"/>
          <w:color w:val="auto"/>
        </w:rPr>
        <w:t>Pre-Settlement Shares</w:t>
      </w:r>
      <w:r>
        <w:rPr>
          <w:rFonts w:ascii="Times New Roman" w:cs="Times New Roman" w:eastAsia="Times New Roman" w:hAnsi="Times New Roman"/>
          <w:sz w:val="18"/>
          <w:szCs w:val="18"/>
          <w:color w:val="auto"/>
        </w:rPr>
        <w:t>”), such Purchaser shall, automatically hereunder (without any additional required actions by such Purchaser or the Company), be deemed to be unconditionally bound to purchase, such Pre-Settlement Shares at the Closing; provided, that the Company shall not be required to deliver any Pre-Settlement Shares to such Purchaser prior to the Company’s receipt of the purchase price of such Pre-Settlement Shares hereunder; and provided further that the Company hereby acknowledges and agrees that the forgoing shall not constitute a representation or covenant by such Purchaser as to whether or not during the Pre-Settlement Period such Purchaser shall sell any shares of Common Stock to any Person and that any such decision to</w:t>
      </w:r>
    </w:p>
    <w:p>
      <w:pPr>
        <w:sectPr>
          <w:pgSz w:w="11900" w:h="16838" w:orient="portrait"/>
          <w:cols w:equalWidth="0" w:num="1">
            <w:col w:w="11000"/>
          </w:cols>
          <w:pgMar w:left="440" w:top="270" w:right="459" w:bottom="1440" w:gutter="0" w:footer="0" w:header="0"/>
        </w:sectPr>
      </w:pPr>
    </w:p>
    <w:bookmarkStart w:id="49" w:name="page50"/>
    <w:bookmarkEnd w:id="49"/>
    <w:p>
      <w:pPr>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sell any shares of Common Stock by such Purchaser shall solely be made at the time such Purchaser elects to effect any such sale, if any. Notwithstanding anything to the contrary herein and a Purchaser’s Subscription Amount set forth on the signature pages attached hereto, the number of Shares purchased by a Purchaser (and its Affiliates) hereunder shall not, when aggregated with all other shares of Common Stock owned by such Purchaser (and its Affiliates) at such time, result in such Purchaser beneficially owning (as determined in accordance with Section 13(d) of the Exchange Act) in excess of 9.99% of the then issued and outstanding Common Stock outstanding at the Closing (the “</w:t>
      </w:r>
      <w:r>
        <w:rPr>
          <w:rFonts w:ascii="Times New Roman" w:cs="Times New Roman" w:eastAsia="Times New Roman" w:hAnsi="Times New Roman"/>
          <w:sz w:val="17"/>
          <w:szCs w:val="17"/>
          <w:u w:val="single" w:color="auto"/>
          <w:color w:val="auto"/>
        </w:rPr>
        <w:t>Beneficial Ownership Maximum</w:t>
      </w:r>
      <w:r>
        <w:rPr>
          <w:rFonts w:ascii="Times New Roman" w:cs="Times New Roman" w:eastAsia="Times New Roman" w:hAnsi="Times New Roman"/>
          <w:sz w:val="17"/>
          <w:szCs w:val="17"/>
          <w:color w:val="auto"/>
        </w:rPr>
        <w:t>”), and such Purchaser’s Subscription Amount, to the extent it would otherwise exceed the Beneficial Ownership Maximum immediately prior to the Closing, shall be conditioned upon the issuance of Shares at the Closing to the other Purchasers signatory hereto. To the extent that a Purchaser’s beneficial ownership of the Shares would otherwise be deemed to exceed the Beneficial Ownership Maximum, such Purchaser’s Subscription Amount shall automatically be reduced as necessary in order to comply with this paragraph. Notwithstanding the foregoing, with respect to any Notice(s) of Exercise (as defined in the Prefunded Warrants) delivered on or prior to 12:00 p.m. (New York City time) on the Closing Date, which may be delivered at any time after the time of execution of this Agreement, the Company agrees to deliver the Warrant Shares subject to such notice(s) by 4:00 p.m. (New York City time) on the Closing Date and the Closing Date shall be the Warrant Share Delivery Date (as defined in the Prefunded Warrants) for purposes hereunder.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320" w:firstLine="419"/>
        <w:spacing w:after="0" w:line="282" w:lineRule="auto"/>
        <w:tabs>
          <w:tab w:leader="none" w:pos="110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(except as indicated below), the Company shall deliver or cause to be delivered to each Purchaser the following:</w:t>
      </w:r>
    </w:p>
    <w:p>
      <w:pPr>
        <w:spacing w:after="0" w:line="53"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117" w:lineRule="exact"/>
        <w:rPr>
          <w:rFonts w:ascii="Times New Roman" w:cs="Times New Roman" w:eastAsia="Times New Roman" w:hAnsi="Times New Roman"/>
          <w:sz w:val="18"/>
          <w:szCs w:val="18"/>
          <w:color w:val="auto"/>
        </w:rPr>
      </w:pPr>
    </w:p>
    <w:p>
      <w:pPr>
        <w:ind w:left="980" w:right="400" w:firstLine="408"/>
        <w:spacing w:after="0" w:line="282" w:lineRule="auto"/>
        <w:tabs>
          <w:tab w:leader="none" w:pos="164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 the Company shall have provided each Purchaser with the Company’s wire instructions, on Company letterhead and executed by the Chief Executive Officer or Chief Financial Officer;</w:t>
      </w:r>
    </w:p>
    <w:p>
      <w:pPr>
        <w:spacing w:after="0" w:line="53" w:lineRule="exact"/>
        <w:rPr>
          <w:rFonts w:ascii="Times New Roman" w:cs="Times New Roman" w:eastAsia="Times New Roman" w:hAnsi="Times New Roman"/>
          <w:sz w:val="18"/>
          <w:szCs w:val="18"/>
          <w:color w:val="auto"/>
        </w:rPr>
      </w:pPr>
    </w:p>
    <w:p>
      <w:pPr>
        <w:ind w:left="980" w:right="20" w:firstLine="408"/>
        <w:spacing w:after="0" w:line="266" w:lineRule="auto"/>
        <w:tabs>
          <w:tab w:leader="none" w:pos="169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 a copy of the irrevocable instructions to the Transfer Agent instructing the Transfer Agent to deliver on an expedited basis via The Depository Trust Company Deposit or Withdrawal at Custodian system Shares equal to such Purchaser’s Subscription Amount divided by the Per Share Purchase Price, registered in the name of such Purchaser;</w:t>
      </w:r>
    </w:p>
    <w:p>
      <w:pPr>
        <w:spacing w:after="0" w:line="67" w:lineRule="exact"/>
        <w:rPr>
          <w:rFonts w:ascii="Times New Roman" w:cs="Times New Roman" w:eastAsia="Times New Roman" w:hAnsi="Times New Roman"/>
          <w:sz w:val="18"/>
          <w:szCs w:val="18"/>
          <w:color w:val="auto"/>
        </w:rPr>
      </w:pPr>
    </w:p>
    <w:p>
      <w:pPr>
        <w:ind w:left="980" w:right="320" w:firstLine="408"/>
        <w:spacing w:after="0" w:line="282" w:lineRule="auto"/>
        <w:tabs>
          <w:tab w:leader="none" w:pos="168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Series C Warrant registered in the name of such Purchaser to purchase up to a number of shares of Common Stock equal to 100% of such Purchaser’s Shares, with an exercise price equal to $3.00, subject to adjustment therein;</w:t>
      </w:r>
    </w:p>
    <w:p>
      <w:pPr>
        <w:spacing w:after="0" w:line="53" w:lineRule="exact"/>
        <w:rPr>
          <w:rFonts w:ascii="Times New Roman" w:cs="Times New Roman" w:eastAsia="Times New Roman" w:hAnsi="Times New Roman"/>
          <w:sz w:val="18"/>
          <w:szCs w:val="18"/>
          <w:color w:val="auto"/>
        </w:rPr>
      </w:pPr>
    </w:p>
    <w:p>
      <w:pPr>
        <w:ind w:left="980" w:right="100" w:firstLine="408"/>
        <w:spacing w:after="0" w:line="266" w:lineRule="auto"/>
        <w:tabs>
          <w:tab w:leader="none" w:pos="163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Purchaser of Prefunded Warrants pursuant to Section 2.1, a Prefunded Warrant registered in the name of such Purchaser to purchase up to a number of shares of Common Stock equal to the portion of such Purchaser’s Subscription Amount applicable to Prefunded Warrant, with an exercise price equal to $0.0001, subject to adjustment therein;</w:t>
      </w:r>
    </w:p>
    <w:p>
      <w:pPr>
        <w:sectPr>
          <w:pgSz w:w="11900" w:h="16838" w:orient="portrait"/>
          <w:cols w:equalWidth="0" w:num="1">
            <w:col w:w="11000"/>
          </w:cols>
          <w:pgMar w:left="440" w:top="270" w:right="459" w:bottom="1440" w:gutter="0" w:footer="0" w:header="0"/>
        </w:sectPr>
      </w:pPr>
    </w:p>
    <w:bookmarkStart w:id="50" w:name="page51"/>
    <w:bookmarkEnd w:id="50"/>
    <w:p>
      <w:pPr>
        <w:ind w:left="1704" w:hanging="312"/>
        <w:spacing w:after="0"/>
        <w:tabs>
          <w:tab w:leader="none" w:pos="170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the date hereof, the duly executed Lock-Up Agreements; and</w:t>
      </w:r>
    </w:p>
    <w:p>
      <w:pPr>
        <w:spacing w:after="0" w:line="117" w:lineRule="exact"/>
        <w:rPr>
          <w:rFonts w:ascii="Times New Roman" w:cs="Times New Roman" w:eastAsia="Times New Roman" w:hAnsi="Times New Roman"/>
          <w:sz w:val="18"/>
          <w:szCs w:val="18"/>
          <w:color w:val="auto"/>
        </w:rPr>
      </w:pPr>
    </w:p>
    <w:p>
      <w:pPr>
        <w:ind w:left="1744" w:hanging="352"/>
        <w:spacing w:after="0"/>
        <w:tabs>
          <w:tab w:leader="none" w:pos="174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and Prospectus Supplement (which may be delivered in accordance with Rule 172 under the Securities Act).</w:t>
      </w:r>
    </w:p>
    <w:p>
      <w:pPr>
        <w:spacing w:after="0" w:line="11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each Purchaser shall deliver or cause to be delivered to the Company, as applicable, the following:</w:t>
      </w:r>
    </w:p>
    <w:p>
      <w:pPr>
        <w:spacing w:after="0" w:line="117" w:lineRule="exact"/>
        <w:rPr>
          <w:rFonts w:ascii="Times New Roman" w:cs="Times New Roman" w:eastAsia="Times New Roman" w:hAnsi="Times New Roman"/>
          <w:sz w:val="18"/>
          <w:szCs w:val="18"/>
          <w:color w:val="auto"/>
        </w:rPr>
      </w:pPr>
    </w:p>
    <w:p>
      <w:pPr>
        <w:ind w:left="1604" w:hanging="212"/>
        <w:spacing w:after="0"/>
        <w:tabs>
          <w:tab w:leader="none" w:pos="160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 and</w:t>
      </w:r>
    </w:p>
    <w:p>
      <w:pPr>
        <w:spacing w:after="0" w:line="117" w:lineRule="exact"/>
        <w:rPr>
          <w:rFonts w:ascii="Times New Roman" w:cs="Times New Roman" w:eastAsia="Times New Roman" w:hAnsi="Times New Roman"/>
          <w:sz w:val="18"/>
          <w:szCs w:val="18"/>
          <w:color w:val="auto"/>
        </w:rPr>
      </w:pPr>
    </w:p>
    <w:p>
      <w:pPr>
        <w:ind w:left="984" w:right="580" w:firstLine="408"/>
        <w:spacing w:after="0" w:line="282" w:lineRule="auto"/>
        <w:tabs>
          <w:tab w:leader="none" w:pos="165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Purchaser’s Subscription Amount, which shall be made available for “Delivery Versus Payment” settlement with the Company or its designee.</w:t>
      </w:r>
    </w:p>
    <w:p>
      <w:pPr>
        <w:spacing w:after="0" w:line="53" w:lineRule="exact"/>
        <w:rPr>
          <w:rFonts w:ascii="Times New Roman" w:cs="Times New Roman" w:eastAsia="Times New Roman" w:hAnsi="Times New Roman"/>
          <w:sz w:val="18"/>
          <w:szCs w:val="18"/>
          <w:color w:val="auto"/>
        </w:rPr>
      </w:pPr>
    </w:p>
    <w:p>
      <w:pPr>
        <w:ind w:left="984" w:right="520" w:firstLine="408"/>
        <w:spacing w:after="0" w:line="282" w:lineRule="auto"/>
        <w:tabs>
          <w:tab w:leader="none" w:pos="17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all of the Purchaser’s Series A Common Stock Purchase Warrants issued on July 23, 2024, pursuant to the Securities Purchase Agreement dated July 22, 2024, between the Company and the purchasers signed thereto.</w:t>
      </w: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104" w:hanging="241"/>
        <w:spacing w:after="0"/>
        <w:tabs>
          <w:tab w:leader="none" w:pos="110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117" w:lineRule="exact"/>
        <w:rPr>
          <w:rFonts w:ascii="Times New Roman" w:cs="Times New Roman" w:eastAsia="Times New Roman" w:hAnsi="Times New Roman"/>
          <w:sz w:val="18"/>
          <w:szCs w:val="18"/>
          <w:color w:val="auto"/>
        </w:rPr>
      </w:pPr>
    </w:p>
    <w:p>
      <w:pPr>
        <w:ind w:left="984" w:right="160" w:firstLine="408"/>
        <w:spacing w:after="0" w:line="261" w:lineRule="auto"/>
        <w:tabs>
          <w:tab w:leader="none" w:pos="160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Purchasers contained herein (unless as of a specific date therein in which case they shall be accurate in all material respects (or, to the extent representations or warranties are qualified by materiality or Material Adverse Effect, in all respects) as of such date);</w:t>
      </w:r>
    </w:p>
    <w:p>
      <w:pPr>
        <w:spacing w:after="0" w:line="71" w:lineRule="exact"/>
        <w:rPr>
          <w:rFonts w:ascii="Times New Roman" w:cs="Times New Roman" w:eastAsia="Times New Roman" w:hAnsi="Times New Roman"/>
          <w:sz w:val="18"/>
          <w:szCs w:val="18"/>
          <w:color w:val="auto"/>
        </w:rPr>
      </w:pPr>
    </w:p>
    <w:p>
      <w:pPr>
        <w:ind w:left="984" w:right="200" w:firstLine="408"/>
        <w:spacing w:after="0" w:line="282" w:lineRule="auto"/>
        <w:tabs>
          <w:tab w:leader="none" w:pos="165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 have been performed; and</w:t>
      </w:r>
    </w:p>
    <w:p>
      <w:pPr>
        <w:spacing w:after="0" w:line="53" w:lineRule="exact"/>
        <w:rPr>
          <w:rFonts w:ascii="Times New Roman" w:cs="Times New Roman" w:eastAsia="Times New Roman" w:hAnsi="Times New Roman"/>
          <w:sz w:val="18"/>
          <w:szCs w:val="18"/>
          <w:color w:val="auto"/>
        </w:rPr>
      </w:pPr>
    </w:p>
    <w:p>
      <w:pPr>
        <w:ind w:left="1704" w:hanging="312"/>
        <w:spacing w:after="0"/>
        <w:tabs>
          <w:tab w:leader="none" w:pos="1704"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pacing w:after="0" w:line="11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Purchasers hereunder in connection with the Closing are subject to the following conditions being met:</w:t>
      </w:r>
    </w:p>
    <w:p>
      <w:pPr>
        <w:spacing w:after="0" w:line="117" w:lineRule="exact"/>
        <w:rPr>
          <w:rFonts w:ascii="Times New Roman" w:cs="Times New Roman" w:eastAsia="Times New Roman" w:hAnsi="Times New Roman"/>
          <w:sz w:val="18"/>
          <w:szCs w:val="18"/>
          <w:color w:val="auto"/>
        </w:rPr>
      </w:pPr>
    </w:p>
    <w:p>
      <w:pPr>
        <w:ind w:left="1604" w:hanging="212"/>
        <w:spacing w:after="0"/>
        <w:tabs>
          <w:tab w:leader="none" w:pos="1604"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w:t>
      </w:r>
    </w:p>
    <w:p>
      <w:pPr>
        <w:spacing w:after="0" w:line="27" w:lineRule="exact"/>
        <w:rPr>
          <w:rFonts w:ascii="Times New Roman" w:cs="Times New Roman" w:eastAsia="Times New Roman" w:hAnsi="Times New Roman"/>
          <w:sz w:val="18"/>
          <w:szCs w:val="18"/>
          <w:color w:val="auto"/>
        </w:rPr>
      </w:pPr>
    </w:p>
    <w:p>
      <w:pPr>
        <w:ind w:left="98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sectPr>
          <w:pgSz w:w="11900" w:h="16838" w:orient="portrait"/>
          <w:cols w:equalWidth="0" w:num="1">
            <w:col w:w="11004"/>
          </w:cols>
          <w:pgMar w:left="436" w:top="270" w:right="459" w:bottom="1440" w:gutter="0" w:footer="0" w:header="0"/>
        </w:sectPr>
      </w:pPr>
    </w:p>
    <w:bookmarkStart w:id="51" w:name="page52"/>
    <w:bookmarkEnd w:id="51"/>
    <w:p>
      <w:pPr>
        <w:ind w:left="984" w:right="280" w:firstLine="408"/>
        <w:spacing w:after="0" w:line="282" w:lineRule="auto"/>
        <w:tabs>
          <w:tab w:leader="none" w:pos="165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obligations, covenants and agreements of the Company required to be performed at or prior to the Closing Date shall have been performed;</w:t>
      </w:r>
    </w:p>
    <w:p>
      <w:pPr>
        <w:spacing w:after="0" w:line="53" w:lineRule="exact"/>
        <w:rPr>
          <w:rFonts w:ascii="Times New Roman" w:cs="Times New Roman" w:eastAsia="Times New Roman" w:hAnsi="Times New Roman"/>
          <w:sz w:val="18"/>
          <w:szCs w:val="18"/>
          <w:color w:val="auto"/>
        </w:rPr>
      </w:pPr>
    </w:p>
    <w:p>
      <w:pPr>
        <w:ind w:left="1704" w:hanging="312"/>
        <w:spacing w:after="0"/>
        <w:tabs>
          <w:tab w:leader="none" w:pos="170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117" w:lineRule="exact"/>
        <w:rPr>
          <w:rFonts w:ascii="Times New Roman" w:cs="Times New Roman" w:eastAsia="Times New Roman" w:hAnsi="Times New Roman"/>
          <w:sz w:val="18"/>
          <w:szCs w:val="18"/>
          <w:color w:val="auto"/>
        </w:rPr>
      </w:pPr>
    </w:p>
    <w:p>
      <w:pPr>
        <w:ind w:left="1704" w:hanging="312"/>
        <w:spacing w:after="0"/>
        <w:tabs>
          <w:tab w:leader="none" w:pos="170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 and</w:t>
      </w:r>
    </w:p>
    <w:p>
      <w:pPr>
        <w:spacing w:after="0" w:line="117" w:lineRule="exact"/>
        <w:rPr>
          <w:rFonts w:ascii="Times New Roman" w:cs="Times New Roman" w:eastAsia="Times New Roman" w:hAnsi="Times New Roman"/>
          <w:sz w:val="18"/>
          <w:szCs w:val="18"/>
          <w:color w:val="auto"/>
        </w:rPr>
      </w:pPr>
    </w:p>
    <w:p>
      <w:pPr>
        <w:ind w:left="984" w:firstLine="408"/>
        <w:spacing w:after="0" w:line="255" w:lineRule="auto"/>
        <w:tabs>
          <w:tab w:leader="none" w:pos="1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200" w:lineRule="exact"/>
        <w:rPr>
          <w:sz w:val="20"/>
          <w:szCs w:val="20"/>
          <w:color w:val="auto"/>
        </w:rPr>
      </w:pPr>
    </w:p>
    <w:p>
      <w:pPr>
        <w:spacing w:after="0" w:line="20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Registration Statement and the SEC Reports, the Company hereby makes the following representations and warranties to each Purchaser:</w:t>
      </w:r>
    </w:p>
    <w:p>
      <w:pPr>
        <w:spacing w:after="0" w:line="54" w:lineRule="exact"/>
        <w:rPr>
          <w:sz w:val="20"/>
          <w:szCs w:val="20"/>
          <w:color w:val="auto"/>
        </w:rPr>
      </w:pPr>
    </w:p>
    <w:p>
      <w:pPr>
        <w:ind w:left="444" w:right="40" w:firstLine="419"/>
        <w:spacing w:after="0" w:line="266" w:lineRule="auto"/>
        <w:tabs>
          <w:tab w:leader="none" w:pos="111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w:t>
      </w:r>
    </w:p>
    <w:p>
      <w:pPr>
        <w:spacing w:after="0" w:line="67" w:lineRule="exact"/>
        <w:rPr>
          <w:rFonts w:ascii="Times New Roman" w:cs="Times New Roman" w:eastAsia="Times New Roman" w:hAnsi="Times New Roman"/>
          <w:sz w:val="18"/>
          <w:szCs w:val="18"/>
          <w:color w:val="auto"/>
        </w:rPr>
      </w:pPr>
    </w:p>
    <w:p>
      <w:pPr>
        <w:ind w:left="4" w:right="220" w:hanging="4"/>
        <w:spacing w:after="0" w:line="255" w:lineRule="auto"/>
        <w:tabs>
          <w:tab w:leader="none" w:pos="25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being carried on and as described in the Registration Statement, the Prospectus and the Prospectus Supplement.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w:t>
      </w:r>
    </w:p>
    <w:p>
      <w:pPr>
        <w:sectPr>
          <w:pgSz w:w="11900" w:h="16838" w:orient="portrait"/>
          <w:cols w:equalWidth="0" w:num="1">
            <w:col w:w="10964"/>
          </w:cols>
          <w:pgMar w:left="436" w:top="270" w:right="499" w:bottom="1440" w:gutter="0" w:footer="0" w:header="0"/>
        </w:sectPr>
      </w:pPr>
    </w:p>
    <w:bookmarkStart w:id="52" w:name="page53"/>
    <w:bookmarkEnd w:id="52"/>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and no Proceeding has been instituted in any such jurisdiction revoking, limiting or curtailing or seeking to revoke, limit or curtail such power and authority or qualification.</w:t>
      </w:r>
    </w:p>
    <w:p>
      <w:pPr>
        <w:spacing w:after="0" w:line="79" w:lineRule="exact"/>
        <w:rPr>
          <w:sz w:val="20"/>
          <w:szCs w:val="20"/>
          <w:color w:val="auto"/>
        </w:rPr>
      </w:pPr>
    </w:p>
    <w:p>
      <w:pPr>
        <w:ind w:left="4" w:right="40" w:hanging="4"/>
        <w:spacing w:after="0" w:line="253" w:lineRule="auto"/>
        <w:tabs>
          <w:tab w:leader="none" w:pos="24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83" w:lineRule="exact"/>
        <w:rPr>
          <w:rFonts w:ascii="Times New Roman" w:cs="Times New Roman" w:eastAsia="Times New Roman" w:hAnsi="Times New Roman"/>
          <w:sz w:val="18"/>
          <w:szCs w:val="18"/>
          <w:color w:val="auto"/>
        </w:rPr>
      </w:pPr>
    </w:p>
    <w:p>
      <w:pPr>
        <w:ind w:left="4" w:right="340" w:hanging="4"/>
        <w:spacing w:after="0" w:line="261" w:lineRule="auto"/>
        <w:tabs>
          <w:tab w:leader="none" w:pos="25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w:t>
      </w:r>
    </w:p>
    <w:p>
      <w:pPr>
        <w:ind w:left="4" w:hanging="4"/>
        <w:spacing w:after="0" w:line="251" w:lineRule="auto"/>
        <w:tabs>
          <w:tab w:leader="none" w:pos="21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with or violate any provision of the Company’s certificate of incorporation, or bylaws ,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would not have or reasonably be expected to result in a Material Adverse Effect.</w:t>
      </w:r>
    </w:p>
    <w:p>
      <w:pPr>
        <w:sectPr>
          <w:pgSz w:w="11900" w:h="16838" w:orient="portrait"/>
          <w:cols w:equalWidth="0" w:num="1">
            <w:col w:w="10984"/>
          </w:cols>
          <w:pgMar w:left="436" w:top="270" w:right="479" w:bottom="1440" w:gutter="0" w:footer="0" w:header="0"/>
        </w:sectPr>
      </w:pPr>
    </w:p>
    <w:bookmarkStart w:id="53" w:name="page54"/>
    <w:bookmarkEnd w:id="53"/>
    <w:p>
      <w:pPr>
        <w:jc w:val="both"/>
        <w:ind w:left="4" w:right="140" w:hanging="4"/>
        <w:spacing w:after="0" w:line="272" w:lineRule="auto"/>
        <w:tabs>
          <w:tab w:leader="none" w:pos="248"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Filings, Consents and Approvals</w:t>
      </w:r>
      <w:r>
        <w:rPr>
          <w:rFonts w:ascii="Times New Roman" w:cs="Times New Roman" w:eastAsia="Times New Roman" w:hAnsi="Times New Roman"/>
          <w:sz w:val="17"/>
          <w:szCs w:val="17"/>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w:t>
      </w:r>
    </w:p>
    <w:p>
      <w:pPr>
        <w:spacing w:after="0" w:line="1" w:lineRule="exact"/>
        <w:rPr>
          <w:rFonts w:ascii="Times New Roman" w:cs="Times New Roman" w:eastAsia="Times New Roman" w:hAnsi="Times New Roman"/>
          <w:sz w:val="17"/>
          <w:szCs w:val="17"/>
          <w:color w:val="auto"/>
        </w:rPr>
      </w:pPr>
    </w:p>
    <w:p>
      <w:pPr>
        <w:ind w:left="4" w:right="120" w:hanging="4"/>
        <w:spacing w:after="0" w:line="253" w:lineRule="auto"/>
        <w:tabs>
          <w:tab w:leader="none" w:pos="26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with the Commission of the Prospectus Supplement, (iii) application(s) to each applicable Trading Market for the listing of the Shares and Warrant Shares for trading thereon in the time and manner required thereby, (iv) any filings that may be required under the rules of the Financial Industry Regulatory Authority and (v) such filings as are required to be made under applicable state securities laws (collectively, the “</w:t>
      </w:r>
      <w:r>
        <w:rPr>
          <w:rFonts w:ascii="Times New Roman" w:cs="Times New Roman" w:eastAsia="Times New Roman" w:hAnsi="Times New Roman"/>
          <w:sz w:val="18"/>
          <w:szCs w:val="18"/>
          <w:u w:val="single" w:color="auto"/>
          <w:color w:val="auto"/>
        </w:rPr>
        <w:t>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Approvals</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4" w:hanging="4"/>
        <w:spacing w:after="0" w:line="251" w:lineRule="auto"/>
        <w:tabs>
          <w:tab w:leader="none" w:pos="22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 Registration</w:t>
      </w:r>
      <w:r>
        <w:rPr>
          <w:rFonts w:ascii="Times New Roman" w:cs="Times New Roman" w:eastAsia="Times New Roman" w:hAnsi="Times New Roman"/>
          <w:sz w:val="18"/>
          <w:szCs w:val="18"/>
          <w:color w:val="auto"/>
        </w:rPr>
        <w:t>. The Shares are duly authorized and, when issued and paid for in accordance with the applicable Transaction Documents, will be duly and validly issued, fully paid and nonassessable, free and clear of all Liens imposed by the Company. When paid for and issued in accordance with this Agreement, the Warrants will constitute valid and binding obligations of the Company, enforceable against the Company in accordance with their respective terms, except: (i) as such enforceability may be limited by bankruptcy, insolvency, reorganization or similar laws affecting the rights of creditors generally and subject to general principles of equity. The Warrant Shares, when issued in accordance with the terms of the Warrants, will be validly issued, fully paid and nonassessable, free and clear of all Liens imposed by the Company. The Company has reserved from its duly authorized capital stock the maximum number of shares of Common Stock issuable pursuant to this Agreement and upon exercise of the Warrants. The Company has prepared and filed the Registration Statement in conformity with the requirements of the Securities Act, which became effective on August 10, 2022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shall file the Prospectus Supplement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 The Company is eligible to use Form S-3 under the Securities Act and it meets the transaction requirements with respect to the aggregate market value of securities being sold pursuant to this offering and during the twelve (12) months prior to this offering, as set forth in General Instruction I.B.6 of Form S-3.</w:t>
      </w:r>
    </w:p>
    <w:p>
      <w:pPr>
        <w:spacing w:after="0" w:line="97" w:lineRule="exact"/>
        <w:rPr>
          <w:rFonts w:ascii="Times New Roman" w:cs="Times New Roman" w:eastAsia="Times New Roman" w:hAnsi="Times New Roman"/>
          <w:sz w:val="18"/>
          <w:szCs w:val="18"/>
          <w:color w:val="auto"/>
        </w:rPr>
      </w:pPr>
    </w:p>
    <w:p>
      <w:pPr>
        <w:ind w:left="4" w:right="140" w:hanging="4"/>
        <w:spacing w:after="0" w:line="266" w:lineRule="auto"/>
        <w:tabs>
          <w:tab w:leader="none" w:pos="25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authorized capital stock of the Company is as set forth in the Registration Statement, the Prospectus and the Prospectus Supplement. The Company has not issued any capital stock since its most recently filed periodic report under the Exchange Act, other than (i) pursuant to the exercise of stock options under the Company’s equity incentive plans; (ii)</w:t>
      </w:r>
    </w:p>
    <w:p>
      <w:pPr>
        <w:sectPr>
          <w:pgSz w:w="11900" w:h="16838" w:orient="portrait"/>
          <w:cols w:equalWidth="0" w:num="1">
            <w:col w:w="11024"/>
          </w:cols>
          <w:pgMar w:left="436" w:top="270" w:right="439" w:bottom="1440" w:gutter="0" w:footer="0" w:header="0"/>
        </w:sectPr>
      </w:pPr>
    </w:p>
    <w:bookmarkStart w:id="54" w:name="page55"/>
    <w:bookmarkEnd w:id="54"/>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vesting and settlement of restricted stock units under the Company’s equity incentive plans; (iii) the issuance of shares of Common Stock to employees pursuant to the Company’s employee stock purchase plans; and (iv)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Securities,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that have not been waived in writing.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81" w:lineRule="exact"/>
        <w:rPr>
          <w:sz w:val="20"/>
          <w:szCs w:val="20"/>
          <w:color w:val="auto"/>
        </w:rPr>
      </w:pPr>
    </w:p>
    <w:p>
      <w:pPr>
        <w:ind w:left="4" w:right="80" w:hanging="4"/>
        <w:spacing w:after="0" w:line="253" w:lineRule="auto"/>
        <w:tabs>
          <w:tab w:leader="none" w:pos="25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together with the related notes, included in the SEC Reports comply in all material respects with applicable accounting requirements and the rules and regulations of the Commission</w:t>
      </w:r>
    </w:p>
    <w:p>
      <w:pPr>
        <w:sectPr>
          <w:pgSz w:w="11900" w:h="16838" w:orient="portrait"/>
          <w:cols w:equalWidth="0" w:num="1">
            <w:col w:w="11024"/>
          </w:cols>
          <w:pgMar w:left="436" w:top="270" w:right="439" w:bottom="1440" w:gutter="0" w:footer="0" w:header="0"/>
        </w:sectPr>
      </w:pPr>
    </w:p>
    <w:bookmarkStart w:id="55" w:name="page56"/>
    <w:bookmarkEnd w:id="55"/>
    <w:p>
      <w:pPr>
        <w:ind w:left="4"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75" w:lineRule="exact"/>
        <w:rPr>
          <w:sz w:val="20"/>
          <w:szCs w:val="20"/>
          <w:color w:val="auto"/>
        </w:rPr>
      </w:pPr>
    </w:p>
    <w:p>
      <w:pPr>
        <w:jc w:val="both"/>
        <w:ind w:left="4" w:hanging="4"/>
        <w:spacing w:after="0" w:line="276" w:lineRule="auto"/>
        <w:tabs>
          <w:tab w:leader="none" w:pos="219"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Material Changes; Undisclosed Events, Liabilities or Developments</w:t>
      </w:r>
      <w:r>
        <w:rPr>
          <w:rFonts w:ascii="Times New Roman" w:cs="Times New Roman" w:eastAsia="Times New Roman" w:hAnsi="Times New Roman"/>
          <w:sz w:val="17"/>
          <w:szCs w:val="17"/>
          <w:color w:val="auto"/>
        </w:rPr>
        <w:t>. Since the date of the latest audited financial statements included within the SEC Reports, (i) there has been no event, occurrence or development that has had or that would reasonably be expected to result in a Material Adverse Effect,</w:t>
      </w:r>
    </w:p>
    <w:p>
      <w:pPr>
        <w:ind w:left="4" w:right="20" w:hanging="4"/>
        <w:spacing w:after="0" w:line="251" w:lineRule="auto"/>
        <w:tabs>
          <w:tab w:leader="none" w:pos="26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Except for (i) the issuance of the Securities contemplated by this Agreement, or (ii) as described in the Registration Statement and the SEC Reports, no event, liability, fact, circumstance, occurrence or development has occurred or exists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85" w:lineRule="exact"/>
        <w:rPr>
          <w:sz w:val="20"/>
          <w:szCs w:val="20"/>
          <w:color w:val="auto"/>
        </w:rPr>
      </w:pPr>
    </w:p>
    <w:p>
      <w:pPr>
        <w:ind w:left="4" w:right="100" w:hanging="4"/>
        <w:spacing w:after="0" w:line="273" w:lineRule="auto"/>
        <w:tabs>
          <w:tab w:leader="none" w:pos="219"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Litigation</w:t>
      </w:r>
      <w:r>
        <w:rPr>
          <w:rFonts w:ascii="Times New Roman" w:cs="Times New Roman" w:eastAsia="Times New Roman" w:hAnsi="Times New Roman"/>
          <w:sz w:val="17"/>
          <w:szCs w:val="17"/>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7"/>
          <w:szCs w:val="17"/>
          <w:u w:val="single" w:color="auto"/>
          <w:color w:val="auto"/>
        </w:rPr>
        <w:t>Action</w:t>
      </w:r>
      <w:r>
        <w:rPr>
          <w:rFonts w:ascii="Times New Roman" w:cs="Times New Roman" w:eastAsia="Times New Roman" w:hAnsi="Times New Roman"/>
          <w:sz w:val="17"/>
          <w:szCs w:val="17"/>
          <w:color w:val="auto"/>
        </w:rPr>
        <w:t>”) which, if there were an unfavorable decision, would individually or in the aggregate, reasonably be expected to result in a Material Adverse Effect. None of the Actions described in the Registration Statement and the SEC Reports, (i) adversely affects or challenges the legality, validity or enforceability of any of the Transaction Documents or the Securities or (ii) could, if there were an unfavorable decision, have or reasonably be expected to result in a Material Adverse Effect. The Commission has not issued any stop order or other order suspending the effectiveness of any registration statement filed by the Company under the Securities Act.</w:t>
      </w:r>
    </w:p>
    <w:p>
      <w:pPr>
        <w:spacing w:after="0" w:line="63" w:lineRule="exact"/>
        <w:rPr>
          <w:rFonts w:ascii="Times New Roman" w:cs="Times New Roman" w:eastAsia="Times New Roman" w:hAnsi="Times New Roman"/>
          <w:sz w:val="17"/>
          <w:szCs w:val="17"/>
          <w:color w:val="auto"/>
        </w:rPr>
      </w:pPr>
    </w:p>
    <w:p>
      <w:pPr>
        <w:ind w:left="4" w:right="120" w:hanging="4"/>
        <w:spacing w:after="0" w:line="258" w:lineRule="auto"/>
        <w:tabs>
          <w:tab w:leader="none" w:pos="25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or its Subsidiaries, which would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w:t>
      </w:r>
    </w:p>
    <w:p>
      <w:pPr>
        <w:sectPr>
          <w:pgSz w:w="11900" w:h="16838" w:orient="portrait"/>
          <w:cols w:equalWidth="0" w:num="1">
            <w:col w:w="11004"/>
          </w:cols>
          <w:pgMar w:left="436" w:top="270" w:right="459" w:bottom="1440" w:gutter="0" w:footer="0" w:header="0"/>
        </w:sectPr>
      </w:pPr>
    </w:p>
    <w:bookmarkStart w:id="56" w:name="page57"/>
    <w:bookmarkEnd w:id="56"/>
    <w:p>
      <w:pPr>
        <w:ind w:left="4"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any Subsidiary, is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spacing w:after="0" w:line="79" w:lineRule="exact"/>
        <w:rPr>
          <w:sz w:val="20"/>
          <w:szCs w:val="20"/>
          <w:color w:val="auto"/>
        </w:rPr>
      </w:pPr>
    </w:p>
    <w:p>
      <w:pPr>
        <w:ind w:left="4" w:right="20" w:hanging="4"/>
        <w:spacing w:after="0" w:line="254" w:lineRule="auto"/>
        <w:tabs>
          <w:tab w:leader="none" w:pos="21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of clause (i), (ii) and (iii) as would not have or reasonably be expected to result in a Material Adverse Effect.</w:t>
      </w:r>
    </w:p>
    <w:p>
      <w:pPr>
        <w:spacing w:after="0" w:line="83" w:lineRule="exact"/>
        <w:rPr>
          <w:rFonts w:ascii="Times New Roman" w:cs="Times New Roman" w:eastAsia="Times New Roman" w:hAnsi="Times New Roman"/>
          <w:sz w:val="18"/>
          <w:szCs w:val="18"/>
          <w:color w:val="auto"/>
        </w:rPr>
      </w:pPr>
    </w:p>
    <w:p>
      <w:pPr>
        <w:ind w:left="4" w:hanging="4"/>
        <w:spacing w:after="0" w:line="254" w:lineRule="auto"/>
        <w:tabs>
          <w:tab w:leader="none" w:pos="30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(collectively,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would be reasonably expected to have, individually or in the aggregate, a Material Adverse Effect.</w:t>
      </w:r>
    </w:p>
    <w:p>
      <w:pPr>
        <w:spacing w:after="0" w:line="80" w:lineRule="exact"/>
        <w:rPr>
          <w:rFonts w:ascii="Times New Roman" w:cs="Times New Roman" w:eastAsia="Times New Roman" w:hAnsi="Times New Roman"/>
          <w:sz w:val="18"/>
          <w:szCs w:val="18"/>
          <w:color w:val="auto"/>
        </w:rPr>
      </w:pPr>
    </w:p>
    <w:p>
      <w:pPr>
        <w:ind w:left="4" w:right="200" w:hanging="4"/>
        <w:spacing w:after="0" w:line="261" w:lineRule="auto"/>
        <w:tabs>
          <w:tab w:leader="none" w:pos="25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would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ectPr>
          <w:pgSz w:w="11900" w:h="16838" w:orient="portrait"/>
          <w:cols w:equalWidth="0" w:num="1">
            <w:col w:w="10964"/>
          </w:cols>
          <w:pgMar w:left="436" w:top="270" w:right="499" w:bottom="1440" w:gutter="0" w:footer="0" w:header="0"/>
        </w:sectPr>
      </w:pPr>
    </w:p>
    <w:bookmarkStart w:id="57" w:name="page58"/>
    <w:bookmarkEnd w:id="57"/>
    <w:p>
      <w:pPr>
        <w:ind w:left="4" w:right="120" w:hanging="4"/>
        <w:spacing w:after="0" w:line="256" w:lineRule="auto"/>
        <w:tabs>
          <w:tab w:leader="none" w:pos="25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Title to Assets</w:t>
      </w:r>
      <w:r>
        <w:rPr>
          <w:rFonts w:ascii="Times New Roman" w:cs="Times New Roman" w:eastAsia="Times New Roman" w:hAnsi="Times New Roman"/>
          <w:sz w:val="18"/>
          <w:szCs w:val="18"/>
          <w:color w:val="auto"/>
        </w:rPr>
        <w:t>. The Company and the Subsidiaries have good and marketable title to all personal property described in the Registration Statement and SEC Reports as being owned by them, in each case free and clear of all Liens, except such as are described in the Registration Statement and SEC Reports or as would not individually or in the aggregate, result in a Material Adverse Effect. The Company and the Subsidiaries do not own any real property. The property held under lease by the Company and the Subsidiaries are held by them under valid, subsisting and enforceable leases with only such exceptions with respect to any particular lease as do not interfere in any material respect with the conduct of the business of the Company or its Subsidiaries.</w:t>
      </w:r>
    </w:p>
    <w:p>
      <w:pPr>
        <w:spacing w:after="0" w:line="79" w:lineRule="exact"/>
        <w:rPr>
          <w:rFonts w:ascii="Times New Roman" w:cs="Times New Roman" w:eastAsia="Times New Roman" w:hAnsi="Times New Roman"/>
          <w:sz w:val="18"/>
          <w:szCs w:val="18"/>
          <w:color w:val="auto"/>
        </w:rPr>
      </w:pPr>
    </w:p>
    <w:p>
      <w:pPr>
        <w:ind w:left="4" w:hanging="4"/>
        <w:spacing w:after="0" w:line="253" w:lineRule="auto"/>
        <w:tabs>
          <w:tab w:leader="none" w:pos="25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the Subsidiaries have, have rights to use, or can acquire on reasonable terms,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would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would not have or reasonably be expected to not have a Material Adverse Effect. To the knowledge of the Company, there is no existing infringement another Person of any of the Intellectual Property Rights that would have a Material Adverse Effect. The Company and its Subsidiaries have taken reasonable security measures to protect the secrecy, confidentiality and value of all of their intellectual properties, except where failure to do so would not, individually or in the aggregate, reasonably be expected to have a Material Adverse Effect.</w:t>
      </w:r>
    </w:p>
    <w:p>
      <w:pPr>
        <w:spacing w:after="0" w:line="83" w:lineRule="exact"/>
        <w:rPr>
          <w:rFonts w:ascii="Times New Roman" w:cs="Times New Roman" w:eastAsia="Times New Roman" w:hAnsi="Times New Roman"/>
          <w:sz w:val="18"/>
          <w:szCs w:val="18"/>
          <w:color w:val="auto"/>
        </w:rPr>
      </w:pPr>
    </w:p>
    <w:p>
      <w:pPr>
        <w:ind w:left="4" w:right="80" w:hanging="4"/>
        <w:spacing w:after="0" w:line="258" w:lineRule="auto"/>
        <w:tabs>
          <w:tab w:leader="none" w:pos="25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75" w:lineRule="exact"/>
        <w:rPr>
          <w:rFonts w:ascii="Times New Roman" w:cs="Times New Roman" w:eastAsia="Times New Roman" w:hAnsi="Times New Roman"/>
          <w:sz w:val="18"/>
          <w:szCs w:val="18"/>
          <w:color w:val="auto"/>
        </w:rPr>
      </w:pPr>
    </w:p>
    <w:p>
      <w:pPr>
        <w:ind w:left="4" w:right="20" w:hanging="4"/>
        <w:spacing w:after="0" w:line="254" w:lineRule="auto"/>
        <w:tabs>
          <w:tab w:leader="none" w:pos="22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ectPr>
          <w:pgSz w:w="11900" w:h="16838" w:orient="portrait"/>
          <w:cols w:equalWidth="0" w:num="1">
            <w:col w:w="11004"/>
          </w:cols>
          <w:pgMar w:left="436" w:top="270" w:right="459" w:bottom="1440" w:gutter="0" w:footer="0" w:header="0"/>
        </w:sectPr>
      </w:pPr>
    </w:p>
    <w:bookmarkStart w:id="58" w:name="page59"/>
    <w:bookmarkEnd w:id="58"/>
    <w:p>
      <w:pPr>
        <w:ind w:left="4" w:hanging="4"/>
        <w:spacing w:after="0" w:line="252" w:lineRule="auto"/>
        <w:tabs>
          <w:tab w:leader="none" w:pos="23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Sarbanes-Oxley; Internal Accounting Controls</w:t>
      </w:r>
      <w:r>
        <w:rPr>
          <w:rFonts w:ascii="Times New Roman" w:cs="Times New Roman" w:eastAsia="Times New Roman" w:hAnsi="Times New Roman"/>
          <w:sz w:val="18"/>
          <w:szCs w:val="18"/>
          <w:color w:val="auto"/>
        </w:rPr>
        <w:t>. The Company is in compliance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The Company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has established disclosure controls and procedures (as defined in Exchange Act Rules 13a-15(e) and 15d-15(e)) for the Company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as of the end of the period covered by the most recently filed periodic report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that have materially affected, or is reasonably likely to materially affect, the internal control over financial reporting of the Company.</w:t>
      </w:r>
    </w:p>
    <w:p>
      <w:pPr>
        <w:spacing w:after="0" w:line="86" w:lineRule="exact"/>
        <w:rPr>
          <w:rFonts w:ascii="Times New Roman" w:cs="Times New Roman" w:eastAsia="Times New Roman" w:hAnsi="Times New Roman"/>
          <w:sz w:val="18"/>
          <w:szCs w:val="18"/>
          <w:color w:val="auto"/>
        </w:rPr>
      </w:pPr>
    </w:p>
    <w:p>
      <w:pPr>
        <w:ind w:left="4" w:right="60" w:hanging="4"/>
        <w:spacing w:after="0" w:line="258" w:lineRule="auto"/>
        <w:tabs>
          <w:tab w:leader="none" w:pos="21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for fees payable by the Company to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75" w:lineRule="exact"/>
        <w:rPr>
          <w:rFonts w:ascii="Times New Roman" w:cs="Times New Roman" w:eastAsia="Times New Roman" w:hAnsi="Times New Roman"/>
          <w:sz w:val="18"/>
          <w:szCs w:val="18"/>
          <w:color w:val="auto"/>
        </w:rPr>
      </w:pPr>
    </w:p>
    <w:p>
      <w:pPr>
        <w:ind w:left="4" w:hanging="4"/>
        <w:spacing w:after="0" w:line="282" w:lineRule="auto"/>
        <w:tabs>
          <w:tab w:leader="none" w:pos="25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immediately after receipt of payment for the Securities, will not be, an “investment company” within the meaning of the Investment Company Act of 1940, as amended.</w:t>
      </w:r>
    </w:p>
    <w:p>
      <w:pPr>
        <w:spacing w:after="0" w:line="53" w:lineRule="exact"/>
        <w:rPr>
          <w:rFonts w:ascii="Times New Roman" w:cs="Times New Roman" w:eastAsia="Times New Roman" w:hAnsi="Times New Roman"/>
          <w:sz w:val="18"/>
          <w:szCs w:val="18"/>
          <w:color w:val="auto"/>
        </w:rPr>
      </w:pPr>
    </w:p>
    <w:p>
      <w:pPr>
        <w:ind w:left="4" w:hanging="4"/>
        <w:spacing w:after="0" w:line="258" w:lineRule="auto"/>
        <w:tabs>
          <w:tab w:leader="none" w:pos="25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Common Stock is registered pursuant to Section 12(b)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w:t>
      </w:r>
    </w:p>
    <w:p>
      <w:pPr>
        <w:sectPr>
          <w:pgSz w:w="11900" w:h="16838" w:orient="portrait"/>
          <w:cols w:equalWidth="0" w:num="1">
            <w:col w:w="11004"/>
          </w:cols>
          <w:pgMar w:left="436" w:top="270" w:right="459" w:bottom="1440" w:gutter="0" w:footer="0" w:header="0"/>
        </w:sectPr>
      </w:pPr>
    </w:p>
    <w:bookmarkStart w:id="59" w:name="page60"/>
    <w:bookmarkEnd w:id="59"/>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72" w:lineRule="exact"/>
        <w:rPr>
          <w:sz w:val="20"/>
          <w:szCs w:val="20"/>
          <w:color w:val="auto"/>
        </w:rPr>
      </w:pPr>
    </w:p>
    <w:p>
      <w:pPr>
        <w:ind w:left="4" w:right="120" w:hanging="4"/>
        <w:spacing w:after="0" w:line="256" w:lineRule="auto"/>
        <w:tabs>
          <w:tab w:leader="none" w:pos="29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79" w:lineRule="exact"/>
        <w:rPr>
          <w:rFonts w:ascii="Times New Roman" w:cs="Times New Roman" w:eastAsia="Times New Roman" w:hAnsi="Times New Roman"/>
          <w:sz w:val="18"/>
          <w:szCs w:val="18"/>
          <w:color w:val="auto"/>
        </w:rPr>
      </w:pPr>
    </w:p>
    <w:p>
      <w:pPr>
        <w:ind w:left="4" w:hanging="4"/>
        <w:spacing w:after="0" w:line="254" w:lineRule="auto"/>
        <w:tabs>
          <w:tab w:leader="none" w:pos="25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when taken together as a whole, is true and correct and does not contain any untrue statement of a material fact or omit to state any material fact necessary in order to make the statements made therein, in the light of the circumstances under which they were made, not misleading. The Company acknowledges and agrees that no Purchaser makes or has made any representations or warranties with respect to the transactions contemplated hereby other than those specifically set forth in Section 3.2 hereof.</w:t>
      </w:r>
    </w:p>
    <w:p>
      <w:pPr>
        <w:spacing w:after="0" w:line="80" w:lineRule="exact"/>
        <w:rPr>
          <w:rFonts w:ascii="Times New Roman" w:cs="Times New Roman" w:eastAsia="Times New Roman" w:hAnsi="Times New Roman"/>
          <w:sz w:val="18"/>
          <w:szCs w:val="18"/>
          <w:color w:val="auto"/>
        </w:rPr>
      </w:pPr>
    </w:p>
    <w:p>
      <w:pPr>
        <w:ind w:left="4" w:right="60" w:hanging="4"/>
        <w:spacing w:after="0" w:line="261" w:lineRule="auto"/>
        <w:tabs>
          <w:tab w:leader="none" w:pos="25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Section 3.2, neither the Company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Trading Market on which any of the securities of the Company are listed or designated.</w:t>
      </w:r>
    </w:p>
    <w:p>
      <w:pPr>
        <w:spacing w:after="0" w:line="71" w:lineRule="exact"/>
        <w:rPr>
          <w:rFonts w:ascii="Times New Roman" w:cs="Times New Roman" w:eastAsia="Times New Roman" w:hAnsi="Times New Roman"/>
          <w:sz w:val="18"/>
          <w:szCs w:val="18"/>
          <w:color w:val="auto"/>
        </w:rPr>
      </w:pPr>
    </w:p>
    <w:p>
      <w:pPr>
        <w:jc w:val="both"/>
        <w:ind w:left="4" w:right="80" w:hanging="4"/>
        <w:spacing w:after="0" w:line="261" w:lineRule="auto"/>
        <w:tabs>
          <w:tab w:leader="none" w:pos="24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Based on the consolidated financial condition of the Company as of the Closing Date, after giving effect to the receipt by the Company of the proceeds from the sale of the Securities hereunder, the Company has no knowledge of any facts or circumstances which lead it to believe that it will file for reorganization or liquidation under the bankruptcy or reorganization laws of any jurisdiction within one year from the Closing Date. Neither the Company nor any Subsidiary is in default with respect to any Indebtedness.</w:t>
      </w:r>
    </w:p>
    <w:p>
      <w:pPr>
        <w:sectPr>
          <w:pgSz w:w="11900" w:h="16838" w:orient="portrait"/>
          <w:cols w:equalWidth="0" w:num="1">
            <w:col w:w="11004"/>
          </w:cols>
          <w:pgMar w:left="436" w:top="270" w:right="459" w:bottom="1440" w:gutter="0" w:footer="0" w:header="0"/>
        </w:sectPr>
      </w:pPr>
    </w:p>
    <w:bookmarkStart w:id="60" w:name="page61"/>
    <w:bookmarkEnd w:id="60"/>
    <w:p>
      <w:pPr>
        <w:ind w:left="4" w:hanging="4"/>
        <w:spacing w:after="0" w:line="255" w:lineRule="auto"/>
        <w:tabs>
          <w:tab w:leader="none" w:pos="32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 Status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80" w:lineRule="exact"/>
        <w:rPr>
          <w:rFonts w:ascii="Times New Roman" w:cs="Times New Roman" w:eastAsia="Times New Roman" w:hAnsi="Times New Roman"/>
          <w:sz w:val="18"/>
          <w:szCs w:val="18"/>
          <w:color w:val="auto"/>
        </w:rPr>
      </w:pPr>
    </w:p>
    <w:p>
      <w:pPr>
        <w:ind w:left="4" w:hanging="4"/>
        <w:spacing w:after="0" w:line="256" w:lineRule="auto"/>
        <w:tabs>
          <w:tab w:leader="none" w:pos="34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79" w:lineRule="exact"/>
        <w:rPr>
          <w:rFonts w:ascii="Times New Roman" w:cs="Times New Roman" w:eastAsia="Times New Roman" w:hAnsi="Times New Roman"/>
          <w:sz w:val="18"/>
          <w:szCs w:val="18"/>
          <w:color w:val="auto"/>
        </w:rPr>
      </w:pPr>
    </w:p>
    <w:p>
      <w:pPr>
        <w:ind w:left="4" w:hanging="4"/>
        <w:spacing w:after="0" w:line="266" w:lineRule="auto"/>
        <w:tabs>
          <w:tab w:leader="none" w:pos="32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accounting firm is Marcum LLP.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2024.</w:t>
      </w:r>
    </w:p>
    <w:p>
      <w:pPr>
        <w:spacing w:after="0" w:line="67"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Securities</w:t>
      </w:r>
      <w:r>
        <w:rPr>
          <w:rFonts w:ascii="Times New Roman" w:cs="Times New Roman" w:eastAsia="Times New Roman" w:hAnsi="Times New Roman"/>
          <w:sz w:val="18"/>
          <w:szCs w:val="18"/>
          <w:color w:val="auto"/>
        </w:rPr>
        <w:t>. The Company acknowledges and agrees that each of the Purchasers is acting</w:t>
      </w:r>
    </w:p>
    <w:p>
      <w:pPr>
        <w:spacing w:after="0" w:line="27" w:lineRule="exact"/>
        <w:rPr>
          <w:rFonts w:ascii="Times New Roman" w:cs="Times New Roman" w:eastAsia="Times New Roman" w:hAnsi="Times New Roman"/>
          <w:sz w:val="18"/>
          <w:szCs w:val="18"/>
          <w:color w:val="auto"/>
        </w:rPr>
      </w:pPr>
    </w:p>
    <w:p>
      <w:pPr>
        <w:ind w:left="4" w:right="80"/>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66" w:lineRule="exact"/>
        <w:rPr>
          <w:rFonts w:ascii="Times New Roman" w:cs="Times New Roman" w:eastAsia="Times New Roman" w:hAnsi="Times New Roman"/>
          <w:sz w:val="18"/>
          <w:szCs w:val="18"/>
          <w:color w:val="auto"/>
        </w:rPr>
      </w:pPr>
    </w:p>
    <w:p>
      <w:pPr>
        <w:ind w:left="4" w:right="20" w:hanging="4"/>
        <w:spacing w:after="0" w:line="277" w:lineRule="auto"/>
        <w:tabs>
          <w:tab w:leader="none" w:pos="328"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Acknowledgment Regarding Purchaser’s Trading Activity</w:t>
      </w:r>
      <w:r>
        <w:rPr>
          <w:rFonts w:ascii="Times New Roman" w:cs="Times New Roman" w:eastAsia="Times New Roman" w:hAnsi="Times New Roman"/>
          <w:sz w:val="17"/>
          <w:szCs w:val="17"/>
          <w:color w:val="auto"/>
        </w:rPr>
        <w:t>. Anything in this Agreement or elsewhere herein to the contrary notwithstanding (except for Sections 3.2(f) and 4.14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w:t>
      </w:r>
    </w:p>
    <w:p>
      <w:pPr>
        <w:sectPr>
          <w:pgSz w:w="11900" w:h="16838" w:orient="portrait"/>
          <w:cols w:equalWidth="0" w:num="1">
            <w:col w:w="11004"/>
          </w:cols>
          <w:pgMar w:left="436" w:top="270" w:right="459" w:bottom="1440" w:gutter="0" w:footer="0" w:header="0"/>
        </w:sectPr>
      </w:pPr>
    </w:p>
    <w:bookmarkStart w:id="61" w:name="page62"/>
    <w:bookmarkEnd w:id="61"/>
    <w:p>
      <w:pPr>
        <w:ind w:left="4" w:right="10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w:t>
      </w:r>
    </w:p>
    <w:p>
      <w:pPr>
        <w:spacing w:after="0" w:line="1" w:lineRule="exact"/>
        <w:rPr>
          <w:sz w:val="20"/>
          <w:szCs w:val="20"/>
          <w:color w:val="auto"/>
        </w:rPr>
      </w:pPr>
    </w:p>
    <w:p>
      <w:pPr>
        <w:ind w:left="4" w:hanging="4"/>
        <w:spacing w:after="0" w:line="252" w:lineRule="auto"/>
        <w:tabs>
          <w:tab w:leader="none" w:pos="30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Warrant Shares deliverable with respect to the Warrants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82" w:lineRule="exact"/>
        <w:rPr>
          <w:sz w:val="20"/>
          <w:szCs w:val="20"/>
          <w:color w:val="auto"/>
        </w:rPr>
      </w:pPr>
    </w:p>
    <w:p>
      <w:pPr>
        <w:ind w:left="4" w:right="100" w:hanging="4"/>
        <w:spacing w:after="0" w:line="258" w:lineRule="auto"/>
        <w:tabs>
          <w:tab w:leader="none" w:pos="28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w:t>
      </w:r>
    </w:p>
    <w:p>
      <w:pPr>
        <w:spacing w:after="0" w:line="75" w:lineRule="exact"/>
        <w:rPr>
          <w:rFonts w:ascii="Times New Roman" w:cs="Times New Roman" w:eastAsia="Times New Roman" w:hAnsi="Times New Roman"/>
          <w:sz w:val="18"/>
          <w:szCs w:val="18"/>
          <w:color w:val="auto"/>
        </w:rPr>
      </w:pPr>
    </w:p>
    <w:p>
      <w:pPr>
        <w:ind w:left="4" w:hanging="4"/>
        <w:spacing w:after="0" w:line="252" w:lineRule="auto"/>
        <w:tabs>
          <w:tab w:leader="none" w:pos="34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As to each product subject to the jurisdiction of the U.S. Food and Drug Administration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under the Federal Food, Drug and Cosmetic Act, as amended, and the regulations thereunder (“</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that is manufactured, packaged, labeled, tested, distributed, sold, and/or marketed by the Company or any of its Subsidiaries (each such product, a “</w:t>
      </w:r>
      <w:r>
        <w:rPr>
          <w:rFonts w:ascii="Times New Roman" w:cs="Times New Roman" w:eastAsia="Times New Roman" w:hAnsi="Times New Roman"/>
          <w:sz w:val="18"/>
          <w:szCs w:val="18"/>
          <w:u w:val="single" w:color="auto"/>
          <w:color w:val="auto"/>
        </w:rPr>
        <w:t>Pharmaceutical Product</w:t>
      </w:r>
      <w:r>
        <w:rPr>
          <w:rFonts w:ascii="Times New Roman" w:cs="Times New Roman" w:eastAsia="Times New Roman" w:hAnsi="Times New Roman"/>
          <w:sz w:val="18"/>
          <w:szCs w:val="18"/>
          <w:color w:val="auto"/>
        </w:rPr>
        <w:t>”),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w:t>
      </w:r>
    </w:p>
    <w:p>
      <w:pPr>
        <w:sectPr>
          <w:pgSz w:w="11900" w:h="16838" w:orient="portrait"/>
          <w:cols w:equalWidth="0" w:num="1">
            <w:col w:w="11004"/>
          </w:cols>
          <w:pgMar w:left="436" w:top="270" w:right="459" w:bottom="1440" w:gutter="0" w:footer="0" w:header="0"/>
        </w:sectPr>
      </w:pPr>
    </w:p>
    <w:bookmarkStart w:id="62" w:name="page63"/>
    <w:bookmarkEnd w:id="62"/>
    <w:p>
      <w:pPr>
        <w:ind w:left="4"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properties, business and operations of the Company have been and are being conducted in all respects in accordance with all applicable laws, rules and regulations of the FDA, except where the failure to be so conducted would not, individually or in the aggregate, have a Material Adverse Effect.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p>
    <w:p>
      <w:pPr>
        <w:spacing w:after="0" w:line="75" w:lineRule="exact"/>
        <w:rPr>
          <w:sz w:val="20"/>
          <w:szCs w:val="20"/>
          <w:color w:val="auto"/>
        </w:rPr>
      </w:pPr>
    </w:p>
    <w:p>
      <w:pPr>
        <w:ind w:left="4" w:right="180" w:hanging="4"/>
        <w:spacing w:after="0" w:line="253" w:lineRule="auto"/>
        <w:tabs>
          <w:tab w:leader="none" w:pos="34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Except as would not have, individually or in the aggregate, a Material Adverse Effect,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w:t>
      </w:r>
    </w:p>
    <w:p>
      <w:pPr>
        <w:ind w:left="4" w:right="360" w:hanging="4"/>
        <w:spacing w:after="0" w:line="255" w:lineRule="auto"/>
        <w:tabs>
          <w:tab w:leader="none" w:pos="31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spacing w:after="0" w:line="77" w:lineRule="exact"/>
        <w:rPr>
          <w:rFonts w:ascii="Times New Roman" w:cs="Times New Roman" w:eastAsia="Times New Roman" w:hAnsi="Times New Roman"/>
          <w:sz w:val="18"/>
          <w:szCs w:val="18"/>
          <w:color w:val="auto"/>
        </w:rPr>
      </w:pPr>
    </w:p>
    <w:p>
      <w:pPr>
        <w:ind w:left="4" w:right="20" w:hanging="4"/>
        <w:spacing w:after="0" w:line="254" w:lineRule="auto"/>
        <w:tabs>
          <w:tab w:leader="none" w:pos="26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Data Privacy Laws</w:t>
      </w:r>
      <w:r>
        <w:rPr>
          <w:rFonts w:ascii="Times New Roman" w:cs="Times New Roman" w:eastAsia="Times New Roman" w:hAnsi="Times New Roman"/>
          <w:sz w:val="18"/>
          <w:szCs w:val="18"/>
          <w:color w:val="auto"/>
        </w:rPr>
        <w:t>. (i) The Company and the Subsidiaries are, and at all times during the last three (3) years were, in compliance with all applicable state, federal and foreign data privacy and security laws and regulations, including, without limitation, the European Union General Data Protection Regulation (“</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(EU 2016/679) (collectively, “</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(as defined below); (except where the failure to so comply in each clause</w:t>
      </w:r>
    </w:p>
    <w:p>
      <w:pPr>
        <w:spacing w:after="0" w:line="3" w:lineRule="exact"/>
        <w:rPr>
          <w:rFonts w:ascii="Times New Roman" w:cs="Times New Roman" w:eastAsia="Times New Roman" w:hAnsi="Times New Roman"/>
          <w:sz w:val="18"/>
          <w:szCs w:val="18"/>
          <w:color w:val="auto"/>
        </w:rPr>
      </w:pPr>
    </w:p>
    <w:p>
      <w:pPr>
        <w:ind w:left="4" w:hanging="4"/>
        <w:spacing w:after="0" w:line="251" w:lineRule="auto"/>
        <w:tabs>
          <w:tab w:leader="none" w:pos="21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(ii)would not have , individually or in the aggregate, a Material Adverse Effect. “</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orientationNeither the Company nor the Subsidiaries (i) to the knowledge of the Company, has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Laws; or (iii) is a party to any order, decree, or agreement by or with any court or arbitrator or governmental or regulatory authority that imposed any obligation or liability under any Privacy Law; except in each case of clauses (i), (ii) and (iii) as would not have, individually or in the aggregate, a Material Adverse Effect.</w:t>
      </w:r>
    </w:p>
    <w:p>
      <w:pPr>
        <w:sectPr>
          <w:pgSz w:w="11900" w:h="16838" w:orient="portrait"/>
          <w:cols w:equalWidth="0" w:num="1">
            <w:col w:w="10984"/>
          </w:cols>
          <w:pgMar w:left="436" w:top="270" w:right="479" w:bottom="1440" w:gutter="0" w:footer="0" w:header="0"/>
        </w:sectPr>
      </w:pPr>
    </w:p>
    <w:bookmarkStart w:id="63" w:name="page64"/>
    <w:bookmarkEnd w:id="63"/>
    <w:p>
      <w:pPr>
        <w:ind w:left="264" w:hanging="264"/>
        <w:spacing w:after="0"/>
        <w:tabs>
          <w:tab w:leader="none" w:pos="26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 w:hanging="4"/>
        <w:spacing w:after="0" w:line="266" w:lineRule="auto"/>
        <w:tabs>
          <w:tab w:leader="none" w:pos="34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 w:right="300" w:hanging="4"/>
        <w:spacing w:after="0" w:line="282" w:lineRule="auto"/>
        <w:tabs>
          <w:tab w:leader="none" w:pos="26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a Purchaser’s request.</w:t>
      </w:r>
    </w:p>
    <w:p>
      <w:pPr>
        <w:spacing w:after="0" w:line="53" w:lineRule="exact"/>
        <w:rPr>
          <w:rFonts w:ascii="Times New Roman" w:cs="Times New Roman" w:eastAsia="Times New Roman" w:hAnsi="Times New Roman"/>
          <w:sz w:val="18"/>
          <w:szCs w:val="18"/>
          <w:color w:val="auto"/>
        </w:rPr>
      </w:pPr>
    </w:p>
    <w:p>
      <w:pPr>
        <w:ind w:left="4" w:right="80" w:hanging="4"/>
        <w:spacing w:after="0" w:line="256" w:lineRule="auto"/>
        <w:tabs>
          <w:tab w:leader="none" w:pos="44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Neither the Company nor any of its Subsidiaries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exercises a controlling influence over the management or policies of a bank or any entity that is subject to the BHCA and to regulation by the Federal Reserve.</w:t>
      </w:r>
    </w:p>
    <w:p>
      <w:pPr>
        <w:spacing w:after="0" w:line="79" w:lineRule="exact"/>
        <w:rPr>
          <w:rFonts w:ascii="Times New Roman" w:cs="Times New Roman" w:eastAsia="Times New Roman" w:hAnsi="Times New Roman"/>
          <w:sz w:val="18"/>
          <w:szCs w:val="18"/>
          <w:color w:val="auto"/>
        </w:rPr>
      </w:pPr>
    </w:p>
    <w:p>
      <w:pPr>
        <w:ind w:left="4" w:right="240" w:hanging="4"/>
        <w:spacing w:after="0" w:line="258" w:lineRule="auto"/>
        <w:tabs>
          <w:tab w:leader="none" w:pos="34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75" w:lineRule="exact"/>
        <w:rPr>
          <w:sz w:val="20"/>
          <w:szCs w:val="20"/>
          <w:color w:val="auto"/>
        </w:rPr>
      </w:pPr>
    </w:p>
    <w:p>
      <w:pPr>
        <w:ind w:left="4"/>
        <w:spacing w:after="0" w:line="312"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Representations and Warranties of the Purchasers</w:t>
      </w:r>
      <w:r>
        <w:rPr>
          <w:rFonts w:ascii="Times New Roman" w:cs="Times New Roman" w:eastAsia="Times New Roman" w:hAnsi="Times New Roman"/>
          <w:sz w:val="17"/>
          <w:szCs w:val="17"/>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32" w:lineRule="exact"/>
        <w:rPr>
          <w:sz w:val="20"/>
          <w:szCs w:val="20"/>
          <w:color w:val="auto"/>
        </w:rPr>
      </w:pPr>
    </w:p>
    <w:p>
      <w:pPr>
        <w:ind w:left="444" w:right="60" w:firstLine="419"/>
        <w:spacing w:after="0" w:line="258" w:lineRule="auto"/>
        <w:tabs>
          <w:tab w:leader="none" w:pos="111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w:t>
      </w:r>
    </w:p>
    <w:p>
      <w:pPr>
        <w:sectPr>
          <w:pgSz w:w="11900" w:h="16838" w:orient="portrait"/>
          <w:cols w:equalWidth="0" w:num="1">
            <w:col w:w="11004"/>
          </w:cols>
          <w:pgMar w:left="436" w:top="270" w:right="459" w:bottom="1440" w:gutter="0" w:footer="0" w:header="0"/>
        </w:sectPr>
      </w:pPr>
    </w:p>
    <w:bookmarkStart w:id="64" w:name="page65"/>
    <w:bookmarkEnd w:id="64"/>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79" w:lineRule="exact"/>
        <w:rPr>
          <w:sz w:val="20"/>
          <w:szCs w:val="20"/>
          <w:color w:val="auto"/>
        </w:rPr>
      </w:pPr>
    </w:p>
    <w:p>
      <w:pPr>
        <w:ind w:right="20" w:firstLine="419"/>
        <w:spacing w:after="0" w:line="261" w:lineRule="auto"/>
        <w:tabs>
          <w:tab w:leader="none" w:pos="67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spacing w:after="0" w:line="71" w:lineRule="exact"/>
        <w:rPr>
          <w:rFonts w:ascii="Times New Roman" w:cs="Times New Roman" w:eastAsia="Times New Roman" w:hAnsi="Times New Roman"/>
          <w:sz w:val="18"/>
          <w:szCs w:val="18"/>
          <w:color w:val="auto"/>
        </w:rPr>
      </w:pPr>
    </w:p>
    <w:p>
      <w:pPr>
        <w:ind w:right="80" w:firstLine="419"/>
        <w:spacing w:after="0" w:line="266" w:lineRule="auto"/>
        <w:tabs>
          <w:tab w:leader="none" w:pos="66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Securities, it was, and as of the date hereof it is, and on each date on which it exercises any Warrants, it will be an “accredited investor” as defined in Rule 501(a)(1), (a)(2), (a)(3), (a)(7), (a)(8), (a)(9), (a)(12), or (a)(13) under the Securities Act.</w:t>
      </w:r>
    </w:p>
    <w:p>
      <w:pPr>
        <w:spacing w:after="0" w:line="67" w:lineRule="exact"/>
        <w:rPr>
          <w:rFonts w:ascii="Times New Roman" w:cs="Times New Roman" w:eastAsia="Times New Roman" w:hAnsi="Times New Roman"/>
          <w:sz w:val="18"/>
          <w:szCs w:val="18"/>
          <w:color w:val="auto"/>
        </w:rPr>
      </w:pPr>
    </w:p>
    <w:p>
      <w:pPr>
        <w:jc w:val="both"/>
        <w:ind w:right="120" w:firstLine="419"/>
        <w:spacing w:after="0" w:line="261" w:lineRule="auto"/>
        <w:tabs>
          <w:tab w:leader="none" w:pos="67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71" w:lineRule="exact"/>
        <w:rPr>
          <w:rFonts w:ascii="Times New Roman" w:cs="Times New Roman" w:eastAsia="Times New Roman" w:hAnsi="Times New Roman"/>
          <w:sz w:val="18"/>
          <w:szCs w:val="18"/>
          <w:color w:val="auto"/>
        </w:rPr>
      </w:pPr>
    </w:p>
    <w:p>
      <w:pPr>
        <w:ind w:right="20" w:firstLine="419"/>
        <w:spacing w:after="0" w:line="253" w:lineRule="auto"/>
        <w:tabs>
          <w:tab w:leader="none" w:pos="66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the Registration Statement, the Prospectus, the Prospectus Supplement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sectPr>
          <w:pgSz w:w="11900" w:h="16838" w:orient="portrait"/>
          <w:cols w:equalWidth="0" w:num="1">
            <w:col w:w="10560"/>
          </w:cols>
          <w:pgMar w:left="880" w:top="270" w:right="459" w:bottom="1440" w:gutter="0" w:footer="0" w:header="0"/>
        </w:sectPr>
      </w:pPr>
    </w:p>
    <w:bookmarkStart w:id="65" w:name="page66"/>
    <w:bookmarkEnd w:id="65"/>
    <w:p>
      <w:pPr>
        <w:ind w:left="440" w:firstLine="419"/>
        <w:spacing w:after="0" w:line="252" w:lineRule="auto"/>
        <w:tabs>
          <w:tab w:leader="none" w:pos="108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communication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9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0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If all or any portion of a Warrant is exercised at a time when there is an effective registration statement to cover the issuance or resale of the Warrant Shares or if the Warrant is exercised via cashless exercise, the Warrant Shares issued pursuant to any such exercise shall be issued free of all legends. If at any time following the date hereof the Registration Statement (or any subsequent registration statement registering the sale or resale of the Warrant Shares) is not effective or is not otherwise available for the sale or resale of the Warrant Shares, the Company shall immediately notify the holders of the Warrants in writing that such registration statement is not then effective and thereafter shall promptly notify such holders when the registration statement is effective again and available for the sale or resale of the Warrant Shares (it being understood and agreed that the foregoing shall not limit the ability of the Company to issue, or any Purchaser to sell, any of the Warrant Shares in compliance with applicable federal and state securities laws). The Company shall use best efforts to keep a registration statement (including the Registration Statement) registering the issuance or resale of the Warrant Shares effective during the term of the Warrants.</w:t>
      </w:r>
    </w:p>
    <w:p>
      <w:pPr>
        <w:sectPr>
          <w:pgSz w:w="11900" w:h="16838" w:orient="portrait"/>
          <w:cols w:equalWidth="0" w:num="1">
            <w:col w:w="11000"/>
          </w:cols>
          <w:pgMar w:left="440" w:top="270" w:right="459" w:bottom="1440" w:gutter="0" w:footer="0" w:header="0"/>
        </w:sectPr>
      </w:pPr>
    </w:p>
    <w:bookmarkStart w:id="66" w:name="page67"/>
    <w:bookmarkEnd w:id="66"/>
    <w:p>
      <w:pPr>
        <w:ind w:right="4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4.2 </w:t>
      </w:r>
      <w:r>
        <w:rPr>
          <w:rFonts w:ascii="Times New Roman" w:cs="Times New Roman" w:eastAsia="Times New Roman" w:hAnsi="Times New Roman"/>
          <w:sz w:val="18"/>
          <w:szCs w:val="18"/>
          <w:u w:val="single" w:color="auto"/>
          <w:color w:val="auto"/>
        </w:rPr>
        <w:t>Furnishing of Information</w:t>
      </w:r>
      <w:r>
        <w:rPr>
          <w:rFonts w:ascii="Times New Roman" w:cs="Times New Roman" w:eastAsia="Times New Roman" w:hAnsi="Times New Roman"/>
          <w:sz w:val="18"/>
          <w:szCs w:val="18"/>
          <w:color w:val="auto"/>
        </w:rPr>
        <w:t>. Until the earliest of the time that (i) no Purchaser owns Securities or (ii) the Warrants have expired, the Company covenants to use reasonable best efforts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7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7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authorized officers, directors, employees, Affiliates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and to its knowledge, any of its Subsidiaries or any of their respective officers, directors, employees, Affiliates or agents,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w:t>
      </w:r>
    </w:p>
    <w:p>
      <w:pPr>
        <w:sectPr>
          <w:pgSz w:w="11900" w:h="16838" w:orient="portrait"/>
          <w:cols w:equalWidth="0" w:num="1">
            <w:col w:w="11000"/>
          </w:cols>
          <w:pgMar w:left="440" w:top="270" w:right="459" w:bottom="1440" w:gutter="0" w:footer="0" w:header="0"/>
        </w:sectPr>
      </w:pPr>
    </w:p>
    <w:bookmarkStart w:id="67" w:name="page68"/>
    <w:bookmarkEnd w:id="67"/>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4.5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spacing w:after="0" w:line="8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Except as set forth in the Prospectus Supplement, the Company shall use the net proceeds from the sale of the Securities hereunder for working capital purposes and shall not use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spacing w:after="0" w:line="72"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 xml:space="preserve">4.8 </w:t>
      </w:r>
      <w:r>
        <w:rPr>
          <w:rFonts w:ascii="Times New Roman" w:cs="Times New Roman" w:eastAsia="Times New Roman" w:hAnsi="Times New Roman"/>
          <w:sz w:val="17"/>
          <w:szCs w:val="17"/>
          <w:u w:val="single" w:color="auto"/>
          <w:color w:val="auto"/>
        </w:rPr>
        <w:t>Indemnification of Purchasers</w:t>
      </w:r>
      <w:r>
        <w:rPr>
          <w:rFonts w:ascii="Times New Roman" w:cs="Times New Roman" w:eastAsia="Times New Roman" w:hAnsi="Times New Roman"/>
          <w:sz w:val="17"/>
          <w:szCs w:val="17"/>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w:t>
      </w:r>
    </w:p>
    <w:p>
      <w:pPr>
        <w:sectPr>
          <w:pgSz w:w="11900" w:h="16838" w:orient="portrait"/>
          <w:cols w:equalWidth="0" w:num="1">
            <w:col w:w="11000"/>
          </w:cols>
          <w:pgMar w:left="440" w:top="270" w:right="459" w:bottom="1440" w:gutter="0" w:footer="0" w:header="0"/>
        </w:sectPr>
      </w:pPr>
    </w:p>
    <w:bookmarkStart w:id="68" w:name="page69"/>
    <w:bookmarkEnd w:id="68"/>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a “</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9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Warrant Shares pursuant to any exercise of the Warrants.</w:t>
      </w:r>
    </w:p>
    <w:p>
      <w:pPr>
        <w:spacing w:after="0" w:line="6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The Company hereby agrees to use best efforts to maintain the listing of the Common Stock on the Trading Market on which it is currently listed, and concurrently with the Closing, the Company shall apply to list all of the Shares and Warrant Shares on such Trading Market and promptly secure the listing of all of the Shares and Warrant Shares on such Trading Market. The Company further agrees, if the Company applies to have the</w:t>
      </w:r>
    </w:p>
    <w:p>
      <w:pPr>
        <w:sectPr>
          <w:pgSz w:w="11900" w:h="16838" w:orient="portrait"/>
          <w:cols w:equalWidth="0" w:num="1">
            <w:col w:w="11000"/>
          </w:cols>
          <w:pgMar w:left="440" w:top="270" w:right="459" w:bottom="1440" w:gutter="0" w:footer="0" w:header="0"/>
        </w:sectPr>
      </w:pPr>
    </w:p>
    <w:bookmarkStart w:id="69" w:name="page70"/>
    <w:bookmarkEnd w:id="69"/>
    <w:p>
      <w:pPr>
        <w:ind w:left="4"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Common Stock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94"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7"/>
          <w:szCs w:val="17"/>
          <w:u w:val="single" w:color="auto"/>
          <w:color w:val="auto"/>
        </w:rPr>
        <w:t>Subsequent Equity Sales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4" w:right="20" w:hanging="4"/>
        <w:spacing w:after="0" w:line="261" w:lineRule="auto"/>
        <w:tabs>
          <w:tab w:leader="none" w:pos="24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thirty (30) days after the Closing Date, neither the Company nor any Subsidiary shall (i) issue, enter into any agreement to issue or announce the issuance or proposed issuance of any shares of Common Stock or Common Stock Equivalents or (ii) file any registration statement or amendment or supplement thereto, other than the Prospectus Supplement or the filing of a registration statement on Form S-8 in connection with any employee benefit plan.</w:t>
      </w:r>
    </w:p>
    <w:p>
      <w:pPr>
        <w:spacing w:after="0" w:line="71" w:lineRule="exact"/>
        <w:rPr>
          <w:rFonts w:ascii="Times New Roman" w:cs="Times New Roman" w:eastAsia="Times New Roman" w:hAnsi="Times New Roman"/>
          <w:sz w:val="18"/>
          <w:szCs w:val="18"/>
          <w:color w:val="auto"/>
        </w:rPr>
      </w:pPr>
    </w:p>
    <w:p>
      <w:pPr>
        <w:ind w:left="4" w:hanging="4"/>
        <w:spacing w:after="0" w:line="253" w:lineRule="auto"/>
        <w:tabs>
          <w:tab w:leader="none" w:pos="25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January 23, 2025, the Company shall be prohibited from effecting or entering into an agreement to effect any issuance by the Company or any of its Subsidiaries of Common Stock or Common Stock Equivalents (or a combination of units thereof) involving a Variable Rate Transaction. “</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offering”, whereby the Company may issue securities at a future determined price regardless of whether shares pursuant to such agreement have actually been issued, provided, however, thirty (30) days after the Closing Date, shares of Common Stock can be sold and issued pursuant to an existing controlled equity offering sales agreement between the Company and Cantor Fitzgerald &amp; Co. and H.C. Wainwright &amp; Co., LLC under an “at-the-market” offering program. Any Purchaser shall be entitled to obtain injunctive relief against the Company to preclude any such issuance, which remedy shall be in addition to any right to collect damages.</w:t>
      </w:r>
    </w:p>
    <w:p>
      <w:pPr>
        <w:spacing w:after="0" w:line="79"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Section 4.11 shall not apply in respect of an Exempt Issuance.</w:t>
      </w:r>
    </w:p>
    <w:p>
      <w:pPr>
        <w:sectPr>
          <w:pgSz w:w="11900" w:h="16838" w:orient="portrait"/>
          <w:cols w:equalWidth="0" w:num="1">
            <w:col w:w="11004"/>
          </w:cols>
          <w:pgMar w:left="436" w:top="270" w:right="459" w:bottom="1440" w:gutter="0" w:footer="0" w:header="0"/>
        </w:sectPr>
      </w:pPr>
    </w:p>
    <w:bookmarkStart w:id="70" w:name="page71"/>
    <w:bookmarkEnd w:id="70"/>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4.12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7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including, without limitation, the Placement Agent,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8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Exercise Procedures</w:t>
      </w:r>
      <w:r>
        <w:rPr>
          <w:rFonts w:ascii="Times New Roman" w:cs="Times New Roman" w:eastAsia="Times New Roman" w:hAnsi="Times New Roman"/>
          <w:sz w:val="18"/>
          <w:szCs w:val="18"/>
          <w:color w:val="auto"/>
        </w:rPr>
        <w:t>. The form of Notice of Exercise included in the Warrants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spacing w:after="0" w:line="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The Company shall not amend, modify, waive or terminate any provision of any of the Lock-Up Agreements except to extend the term of the lock-up period and shall enforce the provisions of each Lock-Up Agreement in accordance with its terms. If any party to a Lock-Up Agreement breaches any provision of a Lock-Up Agreement, the Company shall promptly use its best efforts to seek specific performance of the terms of such Lock-Up Agreement.</w:t>
      </w:r>
    </w:p>
    <w:p>
      <w:pPr>
        <w:sectPr>
          <w:pgSz w:w="11900" w:h="16838" w:orient="portrait"/>
          <w:cols w:equalWidth="0" w:num="1">
            <w:col w:w="11000"/>
          </w:cols>
          <w:pgMar w:left="440" w:top="270" w:right="45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9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75"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7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7"/>
          <w:szCs w:val="17"/>
          <w:color w:val="auto"/>
        </w:rPr>
        <w:t xml:space="preserve">5.4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7"/>
          <w:szCs w:val="17"/>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Purchasers which purchased at least 50.1% in interest of the Shares and Prefunded Warrants based on the initial Subscription Amounts hereunder (or, prior to the Closing, the Company and each Purchaser) or, in the case of a waiver, by the party against whom enforcement of any such waived provision is sought, provided that if any amendment, modification</w:t>
      </w:r>
    </w:p>
    <w:p>
      <w:pPr>
        <w:sectPr>
          <w:pgSz w:w="11900" w:h="16838" w:orient="portrait"/>
          <w:cols w:equalWidth="0" w:num="1">
            <w:col w:w="10980"/>
          </w:cols>
          <w:pgMar w:left="440" w:top="266" w:right="479" w:bottom="1440" w:gutter="0" w:footer="0" w:header="0"/>
        </w:sectPr>
      </w:pPr>
    </w:p>
    <w:bookmarkStart w:id="72" w:name="page73"/>
    <w:bookmarkEnd w:id="72"/>
    <w:p>
      <w:pPr>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waiver disproportionately and adversely impacts a Purchaser (or multiple Purchasers), the consent of such disproportionately impacted Purchaser (or at least 50.1% in interest of such multiple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6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The Placement Agent shall be the third party beneficiary of the representations, warranties, and covenants of the Company in this Agreement and the representations, warranties, and covenants of the Purchasers in this Agreement.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w:t>
      </w:r>
    </w:p>
    <w:p>
      <w:pPr>
        <w:sectPr>
          <w:pgSz w:w="11900" w:h="16838" w:orient="portrait"/>
          <w:cols w:equalWidth="0" w:num="1">
            <w:col w:w="11000"/>
          </w:cols>
          <w:pgMar w:left="440" w:top="270" w:right="459" w:bottom="1440" w:gutter="0" w:footer="0" w:header="0"/>
        </w:sectPr>
      </w:pPr>
    </w:p>
    <w:bookmarkStart w:id="73" w:name="page74"/>
    <w:bookmarkEnd w:id="73"/>
    <w:p>
      <w:pPr>
        <w:ind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Securities.</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w:t>
      </w:r>
    </w:p>
    <w:p>
      <w:pPr>
        <w:spacing w:after="0" w:line="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unless such rescission or withdrawal would materially prejudice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a rescission of an exercise of a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sectPr>
          <w:pgSz w:w="11900" w:h="16838" w:orient="portrait"/>
          <w:cols w:equalWidth="0" w:num="1">
            <w:col w:w="11000"/>
          </w:cols>
          <w:pgMar w:left="440" w:top="270" w:right="459" w:bottom="1440" w:gutter="0" w:footer="0" w:header="0"/>
        </w:sectPr>
      </w:pPr>
    </w:p>
    <w:bookmarkStart w:id="74" w:name="page75"/>
    <w:bookmarkEnd w:id="74"/>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5.14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72"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 xml:space="preserve">5.16 </w:t>
      </w:r>
      <w:r>
        <w:rPr>
          <w:rFonts w:ascii="Times New Roman" w:cs="Times New Roman" w:eastAsia="Times New Roman" w:hAnsi="Times New Roman"/>
          <w:sz w:val="17"/>
          <w:szCs w:val="17"/>
          <w:u w:val="single" w:color="auto"/>
          <w:color w:val="auto"/>
        </w:rPr>
        <w:t>Payment Set Aside</w:t>
      </w:r>
      <w:r>
        <w:rPr>
          <w:rFonts w:ascii="Times New Roman" w:cs="Times New Roman" w:eastAsia="Times New Roman" w:hAnsi="Times New Roman"/>
          <w:sz w:val="17"/>
          <w:szCs w:val="17"/>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6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EGS. EGS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ectPr>
          <w:pgSz w:w="11900" w:h="16838" w:orient="portrait"/>
          <w:cols w:equalWidth="0" w:num="1">
            <w:col w:w="10960"/>
          </w:cols>
          <w:pgMar w:left="440" w:top="270" w:right="499" w:bottom="1440" w:gutter="0" w:footer="0" w:header="0"/>
        </w:sectPr>
      </w:pPr>
    </w:p>
    <w:bookmarkStart w:id="75" w:name="page76"/>
    <w:bookmarkEnd w:id="75"/>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5.18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7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5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71"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 ANY ACTION, SUIT, OR PROCEEDING IN ANY JURISDICTION BROUGHT BY ANY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1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ectPr>
          <w:pgSz w:w="11900" w:h="16838" w:orient="portrait"/>
          <w:cols w:equalWidth="0" w:num="1">
            <w:col w:w="10900"/>
          </w:cols>
          <w:pgMar w:left="440" w:top="270" w:right="559" w:bottom="1440" w:gutter="0" w:footer="0" w:header="0"/>
        </w:sectPr>
      </w:pPr>
    </w:p>
    <w:bookmarkStart w:id="76" w:name="page77"/>
    <w:bookmarkEnd w:id="76"/>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Securities Purchase Agreement to be duly executed by their respective authorized signatories as of the date first indicated above.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tc>
        <w:tc>
          <w:tcPr>
            <w:tcW w:w="440" w:type="dxa"/>
            <w:vAlign w:val="bottom"/>
          </w:tcPr>
          <w:p>
            <w:pPr>
              <w:spacing w:after="0"/>
              <w:rPr>
                <w:sz w:val="17"/>
                <w:szCs w:val="17"/>
                <w:color w:val="auto"/>
              </w:rPr>
            </w:pPr>
          </w:p>
        </w:tc>
        <w:tc>
          <w:tcPr>
            <w:tcW w:w="3980" w:type="dxa"/>
            <w:vAlign w:val="bottom"/>
            <w:gridSpan w:val="5"/>
          </w:tcPr>
          <w:p>
            <w:pPr>
              <w:ind w:left="1680"/>
              <w:spacing w:after="0"/>
              <w:rPr>
                <w:sz w:val="20"/>
                <w:szCs w:val="20"/>
                <w:color w:val="auto"/>
              </w:rPr>
            </w:pPr>
            <w:r>
              <w:rPr>
                <w:rFonts w:ascii="Times New Roman" w:cs="Times New Roman" w:eastAsia="Times New Roman" w:hAnsi="Times New Roman"/>
                <w:sz w:val="18"/>
                <w:szCs w:val="18"/>
                <w:color w:val="auto"/>
              </w:rPr>
              <w:t>    Address for Notice:</w:t>
            </w:r>
          </w:p>
        </w:tc>
      </w:tr>
      <w:tr>
        <w:trPr>
          <w:trHeight w:val="20"/>
        </w:trPr>
        <w:tc>
          <w:tcPr>
            <w:tcW w:w="3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20" w:type="dxa"/>
            <w:vAlign w:val="bottom"/>
            <w:tcBorders>
              <w:right w:val="single" w:sz="8" w:color="auto"/>
            </w:tcBorders>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9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2051 Ringwood Avenue</w:t>
            </w:r>
          </w:p>
        </w:tc>
      </w:tr>
      <w:tr>
        <w:trPr>
          <w:trHeight w:val="196"/>
        </w:trPr>
        <w:tc>
          <w:tcPr>
            <w:tcW w:w="30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720" w:type="dxa"/>
            <w:vAlign w:val="bottom"/>
            <w:tcBorders>
              <w:top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rPr>
              <w:t>San Jose, CA 95131</w:t>
            </w:r>
          </w:p>
        </w:tc>
        <w:tc>
          <w:tcPr>
            <w:tcW w:w="240" w:type="dxa"/>
            <w:vAlign w:val="bottom"/>
          </w:tcPr>
          <w:p>
            <w:pPr>
              <w:spacing w:after="0"/>
              <w:rPr>
                <w:sz w:val="17"/>
                <w:szCs w:val="17"/>
                <w:color w:val="auto"/>
              </w:rPr>
            </w:pPr>
          </w:p>
        </w:tc>
      </w:tr>
      <w:tr>
        <w:trPr>
          <w:trHeight w:val="318"/>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By:                                                                          </w:t>
            </w: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1440" w:type="dxa"/>
            <w:vAlign w:val="bottom"/>
            <w:tcBorders>
              <w:top w:val="single" w:sz="8" w:color="auto"/>
            </w:tcBorders>
            <w:gridSpan w:val="2"/>
          </w:tcPr>
          <w:p>
            <w:pPr>
              <w:spacing w:after="0"/>
              <w:rPr>
                <w:sz w:val="24"/>
                <w:szCs w:val="24"/>
                <w:color w:val="auto"/>
              </w:rPr>
            </w:pPr>
          </w:p>
        </w:tc>
        <w:tc>
          <w:tcPr>
            <w:tcW w:w="520" w:type="dxa"/>
            <w:vAlign w:val="bottom"/>
            <w:gridSpan w:val="2"/>
          </w:tcPr>
          <w:p>
            <w:pPr>
              <w:spacing w:after="0"/>
              <w:rPr>
                <w:sz w:val="24"/>
                <w:szCs w:val="24"/>
                <w:color w:val="auto"/>
              </w:rPr>
            </w:pPr>
          </w:p>
        </w:tc>
      </w:tr>
      <w:tr>
        <w:trPr>
          <w:trHeight w:val="20"/>
        </w:trPr>
        <w:tc>
          <w:tcPr>
            <w:tcW w:w="300" w:type="dxa"/>
            <w:vAlign w:val="bottom"/>
          </w:tcPr>
          <w:p>
            <w:pPr>
              <w:spacing w:after="0" w:line="20" w:lineRule="exact"/>
              <w:rPr>
                <w:sz w:val="1"/>
                <w:szCs w:val="1"/>
                <w:color w:val="auto"/>
              </w:rPr>
            </w:pPr>
          </w:p>
        </w:tc>
        <w:tc>
          <w:tcPr>
            <w:tcW w:w="44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r>
      <w:tr>
        <w:trPr>
          <w:trHeight w:val="218"/>
        </w:trPr>
        <w:tc>
          <w:tcPr>
            <w:tcW w:w="4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Name: Talat Imran</w:t>
            </w:r>
          </w:p>
        </w:tc>
        <w:tc>
          <w:tcPr>
            <w:tcW w:w="4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E-Mail:</w:t>
            </w:r>
          </w:p>
        </w:tc>
      </w:tr>
      <w:tr>
        <w:trPr>
          <w:trHeight w:val="234"/>
        </w:trPr>
        <w:tc>
          <w:tcPr>
            <w:tcW w:w="4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c>
          <w:tcPr>
            <w:tcW w:w="4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9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7"/>
              </w:rPr>
              <w:t>talat@ranitherapeutics.com</w:t>
            </w:r>
          </w:p>
        </w:tc>
      </w:tr>
      <w:tr>
        <w:trPr>
          <w:trHeight w:val="338"/>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tc>
        <w:tc>
          <w:tcPr>
            <w:tcW w:w="4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0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Cooley LLP</w:t>
            </w:r>
          </w:p>
        </w:tc>
        <w:tc>
          <w:tcPr>
            <w:tcW w:w="4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3175 Hanover Street</w:t>
            </w:r>
          </w:p>
        </w:tc>
        <w:tc>
          <w:tcPr>
            <w:tcW w:w="4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Palo Alto, California 94304-1130</w:t>
            </w:r>
          </w:p>
        </w:tc>
        <w:tc>
          <w:tcPr>
            <w:tcW w:w="4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Attn: John T. McKenna and Josh Seidenfeld at</w:t>
            </w:r>
          </w:p>
        </w:tc>
        <w:tc>
          <w:tcPr>
            <w:tcW w:w="4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4"/>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jmckenna@cooley.com and jseidenfeld@cooley.com</w:t>
            </w:r>
          </w:p>
        </w:tc>
        <w:tc>
          <w:tcPr>
            <w:tcW w:w="4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2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SIGNATURE PAGE FOR PURCHASER FOLLOWS]</w:t>
      </w:r>
    </w:p>
    <w:p>
      <w:pPr>
        <w:sectPr>
          <w:pgSz w:w="11900" w:h="16838" w:orient="portrait"/>
          <w:cols w:equalWidth="0" w:num="1">
            <w:col w:w="10820"/>
          </w:cols>
          <w:pgMar w:left="440" w:top="270" w:right="639" w:bottom="1440" w:gutter="0" w:footer="0" w:header="0"/>
        </w:sectPr>
      </w:pPr>
    </w:p>
    <w:bookmarkStart w:id="77" w:name="page78"/>
    <w:bookmarkEnd w:id="77"/>
    <w:p>
      <w:pPr>
        <w:jc w:val="center"/>
        <w:ind w:right="-4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[PURCHASER SIGNATURE PAGES TO RANI SECURITIES PURCHASE AGREEMENT]</w:t>
      </w:r>
    </w:p>
    <w:p>
      <w:pPr>
        <w:spacing w:after="0" w:line="225"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48"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2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Name of Purchaser:              </w:t>
            </w:r>
          </w:p>
        </w:tc>
        <w:tc>
          <w:tcPr>
            <w:tcW w:w="10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ind w:right="45"/>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1"/>
              </w:rPr>
              <w:t> </w:t>
            </w:r>
          </w:p>
        </w:tc>
        <w:tc>
          <w:tcPr>
            <w:tcW w:w="60" w:type="dxa"/>
            <w:vAlign w:val="bottom"/>
          </w:tcPr>
          <w:p>
            <w:pPr>
              <w:spacing w:after="0"/>
              <w:rPr>
                <w:sz w:val="17"/>
                <w:szCs w:val="17"/>
                <w:color w:val="auto"/>
              </w:rPr>
            </w:pPr>
          </w:p>
        </w:tc>
      </w:tr>
      <w:tr>
        <w:trPr>
          <w:trHeight w:val="20"/>
        </w:trPr>
        <w:tc>
          <w:tcPr>
            <w:tcW w:w="14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3620" w:type="dxa"/>
            <w:vAlign w:val="bottom"/>
            <w:gridSpan w:val="13"/>
          </w:tcPr>
          <w:p>
            <w:pPr>
              <w:spacing w:after="0"/>
              <w:rPr>
                <w:sz w:val="20"/>
                <w:szCs w:val="20"/>
                <w:color w:val="auto"/>
              </w:rPr>
            </w:pPr>
            <w:r>
              <w:rPr>
                <w:rFonts w:ascii="Times New Roman" w:cs="Times New Roman" w:eastAsia="Times New Roman" w:hAnsi="Times New Roman"/>
                <w:sz w:val="18"/>
                <w:szCs w:val="18"/>
                <w:i w:val="1"/>
                <w:iCs w:val="1"/>
                <w:color w:val="auto"/>
                <w:w w:val="96"/>
              </w:rPr>
              <w:t>Signature of Authorized Signatory of Purchaser</w:t>
            </w:r>
            <w:r>
              <w:rPr>
                <w:rFonts w:ascii="Times New Roman" w:cs="Times New Roman" w:eastAsia="Times New Roman" w:hAnsi="Times New Roman"/>
                <w:sz w:val="18"/>
                <w:szCs w:val="18"/>
                <w:color w:val="auto"/>
                <w:w w:val="96"/>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w w:val="98"/>
              </w:rPr>
              <w:t> </w:t>
            </w:r>
          </w:p>
        </w:tc>
        <w:tc>
          <w:tcPr>
            <w:tcW w:w="160" w:type="dxa"/>
            <w:vAlign w:val="bottom"/>
          </w:tcPr>
          <w:p>
            <w:pPr>
              <w:ind w:left="12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24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2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60" w:type="dxa"/>
            <w:vAlign w:val="bottom"/>
          </w:tcPr>
          <w:p>
            <w:pPr>
              <w:spacing w:after="0"/>
              <w:rPr>
                <w:sz w:val="24"/>
                <w:szCs w:val="24"/>
                <w:color w:val="auto"/>
              </w:rPr>
            </w:pPr>
          </w:p>
        </w:tc>
      </w:tr>
      <w:tr>
        <w:trPr>
          <w:trHeight w:val="20"/>
        </w:trPr>
        <w:tc>
          <w:tcPr>
            <w:tcW w:w="2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23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3"/>
              </w:rPr>
              <w:t>Name of Authorized Signatory:  </w:t>
            </w:r>
          </w:p>
        </w:tc>
        <w:tc>
          <w:tcPr>
            <w:tcW w:w="10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2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60" w:type="dxa"/>
            <w:vAlign w:val="bottom"/>
          </w:tcPr>
          <w:p>
            <w:pPr>
              <w:spacing w:after="0"/>
              <w:rPr>
                <w:sz w:val="24"/>
                <w:szCs w:val="24"/>
                <w:color w:val="auto"/>
              </w:rPr>
            </w:pPr>
          </w:p>
        </w:tc>
      </w:tr>
      <w:tr>
        <w:trPr>
          <w:trHeight w:val="412"/>
        </w:trPr>
        <w:tc>
          <w:tcPr>
            <w:tcW w:w="23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5"/>
              </w:rPr>
              <w:t>Title of Authorized Signatory:  </w:t>
            </w: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0" w:type="dxa"/>
            <w:vAlign w:val="bottom"/>
            <w:tcBorders>
              <w:top w:val="single" w:sz="8" w:color="auto"/>
            </w:tcBorders>
          </w:tcPr>
          <w:p>
            <w:pPr>
              <w:spacing w:after="0"/>
              <w:rPr>
                <w:sz w:val="24"/>
                <w:szCs w:val="24"/>
                <w:color w:val="auto"/>
              </w:rPr>
            </w:pPr>
          </w:p>
        </w:tc>
      </w:tr>
      <w:tr>
        <w:trPr>
          <w:trHeight w:val="20"/>
        </w:trPr>
        <w:tc>
          <w:tcPr>
            <w:tcW w:w="2220" w:type="dxa"/>
            <w:vAlign w:val="bottom"/>
            <w:gridSpan w:val="2"/>
          </w:tcPr>
          <w:p>
            <w:pPr>
              <w:spacing w:after="0" w:line="20" w:lineRule="exact"/>
              <w:rPr>
                <w:sz w:val="1"/>
                <w:szCs w:val="1"/>
                <w:color w:val="auto"/>
              </w:rPr>
            </w:pPr>
          </w:p>
        </w:tc>
        <w:tc>
          <w:tcPr>
            <w:tcW w:w="240" w:type="dxa"/>
            <w:vAlign w:val="bottom"/>
            <w:tcBorders>
              <w:right w:val="single" w:sz="8" w:color="auto"/>
            </w:tcBorders>
            <w:gridSpan w:val="3"/>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412"/>
        </w:trPr>
        <w:tc>
          <w:tcPr>
            <w:tcW w:w="302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5"/>
              </w:rPr>
              <w:t>Email Address of Authorized Signatory: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2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60" w:type="dxa"/>
            <w:vAlign w:val="bottom"/>
          </w:tcPr>
          <w:p>
            <w:pPr>
              <w:spacing w:after="0"/>
              <w:rPr>
                <w:sz w:val="24"/>
                <w:szCs w:val="24"/>
                <w:color w:val="auto"/>
              </w:rPr>
            </w:pPr>
          </w:p>
        </w:tc>
      </w:tr>
      <w:tr>
        <w:trPr>
          <w:trHeight w:val="412"/>
        </w:trPr>
        <w:tc>
          <w:tcPr>
            <w:tcW w:w="246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3"/>
              </w:rPr>
              <w:t>Address for Notice to Purchaser: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0" w:type="dxa"/>
            <w:vAlign w:val="bottom"/>
            <w:tcBorders>
              <w:top w:val="single" w:sz="8" w:color="auto"/>
            </w:tcBorders>
          </w:tcPr>
          <w:p>
            <w:pPr>
              <w:spacing w:after="0"/>
              <w:rPr>
                <w:sz w:val="24"/>
                <w:szCs w:val="24"/>
                <w:color w:val="auto"/>
              </w:rPr>
            </w:pPr>
          </w:p>
        </w:tc>
      </w:tr>
      <w:tr>
        <w:trPr>
          <w:trHeight w:val="20"/>
        </w:trPr>
        <w:tc>
          <w:tcPr>
            <w:tcW w:w="1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Address for Delivery of Securities to Purchaser (if not same as address for notice):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Subscription Amount: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1097915</wp:posOffset>
            </wp:positionH>
            <wp:positionV relativeFrom="paragraph">
              <wp:posOffset>-7620</wp:posOffset>
            </wp:positionV>
            <wp:extent cx="91376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Shares: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-7620</wp:posOffset>
            </wp:positionV>
            <wp:extent cx="11430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164"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Prefunded Warrant Shares: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17780</wp:posOffset>
            </wp:positionV>
            <wp:extent cx="6858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5" w:lineRule="exact"/>
        <w:rPr>
          <w:sz w:val="20"/>
          <w:szCs w:val="20"/>
          <w:color w:val="auto"/>
        </w:rPr>
      </w:pPr>
    </w:p>
    <w:p>
      <w:pPr>
        <w:ind w:left="4"/>
        <w:spacing w:after="0" w:line="207" w:lineRule="exact"/>
        <w:tabs>
          <w:tab w:leader="none" w:pos="3124" w:val="left"/>
        </w:tabs>
        <w:rPr>
          <w:sz w:val="20"/>
          <w:szCs w:val="20"/>
          <w:color w:val="auto"/>
        </w:rPr>
      </w:pPr>
      <w:r>
        <w:rPr>
          <w:rFonts w:ascii="Times New Roman" w:cs="Times New Roman" w:eastAsia="Times New Roman" w:hAnsi="Times New Roman"/>
          <w:sz w:val="18"/>
          <w:szCs w:val="18"/>
          <w:color w:val="auto"/>
        </w:rPr>
        <w:t xml:space="preserve">Series C Warrant Shares:                    </w:t>
      </w:r>
      <w:r>
        <w:rPr>
          <w:sz w:val="20"/>
          <w:szCs w:val="20"/>
          <w:color w:val="auto"/>
        </w:rPr>
        <w:tab/>
      </w:r>
      <w:r>
        <w:rPr>
          <w:rFonts w:ascii="Times New Roman" w:cs="Times New Roman" w:eastAsia="Times New Roman" w:hAnsi="Times New Roman"/>
          <w:sz w:val="17"/>
          <w:szCs w:val="17"/>
          <w:color w:val="auto"/>
        </w:rPr>
        <w:t xml:space="preserve">Beneficial Ownership Blocker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4.99% or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17780</wp:posOffset>
            </wp:positionV>
            <wp:extent cx="8001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2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EIN Number: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-7620</wp:posOffset>
            </wp:positionV>
            <wp:extent cx="10287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164" w:lineRule="exact"/>
        <w:rPr>
          <w:sz w:val="20"/>
          <w:szCs w:val="20"/>
          <w:color w:val="auto"/>
        </w:rPr>
      </w:pPr>
    </w:p>
    <w:p>
      <w:pPr>
        <w:ind w:left="4"/>
        <w:spacing w:after="0" w:line="231"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 the above-signed, shall be unconditional and all conditions to Closing shall be disregarded, (ii) the Closing shall occur on the first (1st) Trading Day following the date of this Agreement and (iii) any condition to Closing contemplated by this Agreement (but prior to being disregarded by clause</w:t>
      </w:r>
    </w:p>
    <w:p>
      <w:pPr>
        <w:spacing w:after="0" w:line="1" w:lineRule="exact"/>
        <w:rPr>
          <w:sz w:val="20"/>
          <w:szCs w:val="20"/>
          <w:color w:val="auto"/>
        </w:rPr>
      </w:pPr>
    </w:p>
    <w:p>
      <w:pPr>
        <w:ind w:left="4" w:hanging="4"/>
        <w:spacing w:after="0" w:line="255" w:lineRule="auto"/>
        <w:tabs>
          <w:tab w:leader="none" w:pos="21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18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[SIGNATURE PAGES CONTINUE]</w:t>
      </w:r>
    </w:p>
    <w:p>
      <w:pPr>
        <w:sectPr>
          <w:pgSz w:w="11900" w:h="16838" w:orient="portrait"/>
          <w:cols w:equalWidth="0" w:num="1">
            <w:col w:w="10964"/>
          </w:cols>
          <w:pgMar w:left="436" w:top="270" w:right="499"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18"/>
          <w:szCs w:val="18"/>
          <w:b w:val="1"/>
          <w:bCs w:val="1"/>
          <w:color w:val="auto"/>
        </w:rPr>
        <w:t xml:space="preserve">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ERIES</w:t>
      </w:r>
      <w:r>
        <w:rPr>
          <w:rFonts w:ascii="Times New Roman" w:cs="Times New Roman" w:eastAsia="Times New Roman" w:hAnsi="Times New Roman"/>
          <w:sz w:val="18"/>
          <w:szCs w:val="18"/>
          <w:b w:val="1"/>
          <w:bCs w:val="1"/>
          <w:color w:val="auto"/>
        </w:rPr>
        <w:t xml:space="preserve"> C W</w:t>
      </w:r>
      <w:r>
        <w:rPr>
          <w:rFonts w:ascii="Times New Roman" w:cs="Times New Roman" w:eastAsia="Times New Roman" w:hAnsi="Times New Roman"/>
          <w:sz w:val="14"/>
          <w:szCs w:val="14"/>
          <w:b w:val="1"/>
          <w:bCs w:val="1"/>
          <w:color w:val="auto"/>
        </w:rPr>
        <w:t>ARRANT</w:t>
      </w:r>
    </w:p>
    <w:p>
      <w:pPr>
        <w:sectPr>
          <w:pgSz w:w="11900" w:h="16838" w:orient="portrait"/>
          <w:cols w:equalWidth="0" w:num="1">
            <w:col w:w="9019"/>
          </w:cols>
          <w:pgMar w:left="1440" w:top="266" w:right="1440"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18"/>
          <w:szCs w:val="18"/>
          <w:b w:val="1"/>
          <w:bCs w:val="1"/>
          <w:color w:val="auto"/>
        </w:rPr>
        <w:t xml:space="preserve"> B</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RE</w:t>
      </w: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UNDED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ARRANT</w:t>
      </w:r>
    </w:p>
    <w:p>
      <w:pPr>
        <w:sectPr>
          <w:pgSz w:w="11900" w:h="16838" w:orient="portrait"/>
          <w:cols w:equalWidth="0" w:num="1">
            <w:col w:w="9019"/>
          </w:cols>
          <w:pgMar w:left="1440" w:top="266" w:right="1440"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18"/>
          <w:szCs w:val="18"/>
          <w:b w:val="1"/>
          <w:bCs w:val="1"/>
          <w:color w:val="auto"/>
        </w:rPr>
        <w:t xml:space="preserve"> 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ORM OF</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OCK</w:t>
      </w:r>
      <w:r>
        <w:rPr>
          <w:rFonts w:ascii="Times New Roman" w:cs="Times New Roman" w:eastAsia="Times New Roman" w:hAnsi="Times New Roman"/>
          <w:sz w:val="18"/>
          <w:szCs w:val="18"/>
          <w:b w:val="1"/>
          <w:bCs w:val="1"/>
          <w:color w:val="auto"/>
        </w:rPr>
        <w:t>-U</w:t>
      </w: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sectPr>
      <w:pgSz w:w="11900" w:h="16838" w:orient="portrait"/>
      <w:cols w:equalWidth="0" w:num="1">
        <w:col w:w="9019"/>
      </w:cols>
      <w:pgMar w:left="1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lvl w:ilvl="1">
      <w:lvlJc w:val="left"/>
      <w:lvlText w:val="•"/>
      <w:numFmt w:val="bullet"/>
      <w:start w:val="1"/>
    </w:lvl>
  </w:abstractNum>
  <w:abstractNum w:abstractNumId="2">
    <w:nsid w:val="2D517796"/>
    <w:multiLevelType w:val="hybridMultilevel"/>
    <w:lvl w:ilvl="0">
      <w:lvlJc w:val="left"/>
      <w:lvlText w:val="%1)"/>
      <w:numFmt w:val="lowerLetter"/>
      <w:start w:val="1"/>
    </w:lvl>
  </w:abstractNum>
  <w:abstractNum w:abstractNumId="3">
    <w:nsid w:val="580BD78F"/>
    <w:multiLevelType w:val="hybridMultilevel"/>
    <w:lvl w:ilvl="0">
      <w:lvlJc w:val="left"/>
      <w:lvlText w:val="%1)"/>
      <w:numFmt w:val="lowerLetter"/>
      <w:start w:val="2"/>
    </w:lvl>
  </w:abstractNum>
  <w:abstractNum w:abstractNumId="4">
    <w:nsid w:val="153EA438"/>
    <w:multiLevelType w:val="hybridMultilevel"/>
    <w:lvl w:ilvl="0">
      <w:lvlJc w:val="left"/>
      <w:lvlText w:val="%1)"/>
      <w:numFmt w:val="lowerLetter"/>
      <w:start w:val="4"/>
    </w:lvl>
  </w:abstractNum>
  <w:abstractNum w:abstractNumId="5">
    <w:nsid w:val="3855585C"/>
    <w:multiLevelType w:val="hybridMultilevel"/>
    <w:lvl w:ilvl="0">
      <w:lvlJc w:val="left"/>
      <w:lvlText w:val="%1."/>
      <w:numFmt w:val="lowerRoman"/>
      <w:start w:val="2"/>
    </w:lvl>
  </w:abstractNum>
  <w:abstractNum w:abstractNumId="6">
    <w:nsid w:val="70A64E2A"/>
    <w:multiLevelType w:val="hybridMultilevel"/>
    <w:lvl w:ilvl="0">
      <w:lvlJc w:val="left"/>
      <w:lvlText w:val="%1."/>
      <w:numFmt w:val="lowerRoman"/>
      <w:start w:val="3"/>
    </w:lvl>
  </w:abstractNum>
  <w:abstractNum w:abstractNumId="7">
    <w:nsid w:val="6A2342EC"/>
    <w:multiLevelType w:val="hybridMultilevel"/>
    <w:lvl w:ilvl="0">
      <w:lvlJc w:val="left"/>
      <w:lvlText w:val="%1"/>
      <w:numFmt w:val="lowerLetter"/>
      <w:start w:val="1"/>
    </w:lvl>
    <w:lvl w:ilvl="1">
      <w:lvlJc w:val="left"/>
      <w:lvlText w:val="%2."/>
      <w:numFmt w:val="lowerRoman"/>
      <w:start w:val="6"/>
    </w:lvl>
  </w:abstractNum>
  <w:abstractNum w:abstractNumId="8">
    <w:nsid w:val="2A487CB0"/>
    <w:multiLevelType w:val="hybridMultilevel"/>
    <w:lvl w:ilvl="0">
      <w:lvlJc w:val="left"/>
      <w:lvlText w:val="%1)"/>
      <w:numFmt w:val="lowerLetter"/>
      <w:start w:val="5"/>
    </w:lvl>
    <w:lvl w:ilvl="1">
      <w:lvlJc w:val="left"/>
      <w:lvlText w:val="%2"/>
      <w:numFmt w:val="lowerRoman"/>
      <w:start w:val="1"/>
    </w:lvl>
  </w:abstractNum>
  <w:abstractNum w:abstractNumId="9">
    <w:nsid w:val="1D4ED43B"/>
    <w:multiLevelType w:val="hybridMultilevel"/>
    <w:lvl w:ilvl="0">
      <w:lvlJc w:val="left"/>
      <w:lvlText w:val="%1)"/>
      <w:numFmt w:val="lowerLetter"/>
      <w:start w:val="1"/>
    </w:lvl>
  </w:abstractNum>
  <w:abstractNum w:abstractNumId="10">
    <w:nsid w:val="725A06FB"/>
    <w:multiLevelType w:val="hybridMultilevel"/>
    <w:lvl w:ilvl="0">
      <w:lvlJc w:val="left"/>
      <w:lvlText w:val="%1)"/>
      <w:numFmt w:val="lowerLetter"/>
      <w:start w:val="2"/>
    </w:lvl>
  </w:abstractNum>
  <w:abstractNum w:abstractNumId="11">
    <w:nsid w:val="2CD89A32"/>
    <w:multiLevelType w:val="hybridMultilevel"/>
    <w:lvl w:ilvl="0">
      <w:lvlJc w:val="left"/>
      <w:lvlText w:val="%1"/>
      <w:numFmt w:val="lowerRoman"/>
      <w:start w:val="1"/>
    </w:lvl>
    <w:lvl w:ilvl="1">
      <w:lvlJc w:val="left"/>
      <w:lvlText w:val="%2)"/>
      <w:numFmt w:val="lowerLetter"/>
      <w:start w:val="4"/>
    </w:lvl>
  </w:abstractNum>
  <w:abstractNum w:abstractNumId="12">
    <w:nsid w:val="57E4CCAF"/>
    <w:multiLevelType w:val="hybridMultilevel"/>
    <w:lvl w:ilvl="0">
      <w:lvlJc w:val="left"/>
      <w:lvlText w:val="(%1)"/>
      <w:numFmt w:val="lowerRoman"/>
      <w:start w:val="5"/>
    </w:lvl>
    <w:lvl w:ilvl="1">
      <w:lvlJc w:val="left"/>
      <w:lvlText w:val="%2"/>
      <w:numFmt w:val="lowerLetter"/>
      <w:start w:val="1"/>
    </w:lvl>
  </w:abstractNum>
  <w:abstractNum w:abstractNumId="13">
    <w:nsid w:val="7A6D8D3C"/>
    <w:multiLevelType w:val="hybridMultilevel"/>
    <w:lvl w:ilvl="0">
      <w:lvlJc w:val="left"/>
      <w:lvlText w:val="%1)"/>
      <w:numFmt w:val="lowerLetter"/>
      <w:start w:val="5"/>
    </w:lvl>
    <w:lvl w:ilvl="1">
      <w:lvlJc w:val="left"/>
      <w:lvlText w:val="%2."/>
      <w:numFmt w:val="lowerRoman"/>
      <w:start w:val="1"/>
    </w:lvl>
  </w:abstractNum>
  <w:abstractNum w:abstractNumId="14">
    <w:nsid w:val="4B588F54"/>
    <w:multiLevelType w:val="hybridMultilevel"/>
    <w:lvl w:ilvl="0">
      <w:lvlJc w:val="left"/>
      <w:lvlText w:val="%1)"/>
      <w:numFmt w:val="lowerLetter"/>
      <w:start w:val="7"/>
    </w:lvl>
  </w:abstractNum>
  <w:abstractNum w:abstractNumId="15">
    <w:nsid w:val="542289EC"/>
    <w:multiLevelType w:val="hybridMultilevel"/>
    <w:lvl w:ilvl="0">
      <w:lvlJc w:val="left"/>
      <w:lvlText w:val="%1)"/>
      <w:numFmt w:val="lowerLetter"/>
      <w:start w:val="1"/>
    </w:lvl>
  </w:abstractNum>
  <w:abstractNum w:abstractNumId="16">
    <w:nsid w:val="6DE91B18"/>
    <w:multiLevelType w:val="hybridMultilevel"/>
    <w:lvl w:ilvl="0">
      <w:lvlJc w:val="left"/>
      <w:lvlText w:val="%1)"/>
      <w:numFmt w:val="lowerLetter"/>
      <w:start w:val="3"/>
    </w:lvl>
  </w:abstractNum>
  <w:abstractNum w:abstractNumId="17">
    <w:nsid w:val="38437FDB"/>
    <w:multiLevelType w:val="hybridMultilevel"/>
    <w:lvl w:ilvl="0">
      <w:lvlJc w:val="left"/>
      <w:lvlText w:val="%1)"/>
      <w:numFmt w:val="lowerLetter"/>
      <w:start w:val="1"/>
    </w:lvl>
  </w:abstractNum>
  <w:abstractNum w:abstractNumId="18">
    <w:nsid w:val="7644A45C"/>
    <w:multiLevelType w:val="hybridMultilevel"/>
    <w:lvl w:ilvl="0">
      <w:lvlJc w:val="left"/>
      <w:lvlText w:val="%1)"/>
      <w:numFmt w:val="lowerLetter"/>
      <w:start w:val="5"/>
    </w:lvl>
  </w:abstractNum>
  <w:abstractNum w:abstractNumId="19">
    <w:nsid w:val="32FFF902"/>
    <w:multiLevelType w:val="hybridMultilevel"/>
    <w:lvl w:ilvl="0">
      <w:lvlJc w:val="left"/>
      <w:lvlText w:val="%1)"/>
      <w:numFmt w:val="lowerLetter"/>
      <w:start w:val="8"/>
    </w:lvl>
  </w:abstractNum>
  <w:abstractNum w:abstractNumId="20">
    <w:nsid w:val="684A481A"/>
    <w:multiLevelType w:val="hybridMultilevel"/>
    <w:lvl w:ilvl="0">
      <w:lvlJc w:val="left"/>
      <w:lvlText w:val="(%1)"/>
      <w:numFmt w:val="decimal"/>
      <w:start w:val="1"/>
    </w:lvl>
  </w:abstractNum>
  <w:abstractNum w:abstractNumId="21">
    <w:nsid w:val="579478FE"/>
    <w:multiLevelType w:val="hybridMultilevel"/>
    <w:lvl w:ilvl="0">
      <w:lvlJc w:val="left"/>
      <w:lvlText w:val="%1)"/>
      <w:numFmt w:val="lowerLetter"/>
      <w:start w:val="1"/>
    </w:lvl>
  </w:abstractNum>
  <w:abstractNum w:abstractNumId="22">
    <w:nsid w:val="749ABB43"/>
    <w:multiLevelType w:val="hybridMultilevel"/>
    <w:lvl w:ilvl="0">
      <w:lvlJc w:val="left"/>
      <w:lvlText w:val="%1)"/>
      <w:numFmt w:val="lowerLetter"/>
      <w:start w:val="3"/>
    </w:lvl>
  </w:abstractNum>
  <w:abstractNum w:abstractNumId="23">
    <w:nsid w:val="3DC240FB"/>
    <w:multiLevelType w:val="hybridMultilevel"/>
    <w:lvl w:ilvl="0">
      <w:lvlJc w:val="left"/>
      <w:lvlText w:val="%1)"/>
      <w:numFmt w:val="lowerLetter"/>
      <w:start w:val="4"/>
    </w:lvl>
    <w:lvl w:ilvl="1">
      <w:lvlJc w:val="left"/>
      <w:lvlText w:val="%2."/>
      <w:numFmt w:val="lowerRoman"/>
      <w:start w:val="1"/>
    </w:lvl>
  </w:abstractNum>
  <w:abstractNum w:abstractNumId="24">
    <w:nsid w:val="1BA026FA"/>
    <w:multiLevelType w:val="hybridMultilevel"/>
    <w:lvl w:ilvl="0">
      <w:lvlJc w:val="left"/>
      <w:lvlText w:val="%1."/>
      <w:numFmt w:val="lowerRoman"/>
      <w:start w:val="3"/>
    </w:lvl>
  </w:abstractNum>
  <w:abstractNum w:abstractNumId="25">
    <w:nsid w:val="79A1DEAA"/>
    <w:multiLevelType w:val="hybridMultilevel"/>
    <w:lvl w:ilvl="0">
      <w:lvlJc w:val="left"/>
      <w:lvlText w:val="%1"/>
      <w:numFmt w:val="lowerLetter"/>
      <w:start w:val="1"/>
    </w:lvl>
    <w:lvl w:ilvl="1">
      <w:lvlJc w:val="left"/>
      <w:lvlText w:val="%2."/>
      <w:numFmt w:val="lowerRoman"/>
      <w:start w:val="6"/>
    </w:lvl>
  </w:abstractNum>
  <w:abstractNum w:abstractNumId="26">
    <w:nsid w:val="75C6C33A"/>
    <w:multiLevelType w:val="hybridMultilevel"/>
    <w:lvl w:ilvl="0">
      <w:lvlJc w:val="left"/>
      <w:lvlText w:val="%1)"/>
      <w:numFmt w:val="lowerLetter"/>
      <w:start w:val="5"/>
    </w:lvl>
    <w:lvl w:ilvl="1">
      <w:lvlJc w:val="left"/>
      <w:lvlText w:val="%2"/>
      <w:numFmt w:val="lowerRoman"/>
      <w:start w:val="1"/>
    </w:lvl>
  </w:abstractNum>
  <w:abstractNum w:abstractNumId="27">
    <w:nsid w:val="12E685FB"/>
    <w:multiLevelType w:val="hybridMultilevel"/>
    <w:lvl w:ilvl="0">
      <w:lvlJc w:val="left"/>
      <w:lvlText w:val="%1)"/>
      <w:numFmt w:val="lowerLetter"/>
      <w:start w:val="1"/>
    </w:lvl>
  </w:abstractNum>
  <w:abstractNum w:abstractNumId="28">
    <w:nsid w:val="70C6A529"/>
    <w:multiLevelType w:val="hybridMultilevel"/>
    <w:lvl w:ilvl="0">
      <w:lvlJc w:val="left"/>
      <w:lvlText w:val="%1)"/>
      <w:numFmt w:val="lowerLetter"/>
      <w:start w:val="2"/>
    </w:lvl>
  </w:abstractNum>
  <w:abstractNum w:abstractNumId="29">
    <w:nsid w:val="520EEDD1"/>
    <w:multiLevelType w:val="hybridMultilevel"/>
    <w:lvl w:ilvl="0">
      <w:lvlJc w:val="left"/>
      <w:lvlText w:val="%1)"/>
      <w:numFmt w:val="lowerLetter"/>
      <w:start w:val="4"/>
    </w:lvl>
  </w:abstractNum>
  <w:abstractNum w:abstractNumId="30">
    <w:nsid w:val="374A3FE6"/>
    <w:multiLevelType w:val="hybridMultilevel"/>
    <w:lvl w:ilvl="0">
      <w:lvlJc w:val="left"/>
      <w:lvlText w:val="%1)"/>
      <w:numFmt w:val="lowerLetter"/>
      <w:start w:val="5"/>
    </w:lvl>
    <w:lvl w:ilvl="1">
      <w:lvlJc w:val="left"/>
      <w:lvlText w:val="%2."/>
      <w:numFmt w:val="lowerRoman"/>
      <w:start w:val="1"/>
    </w:lvl>
  </w:abstractNum>
  <w:abstractNum w:abstractNumId="31">
    <w:nsid w:val="4F4EF005"/>
    <w:multiLevelType w:val="hybridMultilevel"/>
    <w:lvl w:ilvl="0">
      <w:lvlJc w:val="left"/>
      <w:lvlText w:val="%1)"/>
      <w:numFmt w:val="lowerLetter"/>
      <w:start w:val="1"/>
    </w:lvl>
  </w:abstractNum>
  <w:abstractNum w:abstractNumId="32">
    <w:nsid w:val="23F9C13C"/>
    <w:multiLevelType w:val="hybridMultilevel"/>
    <w:lvl w:ilvl="0">
      <w:lvlJc w:val="left"/>
      <w:lvlText w:val="%1)"/>
      <w:numFmt w:val="lowerLetter"/>
      <w:start w:val="2"/>
    </w:lvl>
  </w:abstractNum>
  <w:abstractNum w:abstractNumId="33">
    <w:nsid w:val="649BB77C"/>
    <w:multiLevelType w:val="hybridMultilevel"/>
    <w:lvl w:ilvl="0">
      <w:lvlJc w:val="left"/>
      <w:lvlText w:val="%1)"/>
      <w:numFmt w:val="lowerLetter"/>
      <w:start w:val="1"/>
    </w:lvl>
  </w:abstractNum>
  <w:abstractNum w:abstractNumId="34">
    <w:nsid w:val="275AC794"/>
    <w:multiLevelType w:val="hybridMultilevel"/>
    <w:lvl w:ilvl="0">
      <w:lvlJc w:val="left"/>
      <w:lvlText w:val="%1)"/>
      <w:numFmt w:val="lowerLetter"/>
      <w:start w:val="4"/>
    </w:lvl>
  </w:abstractNum>
  <w:abstractNum w:abstractNumId="35">
    <w:nsid w:val="39386575"/>
    <w:multiLevelType w:val="hybridMultilevel"/>
    <w:lvl w:ilvl="0">
      <w:lvlJc w:val="left"/>
      <w:lvlText w:val="%1)"/>
      <w:numFmt w:val="lowerLetter"/>
      <w:start w:val="5"/>
    </w:lvl>
  </w:abstractNum>
  <w:abstractNum w:abstractNumId="36">
    <w:nsid w:val="1CF10FD8"/>
    <w:multiLevelType w:val="hybridMultilevel"/>
    <w:lvl w:ilvl="0">
      <w:lvlJc w:val="left"/>
      <w:lvlText w:val="%1)"/>
      <w:numFmt w:val="lowerLetter"/>
      <w:start w:val="6"/>
    </w:lvl>
  </w:abstractNum>
  <w:abstractNum w:abstractNumId="37">
    <w:nsid w:val="180115BE"/>
    <w:multiLevelType w:val="hybridMultilevel"/>
    <w:lvl w:ilvl="0">
      <w:lvlJc w:val="left"/>
      <w:lvlText w:val="%1)"/>
      <w:numFmt w:val="lowerLetter"/>
      <w:start w:val="13"/>
    </w:lvl>
  </w:abstractNum>
  <w:abstractNum w:abstractNumId="38">
    <w:nsid w:val="235BA861"/>
    <w:multiLevelType w:val="hybridMultilevel"/>
    <w:lvl w:ilvl="0">
      <w:lvlJc w:val="left"/>
      <w:lvlText w:val="(%1)"/>
      <w:numFmt w:val="decimal"/>
      <w:start w:val="1"/>
    </w:lvl>
  </w:abstractNum>
  <w:abstractNum w:abstractNumId="39">
    <w:nsid w:val="47398C89"/>
    <w:multiLevelType w:val="hybridMultilevel"/>
    <w:lvl w:ilvl="0">
      <w:lvlJc w:val="left"/>
      <w:lvlText w:val=" "/>
      <w:numFmt w:val="bullet"/>
      <w:start w:val="1"/>
    </w:lvl>
    <w:lvl w:ilvl="1">
      <w:lvlJc w:val="left"/>
      <w:lvlText w:val="(%2)"/>
      <w:numFmt w:val="decimal"/>
      <w:start w:val="2"/>
    </w:lvl>
    <w:lvl w:ilvl="2">
      <w:lvlJc w:val="left"/>
      <w:lvlText w:val="["/>
      <w:numFmt w:val="bullet"/>
      <w:start w:val="1"/>
    </w:lvl>
  </w:abstractNum>
  <w:abstractNum w:abstractNumId="40">
    <w:nsid w:val="354FE9F9"/>
    <w:multiLevelType w:val="hybridMultilevel"/>
    <w:lvl w:ilvl="0">
      <w:lvlJc w:val="left"/>
      <w:lvlText w:val="%1"/>
      <w:numFmt w:val="lowerLetter"/>
      <w:start w:val="1"/>
    </w:lvl>
    <w:lvl w:ilvl="1">
      <w:lvlJc w:val="left"/>
      <w:lvlText w:val="(%2)"/>
      <w:numFmt w:val="lowerRoman"/>
      <w:start w:val="1"/>
    </w:lvl>
  </w:abstractNum>
  <w:abstractNum w:abstractNumId="41">
    <w:nsid w:val="15B5AF5C"/>
    <w:multiLevelType w:val="hybridMultilevel"/>
    <w:lvl w:ilvl="0">
      <w:lvlJc w:val="left"/>
      <w:lvlText w:val="(%1)"/>
      <w:numFmt w:val="lowerLetter"/>
      <w:start w:val="8"/>
    </w:lvl>
    <w:lvl w:ilvl="1">
      <w:lvlJc w:val="left"/>
      <w:lvlText w:val="%2"/>
      <w:numFmt w:val="lowerRoman"/>
      <w:start w:val="1"/>
    </w:lvl>
  </w:abstractNum>
  <w:abstractNum w:abstractNumId="42">
    <w:nsid w:val="741226BB"/>
    <w:multiLevelType w:val="hybridMultilevel"/>
    <w:lvl w:ilvl="0">
      <w:lvlJc w:val="left"/>
      <w:lvlText w:val="(%1)"/>
      <w:numFmt w:val="lowerRoman"/>
      <w:start w:val="4"/>
    </w:lvl>
  </w:abstractNum>
  <w:abstractNum w:abstractNumId="43">
    <w:nsid w:val="D34B6A8"/>
    <w:multiLevelType w:val="hybridMultilevel"/>
    <w:lvl w:ilvl="0">
      <w:lvlJc w:val="left"/>
      <w:lvlText w:val="(%1)"/>
      <w:numFmt w:val="lowerRoman"/>
      <w:start w:val="2"/>
    </w:lvl>
  </w:abstractNum>
  <w:abstractNum w:abstractNumId="44">
    <w:nsid w:val="10233C99"/>
    <w:multiLevelType w:val="hybridMultilevel"/>
    <w:lvl w:ilvl="0">
      <w:lvlJc w:val="left"/>
      <w:lvlText w:val="(%1)"/>
      <w:numFmt w:val="lowerLetter"/>
      <w:start w:val="1"/>
    </w:lvl>
    <w:lvl w:ilvl="1">
      <w:lvlJc w:val="left"/>
      <w:lvlText w:val="(%2)"/>
      <w:numFmt w:val="lowerRoman"/>
      <w:start w:val="1"/>
    </w:lvl>
  </w:abstractNum>
  <w:abstractNum w:abstractNumId="45">
    <w:nsid w:val="3F6AB60F"/>
    <w:multiLevelType w:val="hybridMultilevel"/>
    <w:lvl w:ilvl="0">
      <w:lvlJc w:val="left"/>
      <w:lvlText w:val="%1"/>
      <w:numFmt w:val="lowerLetter"/>
      <w:start w:val="1"/>
    </w:lvl>
    <w:lvl w:ilvl="1">
      <w:lvlJc w:val="left"/>
      <w:lvlText w:val="(%2)"/>
      <w:numFmt w:val="lowerRoman"/>
      <w:start w:val="6"/>
    </w:lvl>
  </w:abstractNum>
  <w:abstractNum w:abstractNumId="46">
    <w:nsid w:val="61574095"/>
    <w:multiLevelType w:val="hybridMultilevel"/>
    <w:lvl w:ilvl="0">
      <w:lvlJc w:val="left"/>
      <w:lvlText w:val="(%1)"/>
      <w:numFmt w:val="lowerLetter"/>
      <w:start w:val="2"/>
    </w:lvl>
    <w:lvl w:ilvl="1">
      <w:lvlJc w:val="left"/>
      <w:lvlText w:val="(%2)"/>
      <w:numFmt w:val="lowerRoman"/>
      <w:start w:val="1"/>
    </w:lvl>
  </w:abstractNum>
  <w:abstractNum w:abstractNumId="47">
    <w:nsid w:val="7E0C57B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8">
    <w:nsid w:val="77AE35EB"/>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49">
    <w:nsid w:val="579BE4F1"/>
    <w:multiLevelType w:val="hybridMultilevel"/>
    <w:lvl w:ilvl="0">
      <w:lvlJc w:val="left"/>
      <w:lvlText w:val="(%1)"/>
      <w:numFmt w:val="lowerRoman"/>
      <w:start w:val="2"/>
    </w:lvl>
  </w:abstractNum>
  <w:abstractNum w:abstractNumId="50">
    <w:nsid w:val="310C50B3"/>
    <w:multiLevelType w:val="hybridMultilevel"/>
    <w:lvl w:ilvl="0">
      <w:lvlJc w:val="left"/>
      <w:lvlText w:val="%1"/>
      <w:numFmt w:val="lowerLetter"/>
      <w:start w:val="1"/>
    </w:lvl>
    <w:lvl w:ilvl="1">
      <w:lvlJc w:val="left"/>
      <w:lvlText w:val="(%2)"/>
      <w:numFmt w:val="lowerLetter"/>
      <w:start w:val="1"/>
    </w:lvl>
  </w:abstractNum>
  <w:abstractNum w:abstractNumId="51">
    <w:nsid w:val="5FF87E05"/>
    <w:multiLevelType w:val="hybridMultilevel"/>
    <w:lvl w:ilvl="0">
      <w:lvlJc w:val="left"/>
      <w:lvlText w:val="(%1)"/>
      <w:numFmt w:val="lowerLetter"/>
      <w:start w:val="2"/>
    </w:lvl>
    <w:lvl w:ilvl="1">
      <w:lvlJc w:val="left"/>
      <w:lvlText w:val="%2"/>
      <w:numFmt w:val="lowerLetter"/>
      <w:start w:val="1"/>
    </w:lvl>
  </w:abstractNum>
  <w:abstractNum w:abstractNumId="52">
    <w:nsid w:val="2F305DEF"/>
    <w:multiLevelType w:val="hybridMultilevel"/>
    <w:lvl w:ilvl="0">
      <w:lvlJc w:val="left"/>
      <w:lvlText w:val="(%1)"/>
      <w:numFmt w:val="lowerLetter"/>
      <w:start w:val="3"/>
    </w:lvl>
  </w:abstractNum>
  <w:abstractNum w:abstractNumId="53">
    <w:nsid w:val="25A70BF7"/>
    <w:multiLevelType w:val="hybridMultilevel"/>
    <w:lvl w:ilvl="0">
      <w:lvlJc w:val="left"/>
      <w:lvlText w:val="(%1)"/>
      <w:numFmt w:val="lowerLetter"/>
      <w:start w:val="9"/>
    </w:lvl>
  </w:abstractNum>
  <w:abstractNum w:abstractNumId="54">
    <w:nsid w:val="1DBABF00"/>
    <w:multiLevelType w:val="hybridMultilevel"/>
    <w:lvl w:ilvl="0">
      <w:lvlJc w:val="left"/>
      <w:lvlText w:val="(%1)"/>
      <w:numFmt w:val="lowerLetter"/>
      <w:start w:val="5"/>
    </w:lvl>
  </w:abstractNum>
  <w:abstractNum w:abstractNumId="55">
    <w:nsid w:val="4AD084E9"/>
    <w:multiLevelType w:val="hybridMultilevel"/>
    <w:lvl w:ilvl="0">
      <w:lvlJc w:val="left"/>
      <w:lvlText w:val="(%1)"/>
      <w:numFmt w:val="lowerLetter"/>
      <w:start w:val="35"/>
    </w:lvl>
  </w:abstractNum>
  <w:abstractNum w:abstractNumId="56">
    <w:nsid w:val="1F48EAA1"/>
    <w:multiLevelType w:val="hybridMultilevel"/>
    <w:lvl w:ilvl="0">
      <w:lvlJc w:val="left"/>
      <w:lvlText w:val="(%1)"/>
      <w:numFmt w:val="lowerLetter"/>
      <w:start w:val="6"/>
    </w:lvl>
  </w:abstractNum>
  <w:abstractNum w:abstractNumId="57">
    <w:nsid w:val="1381823A"/>
    <w:multiLevelType w:val="hybridMultilevel"/>
    <w:lvl w:ilvl="0">
      <w:lvlJc w:val="left"/>
      <w:lvlText w:val="(%1)"/>
      <w:numFmt w:val="lowerLetter"/>
      <w:start w:val="8"/>
    </w:lvl>
  </w:abstractNum>
  <w:abstractNum w:abstractNumId="58">
    <w:nsid w:val="5DB70AE5"/>
    <w:multiLevelType w:val="hybridMultilevel"/>
    <w:lvl w:ilvl="0">
      <w:lvlJc w:val="left"/>
      <w:lvlText w:val="(%1)"/>
      <w:numFmt w:val="lowerRoman"/>
      <w:start w:val="1"/>
    </w:lvl>
  </w:abstractNum>
  <w:abstractNum w:abstractNumId="59">
    <w:nsid w:val="100F8FCA"/>
    <w:multiLevelType w:val="hybridMultilevel"/>
    <w:lvl w:ilvl="0">
      <w:lvlJc w:val="left"/>
      <w:lvlText w:val="(%1)"/>
      <w:numFmt w:val="lowerLetter"/>
      <w:start w:val="10"/>
    </w:lvl>
  </w:abstractNum>
  <w:abstractNum w:abstractNumId="60">
    <w:nsid w:val="6590700B"/>
    <w:multiLevelType w:val="hybridMultilevel"/>
    <w:lvl w:ilvl="0">
      <w:lvlJc w:val="left"/>
      <w:lvlText w:val="(%1)"/>
      <w:numFmt w:val="lowerLetter"/>
      <w:start w:val="12"/>
    </w:lvl>
  </w:abstractNum>
  <w:abstractNum w:abstractNumId="61">
    <w:nsid w:val="15014ACB"/>
    <w:multiLevelType w:val="hybridMultilevel"/>
    <w:lvl w:ilvl="0">
      <w:lvlJc w:val="left"/>
      <w:lvlText w:val="(%1)"/>
      <w:numFmt w:val="lowerLetter"/>
      <w:start w:val="15"/>
    </w:lvl>
  </w:abstractNum>
  <w:abstractNum w:abstractNumId="62">
    <w:nsid w:val="5F5E7FD0"/>
    <w:multiLevelType w:val="hybridMultilevel"/>
    <w:lvl w:ilvl="0">
      <w:lvlJc w:val="left"/>
      <w:lvlText w:val="(%1)"/>
      <w:numFmt w:val="lowerLetter"/>
      <w:start w:val="19"/>
    </w:lvl>
  </w:abstractNum>
  <w:abstractNum w:abstractNumId="63">
    <w:nsid w:val="98A3148"/>
    <w:multiLevelType w:val="hybridMultilevel"/>
    <w:lvl w:ilvl="0">
      <w:lvlJc w:val="left"/>
      <w:lvlText w:val="(%1)"/>
      <w:numFmt w:val="lowerLetter"/>
      <w:start w:val="23"/>
    </w:lvl>
  </w:abstractNum>
  <w:abstractNum w:abstractNumId="64">
    <w:nsid w:val="799D0247"/>
    <w:multiLevelType w:val="hybridMultilevel"/>
    <w:lvl w:ilvl="0">
      <w:lvlJc w:val="left"/>
      <w:lvlText w:val="(%1)"/>
      <w:numFmt w:val="lowerLetter"/>
      <w:start w:val="27"/>
    </w:lvl>
  </w:abstractNum>
  <w:abstractNum w:abstractNumId="65">
    <w:nsid w:val="6B94764"/>
    <w:multiLevelType w:val="hybridMultilevel"/>
    <w:lvl w:ilvl="0">
      <w:lvlJc w:val="left"/>
      <w:lvlText w:val="(%1)"/>
      <w:numFmt w:val="lowerRoman"/>
      <w:start w:val="4"/>
    </w:lvl>
  </w:abstractNum>
  <w:abstractNum w:abstractNumId="66">
    <w:nsid w:val="42C296BD"/>
    <w:multiLevelType w:val="hybridMultilevel"/>
    <w:lvl w:ilvl="0">
      <w:lvlJc w:val="left"/>
      <w:lvlText w:val="(%1)"/>
      <w:numFmt w:val="lowerLetter"/>
      <w:start w:val="32"/>
    </w:lvl>
  </w:abstractNum>
  <w:abstractNum w:abstractNumId="67">
    <w:nsid w:val="168E121F"/>
    <w:multiLevelType w:val="hybridMultilevel"/>
    <w:lvl w:ilvl="0">
      <w:lvlJc w:val="left"/>
      <w:lvlText w:val="(%1)"/>
      <w:numFmt w:val="lowerLetter"/>
      <w:start w:val="34"/>
    </w:lvl>
  </w:abstractNum>
  <w:abstractNum w:abstractNumId="68">
    <w:nsid w:val="1EBA5D23"/>
    <w:multiLevelType w:val="hybridMultilevel"/>
    <w:lvl w:ilvl="0">
      <w:lvlJc w:val="left"/>
      <w:lvlText w:val="(%1)"/>
      <w:numFmt w:val="lowerLetter"/>
      <w:start w:val="61"/>
    </w:lvl>
  </w:abstractNum>
  <w:abstractNum w:abstractNumId="69">
    <w:nsid w:val="661E3F1E"/>
    <w:multiLevelType w:val="hybridMultilevel"/>
    <w:lvl w:ilvl="0">
      <w:lvlJc w:val="left"/>
      <w:lvlText w:val="(%1)"/>
      <w:numFmt w:val="lowerLetter"/>
      <w:start w:val="35"/>
    </w:lvl>
  </w:abstractNum>
  <w:abstractNum w:abstractNumId="70">
    <w:nsid w:val="5DC79EA8"/>
    <w:multiLevelType w:val="hybridMultilevel"/>
    <w:lvl w:ilvl="0">
      <w:lvlJc w:val="left"/>
      <w:lvlText w:val="(%1)"/>
      <w:numFmt w:val="lowerLetter"/>
      <w:start w:val="9"/>
    </w:lvl>
  </w:abstractNum>
  <w:abstractNum w:abstractNumId="71">
    <w:nsid w:val="540A471C"/>
    <w:multiLevelType w:val="hybridMultilevel"/>
    <w:lvl w:ilvl="0">
      <w:lvlJc w:val="left"/>
      <w:lvlText w:val="(%1)"/>
      <w:numFmt w:val="lowerLetter"/>
      <w:start w:val="36"/>
    </w:lvl>
  </w:abstractNum>
  <w:abstractNum w:abstractNumId="72">
    <w:nsid w:val="7BD3EE7B"/>
    <w:multiLevelType w:val="hybridMultilevel"/>
    <w:lvl w:ilvl="0">
      <w:lvlJc w:val="left"/>
      <w:lvlText w:val="(%1)"/>
      <w:numFmt w:val="lowerLetter"/>
      <w:start w:val="1"/>
    </w:lvl>
  </w:abstractNum>
  <w:abstractNum w:abstractNumId="73">
    <w:nsid w:val="51D9C564"/>
    <w:multiLevelType w:val="hybridMultilevel"/>
    <w:lvl w:ilvl="0">
      <w:lvlJc w:val="left"/>
      <w:lvlText w:val="(%1)"/>
      <w:numFmt w:val="lowerLetter"/>
      <w:start w:val="2"/>
    </w:lvl>
  </w:abstractNum>
  <w:abstractNum w:abstractNumId="74">
    <w:nsid w:val="613EFDC5"/>
    <w:multiLevelType w:val="hybridMultilevel"/>
    <w:lvl w:ilvl="0">
      <w:lvlJc w:val="left"/>
      <w:lvlText w:val="(%1)"/>
      <w:numFmt w:val="lowerLetter"/>
      <w:start w:val="6"/>
    </w:lvl>
  </w:abstractNum>
  <w:abstractNum w:abstractNumId="75">
    <w:nsid w:val="BF72B14"/>
    <w:multiLevelType w:val="hybridMultilevel"/>
    <w:lvl w:ilvl="0">
      <w:lvlJc w:val="left"/>
      <w:lvlText w:val="(%1)"/>
      <w:numFmt w:val="lowerLetter"/>
      <w:start w:val="1"/>
    </w:lvl>
  </w:abstractNum>
  <w:abstractNum w:abstractNumId="76">
    <w:nsid w:val="11447B7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2024-10-16T05:22:32Z</dcterms:created>
  <dcterms:modified xsi:type="dcterms:W3CDTF">2024-10-16T05:22:32Z</dcterms:modified>
</cp:coreProperties>
</file>