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6, 2024, Rani Therapeutics Holdings, Inc. (the “Company”) issued a press release providing a corporate update and announcing its financial results for the three months ended March 31, 2024. The full text of the press release is furnished as Exhibit 99.1 to this Current Report on Form 8-K and is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45"/>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1"/>
                <w:szCs w:val="21"/>
                <w:color w:val="auto"/>
              </w:rPr>
            </w:pPr>
          </w:p>
        </w:tc>
        <w:tc>
          <w:tcPr>
            <w:tcW w:w="10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6"/>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5"/>
                <w:szCs w:val="15"/>
                <w:color w:val="auto"/>
              </w:rPr>
            </w:pPr>
          </w:p>
        </w:tc>
        <w:tc>
          <w:tcPr>
            <w:tcW w:w="10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Press Release of Rani Therapeutics Holdings, Inc. dated May 6, 2024</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50050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Reports First Quarter 2024 Financial Results; Provides Corporate Update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Announced Positive Topline Results from Phase 1 Study of an Oral Anti-Interleukin 12/23 Antibody (RT-111) -</w:t>
      </w:r>
    </w:p>
    <w:p>
      <w:pPr>
        <w:spacing w:after="0" w:line="117" w:lineRule="exact"/>
        <w:rPr>
          <w:sz w:val="20"/>
          <w:szCs w:val="20"/>
          <w:color w:val="auto"/>
        </w:rPr>
      </w:pPr>
    </w:p>
    <w:p>
      <w:pPr>
        <w:ind w:left="2160" w:hanging="98"/>
        <w:spacing w:after="0"/>
        <w:tabs>
          <w:tab w:leader="none" w:pos="21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Initiation of Phase 2 clinical trial for RT-102 for the treatment of osteoporosis expected in 2024 –</w:t>
      </w:r>
    </w:p>
    <w:p>
      <w:pPr>
        <w:spacing w:after="0" w:line="117" w:lineRule="exact"/>
        <w:rPr>
          <w:rFonts w:ascii="Times New Roman" w:cs="Times New Roman" w:eastAsia="Times New Roman" w:hAnsi="Times New Roman"/>
          <w:sz w:val="18"/>
          <w:szCs w:val="18"/>
          <w:i w:val="1"/>
          <w:iCs w:val="1"/>
          <w:color w:val="auto"/>
        </w:rPr>
      </w:pPr>
    </w:p>
    <w:p>
      <w:pPr>
        <w:ind w:left="2540" w:hanging="153"/>
        <w:spacing w:after="0"/>
        <w:tabs>
          <w:tab w:leader="none" w:pos="254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RaniPill HC to be ready for potential Phase 1 clinical trials in the second half of 2024 -</w:t>
      </w:r>
    </w:p>
    <w:p>
      <w:pPr>
        <w:spacing w:after="0" w:line="16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May 6, 2024 </w:t>
      </w:r>
      <w:r>
        <w:rPr>
          <w:rFonts w:ascii="Times New Roman" w:cs="Times New Roman" w:eastAsia="Times New Roman" w:hAnsi="Times New Roman"/>
          <w:sz w:val="18"/>
          <w:szCs w:val="18"/>
          <w:color w:val="auto"/>
        </w:rPr>
        <w:t>--Rani Therapeutics Holdings, Inc. (“Rani Therapeutics” or “Rani”) (Nasdaq: RANI), a clinical-stage biotherapeutics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the oral delivery of biologics and drugs, today reported financial results for the quarter ended March 31, 2024 and provided a corporate update.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pleased with the progress we have made in the first quarter having announced positive topline results from our Phase 1 study for RT-111. We believe that RT-111 could have a favorable product profile and a differentiated dosing regimen in the competitive landscape for autoimmune disorders,” said Talat Imran, Chief Executive Officer of Rani. “Furthermore, the RaniPill platform has the potential to combine the efficacy, specificity, and long half-life of a monoclonal antibody with the convenience and dosing flexibility of a pill to create products that are attractive to both patients and physicians across a wide array of therapeutic areas. We look forward to providing updates throughout the year as we make progress on our programs and continue to evaluate opportunities for Rani to deliver upon its mission to end painful injections for the millions of patients suffering from chronic diseases.”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and Subsequent Highlights:</w:t>
      </w:r>
    </w:p>
    <w:p>
      <w:pPr>
        <w:spacing w:after="0" w:line="117" w:lineRule="exact"/>
        <w:rPr>
          <w:sz w:val="20"/>
          <w:szCs w:val="20"/>
          <w:color w:val="auto"/>
        </w:rPr>
      </w:pPr>
    </w:p>
    <w:p>
      <w:pPr>
        <w:ind w:left="760" w:right="340" w:hanging="378"/>
        <w:spacing w:after="0" w:line="26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Positive Topline Results from Phase 1 Study of an Oral Anti-Interleukin 12/23 Antibody (RT-111). </w:t>
      </w:r>
      <w:r>
        <w:rPr>
          <w:rFonts w:ascii="Times New Roman" w:cs="Times New Roman" w:eastAsia="Times New Roman" w:hAnsi="Times New Roman"/>
          <w:sz w:val="18"/>
          <w:szCs w:val="18"/>
          <w:color w:val="auto"/>
        </w:rPr>
        <w:t>In February 2024,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RT-111 achieved high bioavailability and was well-tolerated, with no serious adverse events in humans in a Phase 1 study. The ustekinumab biosimilar used in RT-111 is manufactured and supplied by Celltrion, Inc. Celltrion has right of first negotiation to acquire worldwide rights to RT-111 following a Phase 1 clinical trial that meets its primary endpoints.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Near-Term Milestone Expectations:</w:t>
      </w:r>
    </w:p>
    <w:p>
      <w:pPr>
        <w:spacing w:after="0" w:line="12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2 clinical trial of RT-102, a RaniPill capsule containing teriparatide for osteoporosis,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RaniPill HC to be ready for potential Phase 1 clinical trials in the second half of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p>
      <w:pPr>
        <w:spacing w:after="0" w:line="117" w:lineRule="exact"/>
        <w:rPr>
          <w:sz w:val="20"/>
          <w:szCs w:val="20"/>
          <w:color w:val="auto"/>
        </w:rPr>
      </w:pPr>
    </w:p>
    <w:p>
      <w:pPr>
        <w:ind w:left="760" w:right="24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March 31, 2024 totaled $39.6 million, compared to $48.5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w:t>
      </w:r>
    </w:p>
    <w:p>
      <w:pPr>
        <w:spacing w:after="0" w:line="46" w:lineRule="exact"/>
        <w:rPr>
          <w:rFonts w:ascii="Times New Roman" w:cs="Times New Roman" w:eastAsia="Times New Roman" w:hAnsi="Times New Roman"/>
          <w:sz w:val="18"/>
          <w:szCs w:val="18"/>
          <w:color w:val="auto"/>
        </w:rPr>
      </w:pPr>
    </w:p>
    <w:p>
      <w:pPr>
        <w:ind w:left="760" w:right="12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three months ended March 31, 2024 were $7.6 million, compared to $9.7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2023. The decrease of $2.1 million was primarily attributed to lower compensation costs of $1.6 million due to reduction in workforce and $0.4 million reduction in third-party service costs.</w:t>
      </w:r>
    </w:p>
    <w:p>
      <w:pPr>
        <w:spacing w:after="0" w:line="62" w:lineRule="exact"/>
        <w:rPr>
          <w:rFonts w:ascii="Times New Roman" w:cs="Times New Roman" w:eastAsia="Times New Roman" w:hAnsi="Times New Roman"/>
          <w:sz w:val="18"/>
          <w:szCs w:val="18"/>
          <w:color w:val="auto"/>
        </w:rPr>
      </w:pPr>
    </w:p>
    <w:p>
      <w:pPr>
        <w:ind w:left="760" w:right="12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months ended March 31, 2024 were $6.4 million, compared to $6.8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2023. The decrease of $0.4 million was primarily attributed to lower compensation costs of $0.2 million due to reduction in workforce and $0.2 million reduction in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22" w:lineRule="exact"/>
        <w:rPr>
          <w:sz w:val="20"/>
          <w:szCs w:val="20"/>
          <w:color w:val="auto"/>
        </w:rPr>
      </w:pPr>
    </w:p>
    <w:p>
      <w:pPr>
        <w:jc w:val="both"/>
        <w:ind w:left="760" w:right="80" w:hanging="378"/>
        <w:spacing w:after="0" w:line="317" w:lineRule="auto"/>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 loss </w:t>
      </w:r>
      <w:r>
        <w:rPr>
          <w:rFonts w:ascii="Times New Roman" w:cs="Times New Roman" w:eastAsia="Times New Roman" w:hAnsi="Times New Roman"/>
          <w:sz w:val="17"/>
          <w:szCs w:val="17"/>
          <w:color w:val="auto"/>
        </w:rPr>
        <w:t>for the three months ended March 31, 2024 was $14.8 million, compared to $16.8 million for the same period in 2023, including stock-based compensation expense of $3.9 million for the three months ended March 31, 2024, compared to $4.4 million for the same period in 2023.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initiation of a Phase 2 trial of RT-102 in 2024, the expected readiness of the RaniPill HC for clinical development in the second half of 2024, Rani’s development and advancement of its RaniPill capsule technology, including RaniPill HC, Rani’s advancement of its preclinical and clinical programs and timing of results, the potential of RaniPill products to have attractive product profiles, the sufficiency of Rani’s cash reserves, the timing and extent of its expenses, future financial performance, and Rani’s growth as a company. Because such statements are subject to risks and uncertainties, actual results may differ materially from those expressed or implied by such forward-looking statements. Words such as “could,” “look forward,” “potential,” “believe,”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2023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Trade names, trademarks and service marks of other companies appearing in this press release are the property of their respective owners. Solely for convenience, the trademarks and trade names referred to in this press release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r>
        <w:rPr>
          <w:rFonts w:ascii="Times New Roman" w:cs="Times New Roman" w:eastAsia="Times New Roman" w:hAnsi="Times New Roman"/>
          <w:sz w:val="18"/>
          <w:szCs w:val="18"/>
          <w:color w:val="auto"/>
        </w:rPr>
        <w:t> </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53,512</w:t>
            </w:r>
          </w:p>
        </w:tc>
        <w:tc>
          <w:tcPr>
            <w:tcW w:w="10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38,977</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 March</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 and December 31, 2023</w:t>
            </w:r>
          </w:p>
        </w:tc>
        <w:tc>
          <w:tcPr>
            <w:tcW w:w="2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- 800,000 shares authorized; 26,294 and 26,036 issued and</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$0.0001 par value - 40,000 shares authorized; 24,116 issued and outstanding as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March 31, 2024 and December 31, 2023</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 of</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(80,372 )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(72,889 )</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53,512</w:t>
            </w:r>
          </w:p>
        </w:tc>
        <w:tc>
          <w:tcPr>
            <w:tcW w:w="10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2"/>
        </w:trPr>
        <w:tc>
          <w:tcPr>
            <w:tcW w:w="7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-5871845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-5871845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-5245735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-5245735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-3659505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2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280" w:type="dxa"/>
            <w:vAlign w:val="bottom"/>
          </w:tcPr>
          <w:p>
            <w:pPr>
              <w:spacing w:after="0"/>
              <w:rPr>
                <w:sz w:val="20"/>
                <w:szCs w:val="20"/>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(14,034 )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(16,516 )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(1,207 )</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(14,779 )</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(16,832 )</w:t>
            </w: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(7,296 )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(8,460 )</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98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(7,483 )</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(8,372 )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 Inc., basic and diluted</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(0.29 )</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(0.33 )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98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26,034</w:t>
            </w:r>
          </w:p>
        </w:tc>
        <w:tc>
          <w:tcPr>
            <w:tcW w:w="2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612"/>
        </w:trPr>
        <w:tc>
          <w:tcPr>
            <w:tcW w:w="7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-2699385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-1431290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-1413510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2024-05-06T15:13:12Z</dcterms:created>
  <dcterms:modified xsi:type="dcterms:W3CDTF">2024-05-06T15:13:12Z</dcterms:modified>
</cp:coreProperties>
</file>