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-233045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626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3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-617855</wp:posOffset>
            </wp:positionV>
            <wp:extent cx="57785" cy="6311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3958590</wp:posOffset>
            </wp:positionH>
            <wp:positionV relativeFrom="paragraph">
              <wp:posOffset>-617855</wp:posOffset>
            </wp:positionV>
            <wp:extent cx="57785" cy="6311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-1661795</wp:posOffset>
            </wp:positionH>
            <wp:positionV relativeFrom="paragraph">
              <wp:posOffset>13970</wp:posOffset>
            </wp:positionV>
            <wp:extent cx="6995160" cy="46450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464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20" w:space="380"/>
            <w:col w:w="8480"/>
          </w:cols>
          <w:pgMar w:left="460" w:top="220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4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7"/>
                <w:vertAlign w:val="superscript"/>
              </w:rPr>
              <w:t>*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0"/>
                <w:szCs w:val="20"/>
                <w:color w:val="0000EE"/>
                <w:w w:val="89"/>
              </w:rPr>
            </w:pPr>
            <w:hyperlink r:id="rId12">
              <w:r>
                <w:rPr>
                  <w:rFonts w:ascii="Arial" w:cs="Arial" w:eastAsia="Arial" w:hAnsi="Arial"/>
                  <w:sz w:val="20"/>
                  <w:szCs w:val="20"/>
                  <w:color w:val="0000EE"/>
                  <w:w w:val="89"/>
                </w:rPr>
                <w:t>Sanford Svai S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60"/>
              <w:spacing w:after="0" w:line="178" w:lineRule="exact"/>
              <w:rPr>
                <w:rFonts w:ascii="Arial" w:cs="Arial" w:eastAsia="Arial" w:hAnsi="Arial"/>
                <w:sz w:val="20"/>
                <w:szCs w:val="20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0"/>
                  <w:szCs w:val="20"/>
                  <w:color w:val="0000EE"/>
                </w:rPr>
                <w:t xml:space="preserve">Rani Therapeutics Holdings, Inc. </w:t>
              </w:r>
            </w:hyperlink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[</w:t>
            </w:r>
            <w:r>
              <w:rPr>
                <w:rFonts w:ascii="Arial" w:cs="Arial" w:eastAsia="Arial" w:hAnsi="Arial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RANI</w:t>
            </w:r>
            <w:r>
              <w:rPr>
                <w:rFonts w:ascii="Arial" w:cs="Arial" w:eastAsia="Arial" w:hAnsi="Arial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C/O RANI THERAPEUTICS LLC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03/22/2022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2051 RINGWOOD AVE.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5" w:right="660" w:hanging="5"/>
        <w:spacing w:after="0" w:line="235" w:lineRule="auto"/>
        <w:tabs>
          <w:tab w:leader="none" w:pos="14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18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3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8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Financial Officer</w:t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80" w:space="55"/>
            <w:col w:w="3345"/>
          </w:cols>
          <w:pgMar w:left="460" w:top="220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80" w:type="dxa"/>
            <w:vAlign w:val="bottom"/>
            <w:gridSpan w:val="10"/>
          </w:tcPr>
          <w:p>
            <w:pPr>
              <w:ind w:left="3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gridSpan w:val="10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SAN JOSE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95131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2020" w:type="dxa"/>
            <w:vAlign w:val="bottom"/>
            <w:gridSpan w:val="5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03/22/2022</w:t>
            </w:r>
          </w:p>
        </w:tc>
        <w:tc>
          <w:tcPr>
            <w:tcW w:w="6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32,900</w:t>
            </w:r>
          </w:p>
        </w:tc>
        <w:tc>
          <w:tcPr>
            <w:tcW w:w="5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139,100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54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jc w:val="right"/>
              <w:ind w:right="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100,000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13.21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ind w:left="2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03/22/2022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03/21/2032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20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100,000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7007225</wp:posOffset>
            </wp:positionH>
            <wp:positionV relativeFrom="paragraph">
              <wp:posOffset>-1829435</wp:posOffset>
            </wp:positionV>
            <wp:extent cx="28575" cy="18345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3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60" w:hanging="120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shares subject to the restricted stock unit grant vest as follows: 25% of the RSUs shall vest yearly over four years from March 22, 2022.</w:t>
      </w:r>
    </w:p>
    <w:p>
      <w:pPr>
        <w:spacing w:after="0" w:line="4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60" w:hanging="120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shares subject to the option vest as follows: 1/48th of the shares subject to the option vest monthly over four years from March 22, 2022.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600"/>
        <w:spacing w:after="0" w:line="2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Josh Seidenfeld, Attorney-in- </w:t>
      </w:r>
      <w:r>
        <w:rPr>
          <w:rFonts w:ascii="Arial" w:cs="Arial" w:eastAsia="Arial" w:hAnsi="Arial"/>
          <w:sz w:val="33"/>
          <w:szCs w:val="33"/>
          <w:color w:val="0000FF"/>
          <w:vertAlign w:val="subscript"/>
        </w:rPr>
        <w:t>03/24/2022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-26670</wp:posOffset>
            </wp:positionV>
            <wp:extent cx="13646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 for Svai Sanford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-21590</wp:posOffset>
            </wp:positionV>
            <wp:extent cx="90106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5582285</wp:posOffset>
            </wp:positionH>
            <wp:positionV relativeFrom="paragraph">
              <wp:posOffset>-86360</wp:posOffset>
            </wp:positionV>
            <wp:extent cx="47815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40" w:right="3700"/>
        <w:spacing w:after="0" w:line="328" w:lineRule="auto"/>
        <w:tabs>
          <w:tab w:leader="none" w:pos="174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0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591411" TargetMode="External"/><Relationship Id="rId13" Type="http://schemas.openxmlformats.org/officeDocument/2006/relationships/hyperlink" Target="http://www.sec.gov/cgi-bin/browse-edgar?action=getcompany&amp;CIK=00018567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2022-03-24T20:14:33Z</dcterms:created>
  <dcterms:modified xsi:type="dcterms:W3CDTF">2022-03-24T20:14:33Z</dcterms:modified>
</cp:coreProperties>
</file>