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Sanford Svai 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Rani Therapeutics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RANI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77"/>
        <w:spacing w:after="0" w:line="331" w:lineRule="auto"/>
        <w:rPr>
          <w:sz w:val="20"/>
          <w:szCs w:val="20"/>
          <w:color w:val="auto"/>
        </w:rPr>
      </w:pPr>
      <w:r>
        <w:rPr>
          <w:rFonts w:ascii="Arial" w:cs="Arial" w:eastAsia="Arial" w:hAnsi="Arial"/>
          <w:sz w:val="20"/>
          <w:szCs w:val="20"/>
          <w:color w:val="0000FF"/>
        </w:rPr>
        <w:t>C/O RANI THERAPEUTICS LLC 2051 RINGWOOD AVE.</w:t>
      </w:r>
    </w:p>
    <w:p>
      <w:pPr>
        <w:spacing w:after="0" w:line="230"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SAN JOSE  CA</w:t>
            </w:r>
          </w:p>
        </w:tc>
        <w:tc>
          <w:tcPr>
            <w:tcW w:w="880" w:type="dxa"/>
            <w:vAlign w:val="bottom"/>
          </w:tcPr>
          <w:p>
            <w:pPr>
              <w:jc w:val="right"/>
              <w:spacing w:after="0"/>
              <w:rPr>
                <w:sz w:val="20"/>
                <w:szCs w:val="20"/>
                <w:color w:val="auto"/>
              </w:rPr>
            </w:pPr>
            <w:r>
              <w:rPr>
                <w:rFonts w:ascii="Arial" w:cs="Arial" w:eastAsia="Arial" w:hAnsi="Arial"/>
                <w:sz w:val="20"/>
                <w:szCs w:val="20"/>
                <w:color w:val="0000FF"/>
              </w:rPr>
              <w:t>95131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ind w:left="14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Class A Common LLC Units</w:t>
            </w:r>
            <w:r>
              <w:rPr>
                <w:rFonts w:ascii="Arial" w:cs="Arial" w:eastAsia="Arial" w:hAnsi="Arial"/>
                <w:sz w:val="25"/>
                <w:szCs w:val="25"/>
                <w:color w:val="008000"/>
                <w:vertAlign w:val="superscript"/>
              </w:rPr>
              <w:t>(1)</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8"/>
              <w:spacing w:after="0"/>
              <w:rPr>
                <w:sz w:val="20"/>
                <w:szCs w:val="20"/>
                <w:color w:val="auto"/>
              </w:rPr>
            </w:pPr>
            <w:r>
              <w:rPr>
                <w:rFonts w:ascii="Arial" w:cs="Arial" w:eastAsia="Arial" w:hAnsi="Arial"/>
                <w:sz w:val="13"/>
                <w:szCs w:val="13"/>
                <w:color w:val="008000"/>
              </w:rPr>
              <w:t>(1)</w:t>
            </w:r>
          </w:p>
        </w:tc>
        <w:tc>
          <w:tcPr>
            <w:tcW w:w="17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860" w:type="dxa"/>
            <w:vAlign w:val="bottom"/>
            <w:vMerge w:val="restart"/>
          </w:tcPr>
          <w:p>
            <w:pPr>
              <w:ind w:left="160"/>
              <w:spacing w:after="0"/>
              <w:rPr>
                <w:sz w:val="20"/>
                <w:szCs w:val="20"/>
                <w:color w:val="auto"/>
              </w:rPr>
            </w:pPr>
            <w:r>
              <w:rPr>
                <w:rFonts w:ascii="Arial" w:cs="Arial" w:eastAsia="Arial" w:hAnsi="Arial"/>
                <w:sz w:val="20"/>
                <w:szCs w:val="20"/>
                <w:color w:val="0000FF"/>
                <w:w w:val="94"/>
              </w:rPr>
              <w:t>221,408</w:t>
            </w:r>
          </w:p>
        </w:tc>
        <w:tc>
          <w:tcPr>
            <w:tcW w:w="1000" w:type="dxa"/>
            <w:vAlign w:val="bottom"/>
            <w:vMerge w:val="restart"/>
          </w:tcPr>
          <w:p>
            <w:pPr>
              <w:jc w:val="right"/>
              <w:ind w:right="344"/>
              <w:spacing w:after="0"/>
              <w:rPr>
                <w:sz w:val="20"/>
                <w:szCs w:val="20"/>
                <w:color w:val="auto"/>
              </w:rPr>
            </w:pPr>
            <w:r>
              <w:rPr>
                <w:rFonts w:ascii="Arial" w:cs="Arial" w:eastAsia="Arial" w:hAnsi="Arial"/>
                <w:sz w:val="13"/>
                <w:szCs w:val="13"/>
                <w:color w:val="008000"/>
              </w:rPr>
              <w:t>(1)</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0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78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8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0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vMerge w:val="continue"/>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right"/>
              <w:ind w:right="28"/>
              <w:spacing w:after="0"/>
              <w:rPr>
                <w:sz w:val="20"/>
                <w:szCs w:val="20"/>
                <w:color w:val="auto"/>
              </w:rPr>
            </w:pPr>
            <w:r>
              <w:rPr>
                <w:rFonts w:ascii="Arial" w:cs="Arial" w:eastAsia="Arial" w:hAnsi="Arial"/>
                <w:sz w:val="15"/>
                <w:szCs w:val="15"/>
                <w:color w:val="0000FF"/>
              </w:rPr>
              <w:t>07/28/2031</w:t>
            </w:r>
          </w:p>
        </w:tc>
        <w:tc>
          <w:tcPr>
            <w:tcW w:w="17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860" w:type="dxa"/>
            <w:vAlign w:val="bottom"/>
            <w:vMerge w:val="restart"/>
          </w:tcPr>
          <w:p>
            <w:pPr>
              <w:ind w:left="160"/>
              <w:spacing w:after="0"/>
              <w:rPr>
                <w:sz w:val="20"/>
                <w:szCs w:val="20"/>
                <w:color w:val="auto"/>
              </w:rPr>
            </w:pPr>
            <w:r>
              <w:rPr>
                <w:rFonts w:ascii="Arial" w:cs="Arial" w:eastAsia="Arial" w:hAnsi="Arial"/>
                <w:sz w:val="20"/>
                <w:szCs w:val="20"/>
                <w:color w:val="0000FF"/>
                <w:w w:val="94"/>
              </w:rPr>
              <w:t>285,920</w:t>
            </w:r>
          </w:p>
        </w:tc>
        <w:tc>
          <w:tcPr>
            <w:tcW w:w="1000" w:type="dxa"/>
            <w:vAlign w:val="bottom"/>
            <w:vMerge w:val="restart"/>
          </w:tcPr>
          <w:p>
            <w:pPr>
              <w:jc w:val="right"/>
              <w:ind w:right="244"/>
              <w:spacing w:after="0"/>
              <w:rPr>
                <w:sz w:val="20"/>
                <w:szCs w:val="20"/>
                <w:color w:val="auto"/>
              </w:rPr>
            </w:pPr>
            <w:r>
              <w:rPr>
                <w:rFonts w:ascii="Arial" w:cs="Arial" w:eastAsia="Arial" w:hAnsi="Arial"/>
                <w:sz w:val="20"/>
                <w:szCs w:val="20"/>
                <w:color w:val="0000FF"/>
              </w:rPr>
              <w:t>6.99</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Arial" w:cs="Arial" w:eastAsia="Arial" w:hAnsi="Arial"/>
                <w:sz w:val="20"/>
                <w:szCs w:val="20"/>
                <w:color w:val="0000FF"/>
                <w:w w:val="91"/>
              </w:rPr>
              <w:t>Stock</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20" w:firstLine="5"/>
        <w:spacing w:after="0" w:line="288"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Represents Class A Common LLC Units of Rani Therapeutics, LLC, a direct subsidiary of the Issuer. The Class A Common LLC Units are exchangeable for shares of Class A Common Stock on a one-for-one basis at the discretion of the holder, subject to certain exceptions, conditions and adjustments, and have no expiration date.</w:t>
      </w:r>
    </w:p>
    <w:p>
      <w:pPr>
        <w:spacing w:after="0" w:line="3" w:lineRule="exact"/>
        <w:rPr>
          <w:rFonts w:ascii="Arial" w:cs="Arial" w:eastAsia="Arial" w:hAnsi="Arial"/>
          <w:sz w:val="14"/>
          <w:szCs w:val="14"/>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subject to the option vest as follows: 1/48th of the shares subject to the option vest monthly over four years from June 17, 2021.</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80" w:type="dxa"/>
            <w:vAlign w:val="bottom"/>
            <w:gridSpan w:val="3"/>
          </w:tcPr>
          <w:p>
            <w:pPr>
              <w:spacing w:after="0"/>
              <w:rPr>
                <w:sz w:val="20"/>
                <w:szCs w:val="20"/>
                <w:color w:val="auto"/>
              </w:rPr>
            </w:pPr>
            <w:r>
              <w:rPr>
                <w:rFonts w:ascii="Arial" w:cs="Arial" w:eastAsia="Arial" w:hAnsi="Arial"/>
                <w:sz w:val="20"/>
                <w:szCs w:val="20"/>
                <w:color w:val="0000FF"/>
              </w:rPr>
              <w:t>/s/ Josh Seidenfeld,</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3"/>
              </w:rPr>
              <w:t>Attorney-in-Fact for Svai  07/29/2021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5"/>
              </w:rPr>
              <w:t>Sanford</w:t>
            </w:r>
          </w:p>
        </w:tc>
        <w:tc>
          <w:tcPr>
            <w:tcW w:w="1360" w:type="dxa"/>
            <w:vAlign w:val="bottom"/>
            <w:tcBorders>
              <w:top w:val="single" w:sz="8" w:color="auto"/>
            </w:tcBorders>
            <w:gridSpan w:val="2"/>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9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2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2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FOR</w:t>
      </w:r>
    </w:p>
    <w:p>
      <w:pPr>
        <w:spacing w:after="0" w:line="238" w:lineRule="auto"/>
        <w:rPr>
          <w:sz w:val="20"/>
          <w:szCs w:val="20"/>
          <w:color w:val="auto"/>
        </w:rPr>
      </w:pPr>
      <w:r>
        <w:rPr>
          <w:rFonts w:ascii="Courier New" w:cs="Courier New" w:eastAsia="Courier New" w:hAnsi="Courier New"/>
          <w:sz w:val="20"/>
          <w:szCs w:val="20"/>
          <w:color w:val="auto"/>
        </w:rPr>
        <w:t>SECTION 16 REPORTING OBLIGATIONS</w:t>
      </w:r>
    </w:p>
    <w:p>
      <w:pPr>
        <w:spacing w:after="0" w:line="200" w:lineRule="exact"/>
        <w:rPr>
          <w:sz w:val="20"/>
          <w:szCs w:val="20"/>
          <w:color w:val="auto"/>
        </w:rPr>
      </w:pPr>
    </w:p>
    <w:p>
      <w:pPr>
        <w:spacing w:after="0" w:line="255" w:lineRule="exact"/>
        <w:rPr>
          <w:sz w:val="20"/>
          <w:szCs w:val="20"/>
          <w:color w:val="auto"/>
        </w:rPr>
      </w:pPr>
    </w:p>
    <w:p>
      <w:pPr>
        <w:ind w:right="94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Talat Imran and Svai Sanford of Rani Therapeutics Holdings, Inc. and Josh Seidenfeld and Nguyen X. Nguyen of Cooley LLP, or any of them signing singly, with full power of substitution, the undersigned's true and lawful attorney in fact to:</w:t>
      </w:r>
    </w:p>
    <w:p>
      <w:pPr>
        <w:spacing w:after="0" w:line="232" w:lineRule="exact"/>
        <w:rPr>
          <w:sz w:val="20"/>
          <w:szCs w:val="20"/>
          <w:color w:val="auto"/>
        </w:rPr>
      </w:pPr>
    </w:p>
    <w:p>
      <w:pPr>
        <w:ind w:right="460"/>
        <w:spacing w:after="0" w:line="26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Rani Therapeutics Holdings, Inc. (the "Company"), Forms</w:t>
      </w:r>
    </w:p>
    <w:p>
      <w:pPr>
        <w:spacing w:after="0" w:line="2" w:lineRule="exact"/>
        <w:rPr>
          <w:rFonts w:ascii="Courier New" w:cs="Courier New" w:eastAsia="Courier New" w:hAnsi="Courier New"/>
          <w:sz w:val="18"/>
          <w:szCs w:val="18"/>
          <w:color w:val="auto"/>
        </w:rPr>
      </w:pPr>
    </w:p>
    <w:p>
      <w:pPr>
        <w:ind w:right="940"/>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and 5 (including any amendments thereto) in accordance with Section 16(a) of the Securities Exchange Act of 1934, as amended (the "Exchange Act") and the rules thereunder and a Form ID, Uniform Application for Access Codes to File 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EDGAR;</w:t>
      </w:r>
    </w:p>
    <w:p>
      <w:pPr>
        <w:spacing w:after="0" w:line="230" w:lineRule="exact"/>
        <w:rPr>
          <w:rFonts w:ascii="Courier New" w:cs="Courier New" w:eastAsia="Courier New" w:hAnsi="Courier New"/>
          <w:sz w:val="18"/>
          <w:szCs w:val="18"/>
          <w:color w:val="auto"/>
        </w:rPr>
      </w:pPr>
    </w:p>
    <w:p>
      <w:pPr>
        <w:ind w:right="700"/>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231" w:lineRule="exact"/>
        <w:rPr>
          <w:rFonts w:ascii="Courier New" w:cs="Courier New" w:eastAsia="Courier New" w:hAnsi="Courier New"/>
          <w:sz w:val="20"/>
          <w:szCs w:val="20"/>
          <w:color w:val="auto"/>
        </w:rPr>
      </w:pPr>
    </w:p>
    <w:p>
      <w:pPr>
        <w:ind w:right="820"/>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580" w:firstLine="937"/>
        <w:spacing w:after="0" w:line="267"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w:t>
      </w:r>
    </w:p>
    <w:p>
      <w:pPr>
        <w:spacing w:after="0" w:line="209" w:lineRule="exact"/>
        <w:rPr>
          <w:sz w:val="20"/>
          <w:szCs w:val="20"/>
          <w:color w:val="auto"/>
        </w:rPr>
      </w:pPr>
    </w:p>
    <w:p>
      <w:pPr>
        <w:ind w:right="820"/>
        <w:spacing w:after="0" w:line="236" w:lineRule="auto"/>
        <w:rPr>
          <w:sz w:val="20"/>
          <w:szCs w:val="20"/>
          <w:color w:val="auto"/>
        </w:rPr>
      </w:pPr>
      <w:r>
        <w:rPr>
          <w:rFonts w:ascii="Courier New" w:cs="Courier New" w:eastAsia="Courier New" w:hAnsi="Courier New"/>
          <w:sz w:val="20"/>
          <w:szCs w:val="20"/>
          <w:color w:val="auto"/>
        </w:rPr>
        <w:t>nor is the Company assuming, any of the undersigned's responsibilities to comply with Section 16 of the Exchange Act.</w:t>
      </w:r>
    </w:p>
    <w:p>
      <w:pPr>
        <w:spacing w:after="0" w:line="230" w:lineRule="exact"/>
        <w:rPr>
          <w:sz w:val="20"/>
          <w:szCs w:val="20"/>
          <w:color w:val="auto"/>
        </w:rPr>
      </w:pPr>
    </w:p>
    <w:p>
      <w:pPr>
        <w:ind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04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232" w:lineRule="exact"/>
        <w:rPr>
          <w:sz w:val="20"/>
          <w:szCs w:val="20"/>
          <w:color w:val="auto"/>
        </w:rPr>
      </w:pPr>
    </w:p>
    <w:p>
      <w:pPr>
        <w:ind w:right="46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1st day of June,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Svai Sanford</w:t>
      </w:r>
    </w:p>
    <w:p>
      <w:pPr>
        <w:spacing w:after="0" w:line="238" w:lineRule="auto"/>
        <w:rPr>
          <w:sz w:val="20"/>
          <w:szCs w:val="20"/>
          <w:color w:val="auto"/>
        </w:rPr>
      </w:pPr>
      <w:r>
        <w:rPr>
          <w:rFonts w:ascii="Courier New" w:cs="Courier New" w:eastAsia="Courier New" w:hAnsi="Courier New"/>
          <w:sz w:val="20"/>
          <w:szCs w:val="20"/>
          <w:color w:val="auto"/>
        </w:rPr>
        <w:t>Svai Sanford</w:t>
      </w:r>
    </w:p>
    <w:sectPr>
      <w:pgSz w:w="11900" w:h="16838" w:orient="portrait"/>
      <w:cols w:equalWidth="0" w:num="1">
        <w:col w:w="10180"/>
      </w:cols>
      <w:pgMar w:left="480" w:top="136"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91411" TargetMode="External"/><Relationship Id="rId11"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2021-07-29T20:55:44Z</dcterms:created>
  <dcterms:modified xsi:type="dcterms:W3CDTF">2021-07-29T20:55:44Z</dcterms:modified>
</cp:coreProperties>
</file>