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tm2312872-1_4seq.xml.htm"/>
      <w:bookmarkStart w:id="1" w:name="kstm23128721_4seq"/>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South Cone Investments Limited Partnership</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AVENIDA PRESIDENTE RIESCO 5711,</w:t>
                  </w:r>
                </w:p>
              </w:tc>
            </w:tr>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OFICINA 1603, LAS CONDES</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SANTIAGO</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F3</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7550000</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Rani Therapeutics Holdings, Inc.</w:t>
              </w:r>
            </w:hyperlink>
            <w:r>
              <w:rPr/>
              <w:t xml:space="preserve"> [ </w:t>
            </w:r>
            <w:r>
              <w:rPr>
                <w:rFonts w:ascii="Times;serif" w:hAnsi="Times;serif"/>
                <w:color w:val="0000FF"/>
                <w:sz w:val="24"/>
                <w:highlight w:val="white"/>
              </w:rPr>
              <w:t>RANI</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04/12/2023</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172"/>
        <w:gridCol w:w="902"/>
        <w:gridCol w:w="773"/>
        <w:gridCol w:w="599"/>
        <w:gridCol w:w="341"/>
        <w:gridCol w:w="821"/>
        <w:gridCol w:w="434"/>
        <w:gridCol w:w="879"/>
        <w:gridCol w:w="1253"/>
        <w:gridCol w:w="972"/>
        <w:gridCol w:w="1059"/>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172"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2"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3"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40"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134"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253"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972"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1059"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172"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2"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3"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9"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4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2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3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879"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253"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72"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59"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172"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2"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04/12/2023</w:t>
            </w:r>
          </w:p>
        </w:tc>
        <w:tc>
          <w:tcPr>
            <w:tcW w:w="773"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9"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P</w:t>
            </w:r>
          </w:p>
        </w:tc>
        <w:tc>
          <w:tcPr>
            <w:tcW w:w="34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2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3,577</w:t>
            </w:r>
          </w:p>
        </w:tc>
        <w:tc>
          <w:tcPr>
            <w:tcW w:w="43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A</w:t>
            </w:r>
          </w:p>
        </w:tc>
        <w:tc>
          <w:tcPr>
            <w:tcW w:w="879"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5.4753</w:t>
            </w:r>
            <w:r>
              <w:rPr>
                <w:rFonts w:ascii="Times;serif" w:hAnsi="Times;serif"/>
                <w:color w:val="008000"/>
                <w:position w:val="7"/>
                <w:sz w:val="16"/>
                <w:sz w:val="20"/>
                <w:highlight w:val="white"/>
              </w:rPr>
              <w:t>(1)</w:t>
            </w:r>
            <w:r>
              <w:rPr/>
              <w:t xml:space="preserve"> </w:t>
            </w:r>
          </w:p>
        </w:tc>
        <w:tc>
          <w:tcPr>
            <w:tcW w:w="1253"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6,833,207</w:t>
            </w:r>
          </w:p>
        </w:tc>
        <w:tc>
          <w:tcPr>
            <w:tcW w:w="972"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I</w:t>
            </w:r>
          </w:p>
        </w:tc>
        <w:tc>
          <w:tcPr>
            <w:tcW w:w="1059"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Times;serif" w:hAnsi="Times;serif"/>
                <w:color w:val="0000FF"/>
                <w:sz w:val="24"/>
                <w:highlight w:val="white"/>
              </w:rPr>
              <w:t>Shares indirectly held through South Lake One LLC</w:t>
            </w:r>
            <w:r>
              <w:rPr>
                <w:rFonts w:ascii="Times;serif" w:hAnsi="Times;serif"/>
                <w:color w:val="008000"/>
                <w:position w:val="7"/>
                <w:sz w:val="16"/>
                <w:sz w:val="20"/>
                <w:highlight w:val="white"/>
              </w:rPr>
              <w:t>(2)</w:t>
            </w:r>
            <w:r>
              <w:rPr/>
              <w:t xml:space="preserve"> </w:t>
            </w:r>
          </w:p>
        </w:tc>
      </w:tr>
      <w:tr>
        <w:trPr/>
        <w:tc>
          <w:tcPr>
            <w:tcW w:w="2172"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2"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04/13/2023</w:t>
            </w:r>
          </w:p>
        </w:tc>
        <w:tc>
          <w:tcPr>
            <w:tcW w:w="773"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P</w:t>
            </w:r>
          </w:p>
        </w:tc>
        <w:tc>
          <w:tcPr>
            <w:tcW w:w="34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2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890</w:t>
            </w:r>
          </w:p>
        </w:tc>
        <w:tc>
          <w:tcPr>
            <w:tcW w:w="43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A</w:t>
            </w:r>
          </w:p>
        </w:tc>
        <w:tc>
          <w:tcPr>
            <w:tcW w:w="87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5.465</w:t>
            </w:r>
            <w:r>
              <w:rPr/>
              <w:t xml:space="preserve"> </w:t>
            </w:r>
          </w:p>
        </w:tc>
        <w:tc>
          <w:tcPr>
            <w:tcW w:w="1253"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6,834,097</w:t>
            </w:r>
          </w:p>
        </w:tc>
        <w:tc>
          <w:tcPr>
            <w:tcW w:w="972"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I</w:t>
            </w:r>
          </w:p>
        </w:tc>
        <w:tc>
          <w:tcPr>
            <w:tcW w:w="105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Times;serif" w:hAnsi="Times;serif"/>
                <w:color w:val="0000FF"/>
                <w:sz w:val="24"/>
                <w:highlight w:val="white"/>
              </w:rPr>
              <w:t>Shares indirectly held through South Lake One LLC</w:t>
            </w:r>
            <w:r>
              <w:rPr>
                <w:rFonts w:ascii="Times;serif" w:hAnsi="Times;serif"/>
                <w:color w:val="008000"/>
                <w:position w:val="7"/>
                <w:sz w:val="16"/>
                <w:sz w:val="20"/>
                <w:highlight w:val="white"/>
              </w:rPr>
              <w:t>(2)</w:t>
            </w:r>
            <w:r>
              <w:rPr/>
              <w:t xml:space="preserve"> </w:t>
            </w:r>
          </w:p>
        </w:tc>
      </w:tr>
    </w:tbl>
    <w:tbl>
      <w:tblPr>
        <w:tblW w:w="11213" w:type="dxa"/>
        <w:jc w:val="left"/>
        <w:tblInd w:w="0" w:type="dxa"/>
        <w:tblCellMar>
          <w:top w:w="60" w:type="dxa"/>
          <w:left w:w="60" w:type="dxa"/>
          <w:bottom w:w="60" w:type="dxa"/>
          <w:right w:w="60" w:type="dxa"/>
        </w:tblCellMar>
      </w:tblPr>
      <w:tblGrid>
        <w:gridCol w:w="815"/>
        <w:gridCol w:w="861"/>
        <w:gridCol w:w="891"/>
        <w:gridCol w:w="771"/>
        <w:gridCol w:w="591"/>
        <w:gridCol w:w="300"/>
        <w:gridCol w:w="400"/>
        <w:gridCol w:w="401"/>
        <w:gridCol w:w="906"/>
        <w:gridCol w:w="801"/>
        <w:gridCol w:w="426"/>
        <w:gridCol w:w="636"/>
        <w:gridCol w:w="801"/>
        <w:gridCol w:w="936"/>
        <w:gridCol w:w="831"/>
        <w:gridCol w:w="846"/>
      </w:tblGrid>
      <w:tr>
        <w:trPr>
          <w:tblHeader w:val="true"/>
        </w:trPr>
        <w:tc>
          <w:tcPr>
            <w:tcW w:w="1121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1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06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1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42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63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bl>
    <w:tbl>
      <w:tblPr>
        <w:tblW w:w="2000" w:type="pct"/>
        <w:jc w:val="left"/>
        <w:tblInd w:w="0" w:type="dxa"/>
        <w:tblCellMar>
          <w:top w:w="60" w:type="dxa"/>
          <w:left w:w="60" w:type="dxa"/>
          <w:bottom w:w="60" w:type="dxa"/>
          <w:right w:w="60" w:type="dxa"/>
        </w:tblCellMar>
      </w:tblPr>
      <w:tblGrid>
        <w:gridCol w:w="4082"/>
      </w:tblGrid>
      <w:tr>
        <w:trPr/>
        <w:tc>
          <w:tcPr>
            <w:tcW w:w="4082" w:type="dxa"/>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962"/>
            </w:tblGrid>
            <w:tr>
              <w:trPr/>
              <w:tc>
                <w:tcPr>
                  <w:tcW w:w="3962" w:type="dxa"/>
                  <w:tcBorders/>
                  <w:shd w:fill="auto" w:val="clear"/>
                  <w:vAlign w:val="center"/>
                </w:tcPr>
                <w:p>
                  <w:pPr>
                    <w:pStyle w:val="TableContents"/>
                    <w:spacing w:before="0" w:after="283"/>
                    <w:rPr/>
                  </w:pPr>
                  <w:hyperlink r:id="rId5">
                    <w:r>
                      <w:rPr>
                        <w:rStyle w:val="InternetLink"/>
                      </w:rPr>
                      <w:t>South Cone Investments Limited Partnership</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320"/>
              <w:gridCol w:w="1321"/>
              <w:gridCol w:w="1321"/>
            </w:tblGrid>
            <w:tr>
              <w:trPr/>
              <w:tc>
                <w:tcPr>
                  <w:tcW w:w="132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962"/>
            </w:tblGrid>
            <w:tr>
              <w:trPr/>
              <w:tc>
                <w:tcPr>
                  <w:tcW w:w="3962"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AVENIDA PRESIDENTE RIESCO 5711,</w:t>
                  </w:r>
                </w:p>
              </w:tc>
            </w:tr>
            <w:tr>
              <w:trPr/>
              <w:tc>
                <w:tcPr>
                  <w:tcW w:w="3962"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OFICINA 1603, LAS CONDES</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320"/>
              <w:gridCol w:w="1321"/>
              <w:gridCol w:w="1321"/>
            </w:tblGrid>
            <w:tr>
              <w:trPr/>
              <w:tc>
                <w:tcPr>
                  <w:tcW w:w="132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SANTIAGO</w:t>
                  </w:r>
                </w:p>
              </w:tc>
              <w:tc>
                <w:tcPr>
                  <w:tcW w:w="132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F3</w:t>
                  </w:r>
                </w:p>
              </w:tc>
              <w:tc>
                <w:tcPr>
                  <w:tcW w:w="132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7550000</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320"/>
              <w:gridCol w:w="1321"/>
              <w:gridCol w:w="1321"/>
            </w:tblGrid>
            <w:tr>
              <w:trPr/>
              <w:tc>
                <w:tcPr>
                  <w:tcW w:w="132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r>
      <w:tr>
        <w:trPr/>
        <w:tc>
          <w:tcPr>
            <w:tcW w:w="4082" w:type="dxa"/>
            <w:tcBorders>
              <w:left w:val="single" w:sz="6"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962"/>
            </w:tblGrid>
            <w:tr>
              <w:trPr/>
              <w:tc>
                <w:tcPr>
                  <w:tcW w:w="3962" w:type="dxa"/>
                  <w:tcBorders/>
                  <w:shd w:fill="auto" w:val="clear"/>
                  <w:vAlign w:val="center"/>
                </w:tcPr>
                <w:p>
                  <w:pPr>
                    <w:pStyle w:val="TableContents"/>
                    <w:spacing w:before="0" w:after="283"/>
                    <w:rPr/>
                  </w:pPr>
                  <w:hyperlink r:id="rId6">
                    <w:r>
                      <w:rPr>
                        <w:rStyle w:val="InternetLink"/>
                      </w:rPr>
                      <w:t>South Lake One LLC</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320"/>
              <w:gridCol w:w="1321"/>
              <w:gridCol w:w="1321"/>
            </w:tblGrid>
            <w:tr>
              <w:trPr/>
              <w:tc>
                <w:tcPr>
                  <w:tcW w:w="132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962"/>
            </w:tblGrid>
            <w:tr>
              <w:trPr/>
              <w:tc>
                <w:tcPr>
                  <w:tcW w:w="3962"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AVENIDA PRESIDENTE RIESCO</w:t>
                  </w:r>
                </w:p>
              </w:tc>
            </w:tr>
            <w:tr>
              <w:trPr/>
              <w:tc>
                <w:tcPr>
                  <w:tcW w:w="3962"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5711 OFICINA1603, LAS CONDES</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320"/>
              <w:gridCol w:w="1321"/>
              <w:gridCol w:w="1321"/>
            </w:tblGrid>
            <w:tr>
              <w:trPr/>
              <w:tc>
                <w:tcPr>
                  <w:tcW w:w="132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SANTIAGO</w:t>
                  </w:r>
                </w:p>
              </w:tc>
              <w:tc>
                <w:tcPr>
                  <w:tcW w:w="132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F3</w:t>
                  </w:r>
                </w:p>
              </w:tc>
              <w:tc>
                <w:tcPr>
                  <w:tcW w:w="132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7550000</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320"/>
              <w:gridCol w:w="1321"/>
              <w:gridCol w:w="1321"/>
            </w:tblGrid>
            <w:tr>
              <w:trPr/>
              <w:tc>
                <w:tcPr>
                  <w:tcW w:w="132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32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The reported price in Column 4 is a weighted average price. These shares were purchased in multiple transactions at prices ranging from $5.405 to $5.59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South Cone Investments Limited Partnership directly owns 100% of the issued and outstanding membership interest of South Lake One LLC.</w:t>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Isidoro Quiroga Cortes and /s/ Luis Felipe Correa Gonzalez, Managers of South Lake One LLC</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04/14/2023</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Isidoro Quiroga Cortes and /s/ Luis Felipe Correa Gonzalez, Managers of South Lake Management LLC, as General Partner of South ConeInvestments Limited Partnership</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04/14/2023</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dn.kscope.io/insider-checkbox.png" TargetMode="External"/><Relationship Id="rId3" Type="http://schemas.openxmlformats.org/officeDocument/2006/relationships/hyperlink" Target="http://www.sec.gov/cgi-bin/browse-edgar?action=getcompany&amp;CIK=0001876412" TargetMode="External"/><Relationship Id="rId4" Type="http://schemas.openxmlformats.org/officeDocument/2006/relationships/hyperlink" Target="http://www.sec.gov/cgi-bin/browse-edgar?action=getcompany&amp;CIK=0001856725" TargetMode="External"/><Relationship Id="rId5" Type="http://schemas.openxmlformats.org/officeDocument/2006/relationships/hyperlink" Target="http://www.sec.gov/cgi-bin/browse-edgar?action=getcompany&amp;CIK=0001876412" TargetMode="External"/><Relationship Id="rId6" Type="http://schemas.openxmlformats.org/officeDocument/2006/relationships/hyperlink" Target="http://www.sec.gov/cgi-bin/browse-edgar?action=getcompany&amp;CIK=0001794292"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Pages>
  <Words>753</Words>
  <CharactersWithSpaces>4801</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