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1315085</wp:posOffset>
            </wp:positionH>
            <wp:positionV relativeFrom="page">
              <wp:posOffset>587375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601345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62230</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80010</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7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8" w:lineRule="exact"/>
        <w:rPr>
          <w:sz w:val="24"/>
          <w:szCs w:val="24"/>
          <w:color w:val="auto"/>
        </w:rPr>
      </w:pPr>
    </w:p>
    <w:p>
      <w:pPr>
        <w:ind w:left="2320" w:right="759" w:hanging="1679"/>
        <w:spacing w:after="0" w:line="392" w:lineRule="auto"/>
        <w:tabs>
          <w:tab w:leader="none" w:pos="95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4"/>
          <w:szCs w:val="14"/>
          <w:color w:val="auto"/>
          <w:highlight w:val="black"/>
        </w:rPr>
      </w:pP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RANI THERAPEUTICS HOLDINGS,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67945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p>
      <w:pPr>
        <w:spacing w:after="0" w:line="20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86-3114789</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4" w:lineRule="exact"/>
        <w:rPr>
          <w:sz w:val="24"/>
          <w:szCs w:val="24"/>
          <w:color w:val="auto"/>
        </w:rPr>
      </w:pPr>
    </w:p>
    <w:p>
      <w:pPr>
        <w:sectPr>
          <w:pgSz w:w="11900" w:h="16838" w:orient="portrait"/>
          <w:cols w:equalWidth="0" w:num="2">
            <w:col w:w="5320" w:space="720"/>
            <w:col w:w="2979"/>
          </w:cols>
          <w:pgMar w:left="1440" w:top="1048" w:right="1440"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2051 Ringwood Avenue</w:t>
      </w:r>
    </w:p>
    <w:p>
      <w:pPr>
        <w:spacing w:after="0" w:line="23" w:lineRule="exact"/>
        <w:rPr>
          <w:sz w:val="24"/>
          <w:szCs w:val="24"/>
          <w:color w:val="auto"/>
        </w:rPr>
      </w:pPr>
    </w:p>
    <w:p>
      <w:pPr>
        <w:ind w:left="196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San Jose, California</w:t>
      </w:r>
      <w:r>
        <w:rPr>
          <w:sz w:val="20"/>
          <w:szCs w:val="20"/>
          <w:color w:val="auto"/>
        </w:rPr>
        <w:tab/>
      </w:r>
      <w:r>
        <w:rPr>
          <w:rFonts w:ascii="Times New Roman" w:cs="Times New Roman" w:eastAsia="Times New Roman" w:hAnsi="Times New Roman"/>
          <w:sz w:val="14"/>
          <w:szCs w:val="14"/>
          <w:b w:val="1"/>
          <w:bCs w:val="1"/>
          <w:color w:val="auto"/>
        </w:rPr>
        <w:t>95131</w:t>
      </w:r>
    </w:p>
    <w:p>
      <w:pPr>
        <w:spacing w:after="0" w:line="40" w:lineRule="exact"/>
        <w:rPr>
          <w:sz w:val="24"/>
          <w:szCs w:val="24"/>
          <w:color w:val="auto"/>
        </w:r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5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RANI</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jc w:val="both"/>
        <w:ind w:left="640" w:right="71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jc w:val="both"/>
        <w:ind w:left="640" w:right="75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ind w:left="640" w:right="939" w:firstLine="413"/>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50" w:lineRule="exact"/>
        <w:rPr>
          <w:sz w:val="24"/>
          <w:szCs w:val="24"/>
          <w:color w:val="auto"/>
        </w:rPr>
      </w:pPr>
    </w:p>
    <w:p>
      <w:pPr>
        <w:ind w:left="640" w:right="759" w:firstLine="413"/>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040"/>
        <w:spacing w:after="0" w:line="150" w:lineRule="exact"/>
        <w:tabs>
          <w:tab w:leader="none" w:pos="706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05" w:lineRule="exact"/>
        <w:rPr>
          <w:sz w:val="24"/>
          <w:szCs w:val="24"/>
          <w:color w:val="auto"/>
        </w:rPr>
      </w:pPr>
    </w:p>
    <w:p>
      <w:pPr>
        <w:ind w:left="640" w:right="819" w:firstLine="413"/>
        <w:spacing w:after="0" w:line="297" w:lineRule="auto"/>
        <w:rPr>
          <w:sz w:val="20"/>
          <w:szCs w:val="20"/>
          <w:color w:val="auto"/>
        </w:rPr>
      </w:pPr>
      <w:r>
        <w:rPr>
          <w:rFonts w:ascii="Times New Roman" w:cs="Times New Roman" w:eastAsia="Times New Roman" w:hAnsi="Times New Roman"/>
          <w:sz w:val="12"/>
          <w:szCs w:val="12"/>
          <w:color w:val="auto"/>
        </w:rPr>
        <w:t>As of May 1, 2024, the registrant had 26,303,871 shares of Class A common stock, $0.0001 par value per share, outstanding, 24,116,444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1,261,690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64770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673735</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1"/>
        </w:trPr>
        <w:tc>
          <w:tcPr>
            <w:tcW w:w="3100" w:type="dxa"/>
            <w:vAlign w:val="bottom"/>
            <w:tcBorders>
              <w:bottom w:val="single" w:sz="8" w:color="0000FF"/>
            </w:tcBorders>
            <w:gridSpan w:val="10"/>
          </w:tcPr>
          <w:p>
            <w:pPr>
              <w:spacing w:after="0" w:line="141"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4100" w:type="dxa"/>
            <w:vAlign w:val="bottom"/>
            <w:gridSpan w:val="8"/>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99"/>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gridSpan w:val="2"/>
            <w:vMerge w:val="continue"/>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538"/>
        </w:trPr>
        <w:tc>
          <w:tcPr>
            <w:tcW w:w="6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605"/>
        </w:trPr>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ind w:left="1060" w:right="839" w:hanging="264"/>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stated or the context otherwise requires, the terms “we,” “us,” and “our,” and similar references refer to Rani Therapeutics Holdings, Inc. (“Rani Holdings”) and its consolidated subsidiary, Rani Therapeutics, LLC (“Rani LLC”).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639" w:firstLine="702"/>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6" w:lineRule="exact"/>
        <w:rPr>
          <w:sz w:val="20"/>
          <w:szCs w:val="20"/>
          <w:color w:val="auto"/>
        </w:rPr>
      </w:pPr>
    </w:p>
    <w:p>
      <w:pPr>
        <w:jc w:val="both"/>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66" w:lineRule="exact"/>
        <w:rPr>
          <w:sz w:val="20"/>
          <w:szCs w:val="20"/>
          <w:color w:val="auto"/>
        </w:rPr>
      </w:pPr>
    </w:p>
    <w:p>
      <w:pPr>
        <w:ind w:left="1680" w:right="7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focus of our current and future clinical trials in the United States and abroad, and the reporting of data from those trials;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97" w:lineRule="exact"/>
        <w:rPr>
          <w:rFonts w:ascii="Times New Roman" w:cs="Times New Roman" w:eastAsia="Times New Roman" w:hAnsi="Times New Roman"/>
          <w:sz w:val="14"/>
          <w:szCs w:val="14"/>
          <w:color w:val="auto"/>
        </w:rPr>
      </w:pPr>
    </w:p>
    <w:p>
      <w:pPr>
        <w:ind w:left="1680" w:right="89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37" w:lineRule="exact"/>
        <w:rPr>
          <w:rFonts w:ascii="Times New Roman" w:cs="Times New Roman" w:eastAsia="Times New Roman" w:hAnsi="Times New Roman"/>
          <w:sz w:val="14"/>
          <w:szCs w:val="14"/>
          <w:color w:val="auto"/>
        </w:rPr>
      </w:pPr>
    </w:p>
    <w:p>
      <w:pPr>
        <w:ind w:left="1680" w:right="719" w:hanging="347"/>
        <w:spacing w:after="0" w:line="268"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55"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97" w:lineRule="exact"/>
        <w:rPr>
          <w:rFonts w:ascii="Times New Roman" w:cs="Times New Roman" w:eastAsia="Times New Roman" w:hAnsi="Times New Roman"/>
          <w:sz w:val="14"/>
          <w:szCs w:val="14"/>
          <w:color w:val="auto"/>
        </w:rPr>
      </w:pPr>
    </w:p>
    <w:p>
      <w:pPr>
        <w:ind w:left="1680" w:right="91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 and the expected potential benefits thereof;</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by expanding our use of automation;</w:t>
      </w:r>
    </w:p>
    <w:p>
      <w:pPr>
        <w:spacing w:after="0" w:line="97" w:lineRule="exact"/>
        <w:rPr>
          <w:rFonts w:ascii="Times New Roman" w:cs="Times New Roman" w:eastAsia="Times New Roman" w:hAnsi="Times New Roman"/>
          <w:sz w:val="14"/>
          <w:szCs w:val="14"/>
          <w:color w:val="auto"/>
        </w:rPr>
      </w:pPr>
    </w:p>
    <w:p>
      <w:pPr>
        <w:ind w:left="1680" w:right="10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97" w:lineRule="exact"/>
        <w:rPr>
          <w:rFonts w:ascii="Times New Roman" w:cs="Times New Roman" w:eastAsia="Times New Roman" w:hAnsi="Times New Roman"/>
          <w:sz w:val="14"/>
          <w:szCs w:val="14"/>
          <w:color w:val="auto"/>
        </w:rPr>
      </w:pPr>
    </w:p>
    <w:p>
      <w:pPr>
        <w:ind w:left="1680" w:right="7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novel formulations and new applications of the RaniPill capsule;</w:t>
      </w:r>
    </w:p>
    <w:p>
      <w:pPr>
        <w:spacing w:after="0" w:line="37" w:lineRule="exact"/>
        <w:rPr>
          <w:rFonts w:ascii="Times New Roman" w:cs="Times New Roman" w:eastAsia="Times New Roman" w:hAnsi="Times New Roman"/>
          <w:sz w:val="14"/>
          <w:szCs w:val="14"/>
          <w:color w:val="auto"/>
        </w:rPr>
      </w:pPr>
    </w:p>
    <w:p>
      <w:pPr>
        <w:ind w:left="1680" w:right="83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4"/>
          <w:szCs w:val="14"/>
          <w:color w:val="auto"/>
        </w:rPr>
      </w:pPr>
    </w:p>
    <w:p>
      <w:pPr>
        <w:ind w:left="1680" w:right="12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 w:name="page4"/>
    <w:bookmarkEnd w:id="3"/>
    <w:p>
      <w:pPr>
        <w:ind w:left="1680" w:right="1259" w:hanging="347"/>
        <w:spacing w:after="0" w:line="293"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propose to implement;</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7" w:lineRule="exact"/>
        <w:rPr>
          <w:rFonts w:ascii="Times New Roman" w:cs="Times New Roman" w:eastAsia="Times New Roman" w:hAnsi="Times New Roman"/>
          <w:sz w:val="14"/>
          <w:szCs w:val="14"/>
          <w:color w:val="auto"/>
        </w:rPr>
      </w:pPr>
    </w:p>
    <w:p>
      <w:pPr>
        <w:ind w:left="1680" w:right="839" w:hanging="347"/>
        <w:spacing w:after="0" w:line="275"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49" w:lineRule="exact"/>
        <w:rPr>
          <w:rFonts w:ascii="Times New Roman" w:cs="Times New Roman" w:eastAsia="Times New Roman" w:hAnsi="Times New Roman"/>
          <w:sz w:val="14"/>
          <w:szCs w:val="14"/>
          <w:color w:val="auto"/>
        </w:rPr>
      </w:pPr>
    </w:p>
    <w:p>
      <w:pPr>
        <w:ind w:left="1680" w:right="1019" w:hanging="347"/>
        <w:spacing w:after="0" w:line="293"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 (the “JOBS Act”).</w:t>
      </w:r>
    </w:p>
    <w:p>
      <w:pPr>
        <w:spacing w:after="0" w:line="123" w:lineRule="exact"/>
        <w:rPr>
          <w:sz w:val="20"/>
          <w:szCs w:val="20"/>
          <w:color w:val="auto"/>
        </w:rPr>
      </w:pPr>
    </w:p>
    <w:p>
      <w:pPr>
        <w:ind w:left="640" w:right="639" w:firstLine="702"/>
        <w:spacing w:after="0" w:line="262"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described in the section titled “Risk Factors” and elsewhere in our Annual Report on Form 10-K filed with the Securities and Exchange Commission on March 20,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47" w:lineRule="exact"/>
        <w:rPr>
          <w:sz w:val="20"/>
          <w:szCs w:val="20"/>
          <w:color w:val="auto"/>
        </w:rPr>
      </w:pPr>
    </w:p>
    <w:p>
      <w:pPr>
        <w:ind w:left="640" w:right="839" w:firstLine="702"/>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5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31"/>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50,847</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53,512</w:t>
            </w:r>
          </w:p>
        </w:tc>
        <w:tc>
          <w:tcPr>
            <w:tcW w:w="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r>
      <w:tr>
        <w:trPr>
          <w:trHeight w:val="188"/>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80" w:type="dxa"/>
            <w:vAlign w:val="bottom"/>
          </w:tcPr>
          <w:p>
            <w:pPr>
              <w:spacing w:after="0"/>
              <w:rPr>
                <w:sz w:val="16"/>
                <w:szCs w:val="16"/>
                <w:color w:val="auto"/>
              </w:rPr>
            </w:pPr>
          </w:p>
        </w:tc>
      </w:tr>
      <w:tr>
        <w:trPr>
          <w:trHeight w:val="19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3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38,977</w:t>
            </w: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32,473</w:t>
            </w:r>
          </w:p>
        </w:tc>
        <w:tc>
          <w:tcPr>
            <w:tcW w:w="80" w:type="dxa"/>
            <w:vAlign w:val="bottom"/>
            <w:tcBorders>
              <w:top w:val="single" w:sz="8" w:color="CFF0FC"/>
            </w:tcBorders>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 $0.0001 par value - 20,000 shares authorized; none issued and</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March 31, 2024 and December 31, 2023</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 $0.0001 par value - 800,000 shares authorized; 26,294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26,036 issued and outstanding as of March 31, 2024 and December 31, 2023, respectively</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r>
      <w:tr>
        <w:trPr>
          <w:trHeight w:val="17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Class B common stock, $0.0001 par value - 40,000 shares authorized; 24,116 issued and</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March 31, 2024 and December 31, 2023</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C common stock, $0.0001 par value - 20,000 shares authorized; none issued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March 31, 2024 and December 31, 2023</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85,762</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(12 )</w:t>
            </w:r>
          </w:p>
        </w:tc>
      </w:tr>
      <w:tr>
        <w:trPr>
          <w:trHeight w:val="19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(80,372 )</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(72,889 )</w:t>
            </w:r>
          </w:p>
        </w:tc>
      </w:tr>
      <w:tr>
        <w:trPr>
          <w:trHeight w:val="184"/>
        </w:trPr>
        <w:tc>
          <w:tcPr>
            <w:tcW w:w="53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Rani Therapeutics Holdings, Inc.</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80" w:type="dxa"/>
            <w:vAlign w:val="bottom"/>
            <w:tcBorders>
              <w:top w:val="single" w:sz="8" w:color="CFF0FC"/>
            </w:tcBorders>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80" w:type="dxa"/>
            <w:vAlign w:val="bottom"/>
          </w:tcPr>
          <w:p>
            <w:pPr>
              <w:spacing w:after="0"/>
              <w:rPr>
                <w:sz w:val="16"/>
                <w:szCs w:val="16"/>
                <w:color w:val="auto"/>
              </w:rPr>
            </w:pPr>
          </w:p>
        </w:tc>
      </w:tr>
      <w:tr>
        <w:trPr>
          <w:trHeight w:val="224"/>
        </w:trPr>
        <w:tc>
          <w:tcPr>
            <w:tcW w:w="5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53,512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-3968750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-3968750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-3470275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-3470275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-2205990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-2205990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-532130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-532130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-279400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14,034</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(14,034 )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(16,516 )</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(1,294 )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(1,207 )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(14,779 )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(16,832 )</w:t>
            </w:r>
          </w:p>
        </w:tc>
        <w:tc>
          <w:tcPr>
            <w:tcW w:w="0" w:type="dxa"/>
            <w:vAlign w:val="bottom"/>
          </w:tcPr>
          <w:p>
            <w:pPr>
              <w:spacing w:after="0"/>
              <w:rPr>
                <w:sz w:val="1"/>
                <w:szCs w:val="1"/>
                <w:color w:val="auto"/>
              </w:rPr>
            </w:pPr>
          </w:p>
        </w:tc>
      </w:tr>
      <w:tr>
        <w:trPr>
          <w:trHeight w:val="190"/>
        </w:trPr>
        <w:tc>
          <w:tcPr>
            <w:tcW w:w="5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(7,296 )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(8,460 )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(7,483 )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(8,372 )</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 Holdings, Inc.,</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(0.29 )</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(0.33 )</w:t>
            </w:r>
          </w:p>
        </w:tc>
        <w:tc>
          <w:tcPr>
            <w:tcW w:w="0" w:type="dxa"/>
            <w:vAlign w:val="bottom"/>
          </w:tcPr>
          <w:p>
            <w:pPr>
              <w:spacing w:after="0"/>
              <w:rPr>
                <w:sz w:val="1"/>
                <w:szCs w:val="1"/>
                <w:color w:val="auto"/>
              </w:rPr>
            </w:pPr>
          </w:p>
        </w:tc>
      </w:tr>
      <w:tr>
        <w:trPr>
          <w:trHeight w:val="165"/>
        </w:trPr>
        <w:tc>
          <w:tcPr>
            <w:tcW w:w="5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 and diluted</w:t>
            </w:r>
          </w:p>
        </w:tc>
        <w:tc>
          <w:tcPr>
            <w:tcW w:w="2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Class A common shares outstanding—basic and diluted</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26,034</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-1406525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-1406525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-395605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-382270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-395605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-382270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53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(14,779 )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(16,832 )</w:t>
            </w: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(14,778 )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(16,706 )</w:t>
            </w: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(7,295 )</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(8,397 )</w:t>
            </w:r>
          </w:p>
        </w:tc>
      </w:tr>
      <w:tr>
        <w:trPr>
          <w:trHeight w:val="20"/>
        </w:trPr>
        <w:tc>
          <w:tcPr>
            <w:tcW w:w="5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Rani Therapeutics Holdings, Inc.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(7,483 )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(8,309 )</w:t>
            </w: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-422910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-422910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-149860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00" w:type="dxa"/>
            <w:vAlign w:val="bottom"/>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8"/>
                <w:szCs w:val="8"/>
                <w:color w:val="auto"/>
              </w:rPr>
            </w:pP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2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60" w:type="dxa"/>
            <w:vAlign w:val="bottom"/>
            <w:gridSpan w:val="3"/>
            <w:vMerge w:val="continue"/>
          </w:tcPr>
          <w:p>
            <w:pPr>
              <w:spacing w:after="0"/>
              <w:rPr>
                <w:sz w:val="10"/>
                <w:szCs w:val="10"/>
                <w:color w:val="auto"/>
              </w:rPr>
            </w:pPr>
          </w:p>
        </w:tc>
        <w:tc>
          <w:tcPr>
            <w:tcW w:w="90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26,036</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85,762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(72,889 )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equity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exchanges of non-</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corresponding Class A Units of Rani</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LLC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(45 )</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(7,483 )</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(7,296 )</w:t>
            </w: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(14,779 )</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gain</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26,294</w:t>
            </w:r>
          </w:p>
        </w:tc>
        <w:tc>
          <w:tcPr>
            <w:tcW w:w="220" w:type="dxa"/>
            <w:vAlign w:val="bottom"/>
          </w:tcPr>
          <w:p>
            <w:pPr>
              <w:spacing w:after="0"/>
              <w:rPr>
                <w:sz w:val="16"/>
                <w:szCs w:val="16"/>
                <w:color w:val="auto"/>
              </w:rPr>
            </w:pP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22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87,776</w:t>
            </w:r>
          </w:p>
        </w:tc>
        <w:tc>
          <w:tcPr>
            <w:tcW w:w="2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(80,372 )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2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8"/>
                <w:szCs w:val="8"/>
                <w:color w:val="auto"/>
              </w:rPr>
            </w:pP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2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60" w:type="dxa"/>
            <w:vAlign w:val="bottom"/>
            <w:gridSpan w:val="3"/>
            <w:vMerge w:val="continue"/>
          </w:tcPr>
          <w:p>
            <w:pPr>
              <w:spacing w:after="0"/>
              <w:rPr>
                <w:sz w:val="10"/>
                <w:szCs w:val="10"/>
                <w:color w:val="auto"/>
              </w:rPr>
            </w:pPr>
          </w:p>
        </w:tc>
        <w:tc>
          <w:tcPr>
            <w:tcW w:w="90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25,295</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75,842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(73 )</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(38,919 )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equity plans, net of shares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tax settlement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(124 )</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(98 )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(8,372 )</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(8,460 )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(16,832 )</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78,018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(47,291 )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30,867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-2001520</wp:posOffset>
            </wp:positionV>
            <wp:extent cx="685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-2001520</wp:posOffset>
            </wp:positionV>
            <wp:extent cx="685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-2001520</wp:posOffset>
            </wp:positionV>
            <wp:extent cx="685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-2001520</wp:posOffset>
            </wp:positionV>
            <wp:extent cx="685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-2001520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-2001520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-2001520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-2001520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-2001520</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-19685</wp:posOffset>
            </wp:positionV>
            <wp:extent cx="685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-6350</wp:posOffset>
            </wp:positionV>
            <wp:extent cx="685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-19685</wp:posOffset>
            </wp:positionV>
            <wp:extent cx="685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-6350</wp:posOffset>
            </wp:positionV>
            <wp:extent cx="685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-19685</wp:posOffset>
            </wp:positionV>
            <wp:extent cx="685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-6350</wp:posOffset>
            </wp:positionV>
            <wp:extent cx="685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-19685</wp:posOffset>
            </wp:positionV>
            <wp:extent cx="685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-6350</wp:posOffset>
            </wp:positionV>
            <wp:extent cx="685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-19685</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-6350</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-19685</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-6350</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-19685</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-6350</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-19685</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-6350</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-19685</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-6350</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(14,779 )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(16,832 )</w:t>
            </w: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(340 )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(378 )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(9,402 )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(12,154 )</w:t>
            </w: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(10,038 )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(18,629 )</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(248 )</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withholdings paid on behalf of employees for net share settlement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(8,023 )</w:t>
            </w:r>
          </w:p>
        </w:tc>
        <w:tc>
          <w:tcPr>
            <w:tcW w:w="0" w:type="dxa"/>
            <w:vAlign w:val="bottom"/>
          </w:tcPr>
          <w:p>
            <w:pPr>
              <w:spacing w:after="0"/>
              <w:rPr>
                <w:sz w:val="1"/>
                <w:szCs w:val="1"/>
                <w:color w:val="auto"/>
              </w:rPr>
            </w:pP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27,507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Remeasurement of operating lease right-of-use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Exchanges of non-corresponding Class A Units of Rani LLC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receivable included in prepaid expenses and other current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and other current liabilities</w:t>
            </w:r>
          </w:p>
        </w:tc>
        <w:tc>
          <w:tcPr>
            <w:tcW w:w="1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-2595880</wp:posOffset>
            </wp:positionV>
            <wp:extent cx="476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-2595880</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-1837055</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-1837055</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-1331595</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-1331595</wp:posOffset>
            </wp:positionV>
            <wp:extent cx="476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-1078865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-1078865</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-539115</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-525145</wp:posOffset>
            </wp:positionV>
            <wp:extent cx="476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-539115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-525145</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-252095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-238760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-252095</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-238760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Organization and Nature of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7" w:lineRule="exact"/>
        <w:rPr>
          <w:sz w:val="20"/>
          <w:szCs w:val="20"/>
          <w:color w:val="auto"/>
        </w:rPr>
      </w:pPr>
    </w:p>
    <w:p>
      <w:pPr>
        <w:ind w:left="640" w:right="699" w:firstLine="702"/>
        <w:spacing w:after="0" w:line="264" w:lineRule="auto"/>
        <w:rPr>
          <w:sz w:val="20"/>
          <w:szCs w:val="20"/>
          <w:color w:val="auto"/>
        </w:rPr>
      </w:pPr>
      <w:r>
        <w:rPr>
          <w:rFonts w:ascii="Times New Roman" w:cs="Times New Roman" w:eastAsia="Times New Roman" w:hAnsi="Times New Roman"/>
          <w:sz w:val="14"/>
          <w:szCs w:val="14"/>
          <w:color w:val="auto"/>
        </w:rPr>
        <w:t>Rani Therapeutics Holdings, Inc. (“Rani Holdings”, and together with its consolidated subsidiary, the “Company”) is a clinical 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7" w:lineRule="exact"/>
        <w:rPr>
          <w:sz w:val="20"/>
          <w:szCs w:val="20"/>
          <w:color w:val="auto"/>
        </w:rPr>
      </w:pPr>
    </w:p>
    <w:p>
      <w:pPr>
        <w:ind w:left="640" w:right="659" w:firstLine="702"/>
        <w:spacing w:after="0" w:line="267" w:lineRule="auto"/>
        <w:rPr>
          <w:sz w:val="20"/>
          <w:szCs w:val="20"/>
          <w:color w:val="auto"/>
        </w:rPr>
      </w:pPr>
      <w:r>
        <w:rPr>
          <w:rFonts w:ascii="Times New Roman" w:cs="Times New Roman" w:eastAsia="Times New Roman" w:hAnsi="Times New Roman"/>
          <w:sz w:val="14"/>
          <w:szCs w:val="14"/>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317"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March 31, 2024, certain individuals who continue to own interests in Rani LLC but do not hold shares of the Company’s Class B common stock (“non-corresponding Class A Units”) have the ability to exchange their non-corresponding Class A Units of Rani LLC for 1,261,690 shares of the Company’s Class A common stock.</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7" w:lineRule="exact"/>
        <w:rPr>
          <w:sz w:val="20"/>
          <w:szCs w:val="20"/>
          <w:color w:val="auto"/>
        </w:rPr>
      </w:pPr>
    </w:p>
    <w:p>
      <w:pPr>
        <w:ind w:left="640" w:right="639" w:firstLine="702"/>
        <w:spacing w:after="0" w:line="260"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$14.8 million for the three months ended March 31, 2024. As of March 31, 2024, the Company had an accumulated deficit of $80.4 million and for the three months ended March 31, 2024, had negative cash flows from operations of $9.4 million. As of March 31, 2024, cash, cash equivalents and marketable securities totaled $39.6 million. Based on its available cash resources and current operating plan, there is substantial doubt regarding the Company’s ability to continue as a going concern for a period of one year after the date that its financial statements for the three months ended March 31, 2024 are issued. The Company’s existing capital resources, including the net proceeds from our IPO and term loans (the “Loans”) under a loan and security agreement and related supplement (the “Loan Agreement”) with Avenue Venture Opportunities Fund, L.P (the “Lender”) entered into in August 2022,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147" w:lineRule="exact"/>
        <w:rPr>
          <w:sz w:val="20"/>
          <w:szCs w:val="20"/>
          <w:color w:val="auto"/>
        </w:rPr>
      </w:pPr>
    </w:p>
    <w:p>
      <w:pPr>
        <w:ind w:left="640" w:right="699" w:firstLine="702"/>
        <w:spacing w:after="0" w:line="268" w:lineRule="auto"/>
        <w:rPr>
          <w:sz w:val="20"/>
          <w:szCs w:val="20"/>
          <w:color w:val="auto"/>
        </w:rPr>
      </w:pPr>
      <w:r>
        <w:rPr>
          <w:rFonts w:ascii="Times New Roman" w:cs="Times New Roman" w:eastAsia="Times New Roman" w:hAnsi="Times New Roman"/>
          <w:sz w:val="14"/>
          <w:szCs w:val="14"/>
          <w:color w:val="auto"/>
        </w:rPr>
        <w:t>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0" w:name="page11"/>
    <w:bookmarkEnd w:id="10"/>
    <w:p>
      <w:pPr>
        <w:ind w:left="640" w:right="8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March 31, 2024, the Company has no sales under the Sales Agreement.</w:t>
      </w:r>
    </w:p>
    <w:p>
      <w:pPr>
        <w:spacing w:after="0" w:line="143" w:lineRule="exact"/>
        <w:rPr>
          <w:sz w:val="20"/>
          <w:szCs w:val="20"/>
          <w:color w:val="auto"/>
        </w:rPr>
      </w:pPr>
    </w:p>
    <w:p>
      <w:pPr>
        <w:ind w:left="640" w:right="679" w:firstLine="702"/>
        <w:spacing w:after="0" w:line="262" w:lineRule="auto"/>
        <w:rPr>
          <w:sz w:val="20"/>
          <w:szCs w:val="20"/>
          <w:color w:val="auto"/>
        </w:rPr>
      </w:pPr>
      <w:r>
        <w:rPr>
          <w:rFonts w:ascii="Times New Roman" w:cs="Times New Roman" w:eastAsia="Times New Roman" w:hAnsi="Times New Roman"/>
          <w:sz w:val="14"/>
          <w:szCs w:val="14"/>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accounting principles generally accepted in the United States of America (“U.S. GAAP”). Certain prior period amounts have been reclassified to be consistent with current period presentation.</w:t>
      </w:r>
    </w:p>
    <w:p>
      <w:pPr>
        <w:spacing w:after="0" w:line="135"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87" w:lineRule="exact"/>
        <w:rPr>
          <w:sz w:val="20"/>
          <w:szCs w:val="20"/>
          <w:color w:val="auto"/>
        </w:rPr>
      </w:pPr>
    </w:p>
    <w:p>
      <w:pPr>
        <w:ind w:left="640" w:right="659" w:firstLine="702"/>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months ended March 31, 2024 are not necessarily indicative of the results that may be expected for the year ending December 31, 2024 or for any future period.</w:t>
      </w:r>
    </w:p>
    <w:p>
      <w:pPr>
        <w:spacing w:after="0" w:line="147"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The consolidated balance sheet as of December 31, 2023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2023 consolidated financial statements and notes included in the Company’s Annual Report on Form 10-K filed with the SEC on March 20, 2024.</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39" w:firstLine="702"/>
        <w:spacing w:after="0" w:line="265"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7" w:lineRule="exact"/>
        <w:rPr>
          <w:sz w:val="20"/>
          <w:szCs w:val="20"/>
          <w:color w:val="auto"/>
        </w:rPr>
      </w:pPr>
    </w:p>
    <w:p>
      <w:pPr>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A description of the Company’s significant accounting policies is included in the audited consolidated financial statements within its Annual Report on Form 10-K for the year ended December 31, 2023. Except as noted below, there have been no material changes in the Company’s significant accounting policies during the three months ended March 31, 2024.</w:t>
      </w:r>
    </w:p>
    <w:p>
      <w:pPr>
        <w:spacing w:after="0" w:line="13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 Equivalents</w:t>
      </w:r>
    </w:p>
    <w:p>
      <w:pPr>
        <w:spacing w:after="0" w:line="187" w:lineRule="exact"/>
        <w:rPr>
          <w:sz w:val="20"/>
          <w:szCs w:val="20"/>
          <w:color w:val="auto"/>
        </w:rPr>
      </w:pPr>
    </w:p>
    <w:p>
      <w:pPr>
        <w:ind w:left="640" w:right="779" w:firstLine="702"/>
        <w:spacing w:after="0" w:line="275"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three months ended March 31, 2024 and 2023:</w:t>
      </w:r>
    </w:p>
    <w:p>
      <w:pPr>
        <w:spacing w:after="0" w:line="184"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74"/>
        </w:trPr>
        <w:tc>
          <w:tcPr>
            <w:tcW w:w="45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5"/>
                <w:szCs w:val="15"/>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18,984</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restricted cash equivalents</w:t>
            </w:r>
          </w:p>
        </w:tc>
        <w:tc>
          <w:tcPr>
            <w:tcW w:w="5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19,484</w:t>
            </w:r>
          </w:p>
        </w:tc>
        <w:tc>
          <w:tcPr>
            <w:tcW w:w="60" w:type="dxa"/>
            <w:vAlign w:val="bottom"/>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640" w:right="819" w:firstLine="702"/>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financial statements and related disclosures.</w:t>
      </w:r>
    </w:p>
    <w:p>
      <w:pPr>
        <w:spacing w:after="0" w:line="143"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financial statements and related disclosures.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Cash Equivalents, Restricted Cash Equivalents and Marketable Securities</w:t>
      </w:r>
    </w:p>
    <w:p>
      <w:pPr>
        <w:spacing w:after="0" w:line="185" w:lineRule="exact"/>
        <w:rPr>
          <w:sz w:val="20"/>
          <w:szCs w:val="20"/>
          <w:color w:val="auto"/>
        </w:rPr>
      </w:pPr>
    </w:p>
    <w:p>
      <w:pPr>
        <w:ind w:left="640" w:right="95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tables summarizes the amortized cost and fair value of the Company's cash equivalents, restricted cash equivalents and marketable securities by major investment category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00" w:type="dxa"/>
            <w:vAlign w:val="bottom"/>
          </w:tcPr>
          <w:p>
            <w:pPr>
              <w:spacing w:after="0"/>
              <w:rPr>
                <w:sz w:val="8"/>
                <w:szCs w:val="8"/>
                <w:color w:val="auto"/>
              </w:rPr>
            </w:pPr>
          </w:p>
        </w:tc>
        <w:tc>
          <w:tcPr>
            <w:tcW w:w="700" w:type="dxa"/>
            <w:vAlign w:val="bottom"/>
            <w:gridSpan w:val="2"/>
          </w:tcPr>
          <w:p>
            <w:pPr>
              <w:jc w:val="right"/>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0" w:type="dxa"/>
            <w:vAlign w:val="bottom"/>
            <w:gridSpan w:val="3"/>
          </w:tcPr>
          <w:p>
            <w:pPr>
              <w:jc w:val="right"/>
              <w:ind w:right="148"/>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68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w:t>
            </w: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(5 )</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32,731</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Borders>
              <w:top w:val="single" w:sz="8" w:color="CFF0FC"/>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32,704</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39,064</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(27 )</w:t>
            </w:r>
          </w:p>
        </w:tc>
        <w:tc>
          <w:tcPr>
            <w:tcW w:w="18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-1010285</wp:posOffset>
            </wp:positionV>
            <wp:extent cx="412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-1010285</wp:posOffset>
            </wp:positionV>
            <wp:extent cx="412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-1010285</wp:posOffset>
            </wp:positionV>
            <wp:extent cx="412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-1010285</wp:posOffset>
            </wp:positionV>
            <wp:extent cx="412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-381000</wp:posOffset>
            </wp:positionV>
            <wp:extent cx="66675" cy="161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-381000</wp:posOffset>
            </wp:positionV>
            <wp:extent cx="66675" cy="161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-381000</wp:posOffset>
            </wp:positionV>
            <wp:extent cx="66675" cy="161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-381000</wp:posOffset>
            </wp:positionV>
            <wp:extent cx="66675" cy="161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75" cy="161925"/>
                    </a:xfrm>
                    <a:prstGeom prst="rect">
                      <a:avLst/>
                    </a:prstGeom>
                    <a:noFill/>
                  </pic:spPr>
                </pic:pic>
              </a:graphicData>
            </a:graphic>
          </wp:anchor>
        </w:drawing>
      </w:r>
    </w:p>
    <w:p>
      <w:pPr>
        <w:spacing w:after="0" w:line="31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2" w:name="page13"/>
    <w:bookmarkEnd w:id="12"/>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00" w:type="dxa"/>
            <w:vAlign w:val="bottom"/>
          </w:tcPr>
          <w:p>
            <w:pPr>
              <w:spacing w:after="0"/>
              <w:rPr>
                <w:sz w:val="8"/>
                <w:szCs w:val="8"/>
                <w:color w:val="auto"/>
              </w:rPr>
            </w:pPr>
          </w:p>
        </w:tc>
        <w:tc>
          <w:tcPr>
            <w:tcW w:w="700" w:type="dxa"/>
            <w:vAlign w:val="bottom"/>
            <w:gridSpan w:val="2"/>
          </w:tcPr>
          <w:p>
            <w:pPr>
              <w:jc w:val="right"/>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0" w:type="dxa"/>
            <w:vAlign w:val="bottom"/>
            <w:gridSpan w:val="3"/>
          </w:tcPr>
          <w:p>
            <w:pPr>
              <w:jc w:val="right"/>
              <w:ind w:right="148"/>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166"/>
        </w:trPr>
        <w:tc>
          <w:tcPr>
            <w:tcW w:w="34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35,495</w:t>
            </w: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42,675</w:t>
            </w: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4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46,514</w:t>
            </w: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56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-880745</wp:posOffset>
            </wp:positionV>
            <wp:extent cx="412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-866775</wp:posOffset>
            </wp:positionV>
            <wp:extent cx="412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-880745</wp:posOffset>
            </wp:positionV>
            <wp:extent cx="412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-866775</wp:posOffset>
            </wp:positionV>
            <wp:extent cx="412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-880745</wp:posOffset>
            </wp:positionV>
            <wp:extent cx="412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-866775</wp:posOffset>
            </wp:positionV>
            <wp:extent cx="412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-880745</wp:posOffset>
            </wp:positionV>
            <wp:extent cx="412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-866775</wp:posOffset>
            </wp:positionV>
            <wp:extent cx="412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-381000</wp:posOffset>
            </wp:positionV>
            <wp:extent cx="66675" cy="161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-381000</wp:posOffset>
            </wp:positionV>
            <wp:extent cx="66675" cy="161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-381000</wp:posOffset>
            </wp:positionV>
            <wp:extent cx="66675" cy="161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-381000</wp:posOffset>
            </wp:positionV>
            <wp:extent cx="66675" cy="161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-19685</wp:posOffset>
            </wp:positionV>
            <wp:extent cx="41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-6350</wp:posOffset>
            </wp:positionV>
            <wp:extent cx="412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-19685</wp:posOffset>
            </wp:positionV>
            <wp:extent cx="412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-6350</wp:posOffset>
            </wp:positionV>
            <wp:extent cx="412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-19685</wp:posOffset>
            </wp:positionV>
            <wp:extent cx="412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-6350</wp:posOffset>
            </wp:positionV>
            <wp:extent cx="412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9" w:lineRule="exact"/>
        <w:rPr>
          <w:sz w:val="20"/>
          <w:szCs w:val="20"/>
          <w:color w:val="auto"/>
        </w:rPr>
      </w:pPr>
    </w:p>
    <w:p>
      <w:pPr>
        <w:ind w:left="640" w:right="839" w:firstLine="702"/>
        <w:spacing w:after="0" w:line="261" w:lineRule="auto"/>
        <w:rPr>
          <w:sz w:val="20"/>
          <w:szCs w:val="20"/>
          <w:color w:val="auto"/>
        </w:rPr>
      </w:pPr>
      <w:r>
        <w:rPr>
          <w:rFonts w:ascii="Times New Roman" w:cs="Times New Roman" w:eastAsia="Times New Roman" w:hAnsi="Times New Roman"/>
          <w:sz w:val="14"/>
          <w:szCs w:val="14"/>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March 31, 2024,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March 31, 2024. As of each March 31, 2024 and December 31, 2023, interest income receivable recorded as a component of prepaid expenses and other current assets on the condensed consolidated balance sheet was $0.2 million.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5" w:lineRule="exact"/>
        <w:rPr>
          <w:sz w:val="20"/>
          <w:szCs w:val="20"/>
          <w:color w:val="auto"/>
        </w:rPr>
      </w:pPr>
    </w:p>
    <w:p>
      <w:pPr>
        <w:ind w:left="640" w:right="87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tables detail information about the Company’s financial assets and liabilities measured at fair value on a recurring basis and indicates the level of inputs used in such measurements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4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60" w:type="dxa"/>
            <w:vAlign w:val="bottom"/>
            <w:tcBorders>
              <w:bottom w:val="single" w:sz="8" w:color="CFF0FC"/>
            </w:tcBorders>
          </w:tcPr>
          <w:p>
            <w:pPr>
              <w:spacing w:after="0"/>
              <w:rPr>
                <w:sz w:val="16"/>
                <w:szCs w:val="16"/>
                <w:color w:val="auto"/>
              </w:rPr>
            </w:pPr>
          </w:p>
        </w:tc>
      </w:tr>
      <w:tr>
        <w:trPr>
          <w:trHeight w:val="224"/>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32,107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39,037</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-19685</wp:posOffset>
            </wp:positionV>
            <wp:extent cx="4127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-6350</wp:posOffset>
            </wp:positionV>
            <wp:extent cx="4127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-149860</wp:posOffset>
            </wp:positionV>
            <wp:extent cx="4127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-19685</wp:posOffset>
            </wp:positionV>
            <wp:extent cx="412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-6350</wp:posOffset>
            </wp:positionV>
            <wp:extent cx="412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-149860</wp:posOffset>
            </wp:positionV>
            <wp:extent cx="412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-19685</wp:posOffset>
            </wp:positionV>
            <wp:extent cx="412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-6350</wp:posOffset>
            </wp:positionV>
            <wp:extent cx="412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-149860</wp:posOffset>
            </wp:positionV>
            <wp:extent cx="412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1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13" w:right="1440" w:bottom="1440" w:gutter="0" w:footer="0" w:header="0"/>
        </w:sectPr>
      </w:pPr>
    </w:p>
    <w:bookmarkStart w:id="13" w:name="page14"/>
    <w:bookmarkEnd w:id="13"/>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60" w:type="dxa"/>
            <w:vAlign w:val="bottom"/>
            <w:shd w:val="clear" w:color="auto" w:fill="CFF0FC"/>
          </w:tcPr>
          <w:p>
            <w:pPr>
              <w:spacing w:after="0"/>
              <w:rPr>
                <w:sz w:val="17"/>
                <w:szCs w:val="17"/>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46,514</w:t>
            </w:r>
          </w:p>
        </w:tc>
        <w:tc>
          <w:tcPr>
            <w:tcW w:w="6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640" w:right="759" w:firstLine="702"/>
        <w:spacing w:after="0" w:line="265" w:lineRule="auto"/>
        <w:rPr>
          <w:sz w:val="20"/>
          <w:szCs w:val="20"/>
          <w:color w:val="auto"/>
        </w:rPr>
      </w:pPr>
      <w:r>
        <w:rPr>
          <w:rFonts w:ascii="Times New Roman" w:cs="Times New Roman" w:eastAsia="Times New Roman" w:hAnsi="Times New Roman"/>
          <w:sz w:val="14"/>
          <w:szCs w:val="14"/>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of the fair value hierarchy for any of the periods presented.</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5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and related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preclinical and clinical trial costs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60" w:type="dxa"/>
            <w:vAlign w:val="bottom"/>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Related Party Transactions</w:t>
      </w:r>
    </w:p>
    <w:p>
      <w:pPr>
        <w:spacing w:after="0" w:line="185" w:lineRule="exact"/>
        <w:rPr>
          <w:sz w:val="20"/>
          <w:szCs w:val="20"/>
          <w:color w:val="auto"/>
        </w:rPr>
      </w:pPr>
    </w:p>
    <w:p>
      <w:pPr>
        <w:jc w:val="both"/>
        <w:ind w:left="640" w:right="859" w:firstLine="702"/>
        <w:spacing w:after="0" w:line="275" w:lineRule="auto"/>
        <w:rPr>
          <w:sz w:val="20"/>
          <w:szCs w:val="20"/>
          <w:color w:val="auto"/>
        </w:rPr>
      </w:pPr>
      <w:r>
        <w:rPr>
          <w:rFonts w:ascii="Times New Roman" w:cs="Times New Roman" w:eastAsia="Times New Roman" w:hAnsi="Times New Roman"/>
          <w:sz w:val="14"/>
          <w:szCs w:val="14"/>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Agreements</w:t>
      </w:r>
    </w:p>
    <w:p>
      <w:pPr>
        <w:spacing w:after="0" w:line="187" w:lineRule="exact"/>
        <w:rPr>
          <w:sz w:val="20"/>
          <w:szCs w:val="20"/>
          <w:color w:val="auto"/>
        </w:rPr>
      </w:pPr>
    </w:p>
    <w:p>
      <w:pPr>
        <w:ind w:left="640" w:right="639" w:firstLine="702"/>
        <w:spacing w:after="0" w:line="259" w:lineRule="auto"/>
        <w:rPr>
          <w:sz w:val="20"/>
          <w:szCs w:val="20"/>
          <w:color w:val="auto"/>
        </w:rPr>
      </w:pPr>
      <w:r>
        <w:rPr>
          <w:rFonts w:ascii="Times New Roman" w:cs="Times New Roman" w:eastAsia="Times New Roman" w:hAnsi="Times New Roman"/>
          <w:sz w:val="14"/>
          <w:szCs w:val="14"/>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termination will take effect in June 2024. In March 2024, the Company extended the facility in Milpitas, California for an additional six-month term through August 2024 and increased the payment for such Occupancy Services during the extension period.</w:t>
      </w:r>
    </w:p>
    <w:p>
      <w:pPr>
        <w:spacing w:after="0" w:line="15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 w:name="page15"/>
    <w:bookmarkEnd w:id="14"/>
    <w:p>
      <w:pPr>
        <w:ind w:left="640" w:right="759" w:firstLine="702"/>
        <w:spacing w:after="0" w:line="260" w:lineRule="auto"/>
        <w:rPr>
          <w:sz w:val="20"/>
          <w:szCs w:val="20"/>
          <w:color w:val="auto"/>
        </w:rPr>
      </w:pPr>
      <w:r>
        <w:rPr>
          <w:rFonts w:ascii="Times New Roman" w:cs="Times New Roman" w:eastAsia="Times New Roman" w:hAnsi="Times New Roman"/>
          <w:sz w:val="14"/>
          <w:szCs w:val="14"/>
          <w:color w:val="auto"/>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table below details the amounts charged by ICL for services and rent, net of the amount that the Company charged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ICL, which is included in the condensed consolidated statements of operations (in thousands):</w:t>
      </w:r>
    </w:p>
    <w:p>
      <w:pPr>
        <w:spacing w:after="0" w:line="176"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040" w:type="dxa"/>
            <w:vAlign w:val="bottom"/>
          </w:tcPr>
          <w:p>
            <w:pPr>
              <w:spacing w:after="0"/>
              <w:rPr>
                <w:sz w:val="12"/>
                <w:szCs w:val="12"/>
                <w:color w:val="auto"/>
              </w:rPr>
            </w:pPr>
          </w:p>
        </w:tc>
        <w:tc>
          <w:tcPr>
            <w:tcW w:w="21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4040" w:type="dxa"/>
            <w:vAlign w:val="bottom"/>
          </w:tcPr>
          <w:p>
            <w:pPr>
              <w:spacing w:after="0"/>
              <w:rPr>
                <w:sz w:val="11"/>
                <w:szCs w:val="11"/>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8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0" w:type="dxa"/>
            <w:vAlign w:val="bottom"/>
            <w:gridSpan w:val="2"/>
            <w:shd w:val="clear" w:color="auto" w:fill="CFF0FC"/>
          </w:tcPr>
          <w:p>
            <w:pPr>
              <w:jc w:val="right"/>
              <w:ind w:right="655"/>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60" w:type="dxa"/>
            <w:vAlign w:val="bottom"/>
            <w:shd w:val="clear" w:color="auto" w:fill="CFF0FC"/>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60" w:type="dxa"/>
            <w:vAlign w:val="bottom"/>
          </w:tcPr>
          <w:p>
            <w:pPr>
              <w:spacing w:after="0"/>
              <w:rPr>
                <w:sz w:val="16"/>
                <w:szCs w:val="16"/>
                <w:color w:val="auto"/>
              </w:rPr>
            </w:pPr>
          </w:p>
        </w:tc>
      </w:tr>
      <w:tr>
        <w:trPr>
          <w:trHeight w:val="224"/>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-19685</wp:posOffset>
            </wp:positionV>
            <wp:extent cx="41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-6350</wp:posOffset>
            </wp:positionV>
            <wp:extent cx="412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859" w:firstLine="702"/>
        <w:spacing w:after="0" w:line="293" w:lineRule="auto"/>
        <w:rPr>
          <w:sz w:val="20"/>
          <w:szCs w:val="20"/>
          <w:color w:val="auto"/>
        </w:rPr>
      </w:pPr>
      <w:r>
        <w:rPr>
          <w:rFonts w:ascii="Times New Roman" w:cs="Times New Roman" w:eastAsia="Times New Roman" w:hAnsi="Times New Roman"/>
          <w:sz w:val="14"/>
          <w:szCs w:val="14"/>
          <w:color w:val="auto"/>
        </w:rPr>
        <w:t>As of March 31, 2024, three of the Company's facilities are owned or leased by an entity affiliated with the Company’s Chairman (Note 7). The Company pays for the use of these facilities through its services agreements with ICL.</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Intellectual Property and Common Unit Purchase Agreement</w:t>
      </w:r>
    </w:p>
    <w:p>
      <w:pPr>
        <w:spacing w:after="0" w:line="187" w:lineRule="exact"/>
        <w:rPr>
          <w:sz w:val="20"/>
          <w:szCs w:val="20"/>
          <w:color w:val="auto"/>
        </w:rPr>
      </w:pPr>
    </w:p>
    <w:p>
      <w:pPr>
        <w:ind w:left="640" w:right="679" w:firstLine="702"/>
        <w:spacing w:after="0" w:line="259" w:lineRule="auto"/>
        <w:rPr>
          <w:sz w:val="20"/>
          <w:szCs w:val="20"/>
          <w:color w:val="auto"/>
        </w:rPr>
      </w:pPr>
      <w:r>
        <w:rPr>
          <w:rFonts w:ascii="Times New Roman" w:cs="Times New Roman" w:eastAsia="Times New Roman" w:hAnsi="Times New Roman"/>
          <w:sz w:val="14"/>
          <w:szCs w:val="14"/>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Non-Exclusive License Agreement between Rani and ICL (“Non-Exclusive License Agreement”)</w:t>
      </w:r>
    </w:p>
    <w:p>
      <w:pPr>
        <w:spacing w:after="0" w:line="187" w:lineRule="exact"/>
        <w:rPr>
          <w:sz w:val="20"/>
          <w:szCs w:val="20"/>
          <w:color w:val="auto"/>
        </w:rPr>
      </w:pPr>
    </w:p>
    <w:p>
      <w:pPr>
        <w:ind w:left="640" w:right="679" w:firstLine="702"/>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31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Agreement with Mir Imran (the “Mir Agreement”)</w:t>
      </w:r>
    </w:p>
    <w:p>
      <w:pPr>
        <w:spacing w:after="0" w:line="187" w:lineRule="exact"/>
        <w:rPr>
          <w:sz w:val="20"/>
          <w:szCs w:val="20"/>
          <w:color w:val="auto"/>
        </w:rPr>
      </w:pPr>
    </w:p>
    <w:p>
      <w:pPr>
        <w:ind w:left="640" w:right="699" w:firstLine="702"/>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(Note 2). During each of the three months ended March 31, 2024 and 2023, these parties to the TRA exchanged zero Paired Interests that resulted in tax benefits subject to the TRA (Note 12).</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87" w:lineRule="exact"/>
        <w:rPr>
          <w:sz w:val="20"/>
          <w:szCs w:val="20"/>
          <w:color w:val="auto"/>
        </w:rPr>
      </w:pPr>
    </w:p>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Rani LLC Agreement</w:t>
      </w:r>
    </w:p>
    <w:p>
      <w:pPr>
        <w:spacing w:after="0" w:line="187" w:lineRule="exact"/>
        <w:rPr>
          <w:sz w:val="20"/>
          <w:szCs w:val="20"/>
          <w:color w:val="auto"/>
        </w:rPr>
      </w:pPr>
    </w:p>
    <w:p>
      <w:pPr>
        <w:ind w:left="640" w:right="659" w:firstLine="702"/>
        <w:spacing w:after="0" w:line="263" w:lineRule="auto"/>
        <w:rPr>
          <w:sz w:val="20"/>
          <w:szCs w:val="20"/>
          <w:color w:val="auto"/>
        </w:rPr>
      </w:pPr>
      <w:r>
        <w:rPr>
          <w:rFonts w:ascii="Times New Roman" w:cs="Times New Roman" w:eastAsia="Times New Roman" w:hAnsi="Times New Roman"/>
          <w:sz w:val="14"/>
          <w:szCs w:val="14"/>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319" w:lineRule="exact"/>
        <w:rPr>
          <w:sz w:val="20"/>
          <w:szCs w:val="20"/>
          <w:color w:val="auto"/>
        </w:rPr>
      </w:pPr>
    </w:p>
    <w:p>
      <w:pPr>
        <w:ind w:left="640" w:right="879" w:firstLine="702"/>
        <w:spacing w:after="0" w:line="293" w:lineRule="auto"/>
        <w:rPr>
          <w:sz w:val="20"/>
          <w:szCs w:val="20"/>
          <w:color w:val="auto"/>
        </w:rPr>
      </w:pPr>
      <w:r>
        <w:rPr>
          <w:rFonts w:ascii="Times New Roman" w:cs="Times New Roman" w:eastAsia="Times New Roman" w:hAnsi="Times New Roman"/>
          <w:sz w:val="14"/>
          <w:szCs w:val="14"/>
          <w:color w:val="auto"/>
        </w:rPr>
        <w:t>During each of the three months ended March 31, 2024 and 2023, certain related parties that are party to the Rani LLC Agreement exchanged zero Paired Interests for an equal number of shares of the Company's Class A common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185" w:lineRule="exact"/>
        <w:rPr>
          <w:sz w:val="20"/>
          <w:szCs w:val="20"/>
          <w:color w:val="auto"/>
        </w:rPr>
      </w:pPr>
    </w:p>
    <w:p>
      <w:pPr>
        <w:ind w:left="640" w:right="639" w:firstLine="702"/>
        <w:spacing w:after="0" w:line="261"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372745</wp:posOffset>
            </wp:positionV>
            <wp:extent cx="494474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09" w:right="1440" w:bottom="1440" w:gutter="0" w:footer="0" w:header="0"/>
        </w:sectPr>
      </w:pPr>
    </w:p>
    <w:bookmarkStart w:id="16" w:name="page17"/>
    <w:bookmarkEnd w:id="16"/>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spacing w:after="0" w:line="146"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The Company accounted for the lease extension as a lease modification that did not result in a separate contract and recognized the right-of-use asset and lease liabilities associated with the Rani LLC-ICL Service Agreement in the consolidated balance sheet as of the modification date in July 2022. In December 2023, the Company provided to ICL notice of termination of the Occupancy Services in San Antonio, which termination will take effect in June 2024. In March 2024, the Company extended the facility in Milpitas, California for an additional six-month term through August 2024 and increased the payment for such Occupancy Services during the extension period. As of March 31, 2024, both leases were determined to be short-term.</w:t>
      </w:r>
    </w:p>
    <w:p>
      <w:pPr>
        <w:spacing w:after="0" w:line="150" w:lineRule="exact"/>
        <w:rPr>
          <w:sz w:val="20"/>
          <w:szCs w:val="20"/>
          <w:color w:val="auto"/>
        </w:rPr>
      </w:pPr>
    </w:p>
    <w:p>
      <w:pPr>
        <w:ind w:left="640" w:right="639" w:firstLine="702"/>
        <w:spacing w:after="0" w:line="265" w:lineRule="auto"/>
        <w:rPr>
          <w:sz w:val="20"/>
          <w:szCs w:val="20"/>
          <w:color w:val="auto"/>
        </w:rPr>
      </w:pPr>
      <w:r>
        <w:rPr>
          <w:rFonts w:ascii="Times New Roman" w:cs="Times New Roman" w:eastAsia="Times New Roman" w:hAnsi="Times New Roman"/>
          <w:sz w:val="14"/>
          <w:szCs w:val="14"/>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144" w:lineRule="exact"/>
        <w:rPr>
          <w:sz w:val="20"/>
          <w:szCs w:val="20"/>
          <w:color w:val="auto"/>
        </w:rPr>
      </w:pPr>
    </w:p>
    <w:p>
      <w:pPr>
        <w:ind w:left="640" w:right="699" w:firstLine="702"/>
        <w:spacing w:after="0" w:line="275" w:lineRule="auto"/>
        <w:rPr>
          <w:sz w:val="20"/>
          <w:szCs w:val="20"/>
          <w:color w:val="auto"/>
        </w:rPr>
      </w:pPr>
      <w:r>
        <w:rPr>
          <w:rFonts w:ascii="Times New Roman" w:cs="Times New Roman" w:eastAsia="Times New Roman" w:hAnsi="Times New Roman"/>
          <w:sz w:val="14"/>
          <w:szCs w:val="14"/>
          <w:color w:val="auto"/>
        </w:rPr>
        <w:t>Supplemental information on the Company’s condensed consolidated balance sheet and statements of cash flows as of March 31, 2024 and 2023 and for the three months ended March 31, 2024 and 2023, respectively, related to the Company's leases was as follows (in thousands):</w:t>
      </w:r>
    </w:p>
    <w:p>
      <w:pPr>
        <w:spacing w:after="0" w:line="141"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4500" w:type="dxa"/>
            <w:vAlign w:val="bottom"/>
          </w:tcPr>
          <w:p>
            <w:pPr>
              <w:spacing w:after="0"/>
              <w:rPr>
                <w:sz w:val="11"/>
                <w:szCs w:val="11"/>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6"/>
                <w:szCs w:val="16"/>
                <w:color w:val="auto"/>
              </w:rPr>
            </w:pPr>
          </w:p>
        </w:tc>
      </w:tr>
      <w:tr>
        <w:trPr>
          <w:trHeight w:val="186"/>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10.4 %</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10.4 %</w:t>
            </w:r>
          </w:p>
        </w:tc>
      </w:tr>
      <w:tr>
        <w:trPr>
          <w:trHeight w:val="320"/>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amounts included in lease liabilities:</w:t>
            </w:r>
          </w:p>
        </w:tc>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64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tcPr>
          <w:p>
            <w:pPr>
              <w:spacing w:after="0"/>
              <w:rPr>
                <w:sz w:val="16"/>
                <w:szCs w:val="16"/>
                <w:color w:val="auto"/>
              </w:rPr>
            </w:pPr>
          </w:p>
        </w:tc>
      </w:tr>
    </w:tbl>
    <w:p>
      <w:pPr>
        <w:spacing w:after="0" w:line="165" w:lineRule="exact"/>
        <w:rPr>
          <w:sz w:val="20"/>
          <w:szCs w:val="20"/>
          <w:color w:val="auto"/>
        </w:rPr>
      </w:pPr>
    </w:p>
    <w:p>
      <w:pPr>
        <w:ind w:left="640" w:right="739" w:firstLine="702"/>
        <w:spacing w:after="0" w:line="293" w:lineRule="auto"/>
        <w:rPr>
          <w:sz w:val="20"/>
          <w:szCs w:val="20"/>
          <w:color w:val="auto"/>
        </w:rPr>
      </w:pPr>
      <w:r>
        <w:rPr>
          <w:rFonts w:ascii="Times New Roman" w:cs="Times New Roman" w:eastAsia="Times New Roman" w:hAnsi="Times New Roman"/>
          <w:sz w:val="14"/>
          <w:szCs w:val="14"/>
          <w:color w:val="auto"/>
        </w:rPr>
        <w:t>As of March 31, 2024, minimum annual rental payments under the Company’s operating lease agreements are as follows (in thousands), excluding short-term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(remaining nine months)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4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60" w:type="dxa"/>
            <w:vAlign w:val="bottom"/>
            <w:shd w:val="clear" w:color="auto" w:fill="CFF0FC"/>
          </w:tcPr>
          <w:p>
            <w:pPr>
              <w:spacing w:after="0"/>
              <w:rPr>
                <w:sz w:val="17"/>
                <w:szCs w:val="17"/>
                <w:color w:val="auto"/>
              </w:rPr>
            </w:pPr>
          </w:p>
        </w:tc>
      </w:tr>
      <w:tr>
        <w:trPr>
          <w:trHeight w:val="18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60" w:type="dxa"/>
            <w:vAlign w:val="bottom"/>
          </w:tcPr>
          <w:p>
            <w:pPr>
              <w:spacing w:after="0"/>
              <w:rPr>
                <w:sz w:val="15"/>
                <w:szCs w:val="15"/>
                <w:color w:val="auto"/>
              </w:rPr>
            </w:pPr>
          </w:p>
        </w:tc>
      </w:tr>
      <w:tr>
        <w:trPr>
          <w:trHeight w:val="194"/>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4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(1,526 )</w:t>
            </w:r>
          </w:p>
        </w:tc>
      </w:tr>
      <w:tr>
        <w:trPr>
          <w:trHeight w:val="184"/>
        </w:trPr>
        <w:tc>
          <w:tcPr>
            <w:tcW w:w="54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5,971</w:t>
            </w:r>
          </w:p>
        </w:tc>
        <w:tc>
          <w:tcPr>
            <w:tcW w:w="60" w:type="dxa"/>
            <w:vAlign w:val="bottom"/>
            <w:tcBorders>
              <w:top w:val="single" w:sz="8" w:color="CFF0FC"/>
            </w:tcBorders>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6"/>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Current portion of operating lease liability</w:t>
            </w:r>
          </w:p>
        </w:tc>
        <w:tc>
          <w:tcPr>
            <w:tcW w:w="4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84"/>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 net current portion</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6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-422910</wp:posOffset>
            </wp:positionV>
            <wp:extent cx="412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1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color w:val="auto"/>
        </w:rPr>
        <w:t>8. Warrants</w:t>
      </w:r>
    </w:p>
    <w:p>
      <w:pPr>
        <w:spacing w:after="0" w:line="185" w:lineRule="exact"/>
        <w:rPr>
          <w:sz w:val="20"/>
          <w:szCs w:val="20"/>
          <w:color w:val="auto"/>
        </w:rPr>
      </w:pPr>
    </w:p>
    <w:p>
      <w:pPr>
        <w:ind w:left="640" w:right="699" w:firstLine="702"/>
        <w:spacing w:after="0" w:line="267" w:lineRule="auto"/>
        <w:rPr>
          <w:sz w:val="20"/>
          <w:szCs w:val="20"/>
          <w:color w:val="auto"/>
        </w:rPr>
      </w:pPr>
      <w:r>
        <w:rPr>
          <w:rFonts w:ascii="Times New Roman" w:cs="Times New Roman" w:eastAsia="Times New Roman" w:hAnsi="Times New Roman"/>
          <w:sz w:val="14"/>
          <w:szCs w:val="14"/>
          <w:color w:val="auto"/>
        </w:rPr>
        <w:t>In August 2022, in conjunction with a loan and security agreement (Note 11),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March 31, 2024, there were 76,336 warrants outstanding.</w:t>
      </w:r>
    </w:p>
    <w:p>
      <w:pPr>
        <w:spacing w:after="0" w:line="3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Stockholders’ Equity</w:t>
      </w:r>
    </w:p>
    <w:p>
      <w:pPr>
        <w:spacing w:after="0" w:line="185" w:lineRule="exact"/>
        <w:rPr>
          <w:sz w:val="20"/>
          <w:szCs w:val="20"/>
          <w:color w:val="auto"/>
        </w:rPr>
      </w:pPr>
    </w:p>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As of March 31, 2024, Rani Holdings held approximately 51% of the Class A Units of Rani LLC, and approximately 49% of the outstanding Class A Units of Rani LLC are held by the Continuing LLC Owners. From the date of the Organizational Transactions to March 31, 2024, 5,173,947 Paired Interests and 283,832 non-corresponding Class A Units of Rani LLC were exchanged for an equal number of shares of the Company's Class A common stock. For each of the three months ended March 31, 2024 and 2023, certain of the Continuing LLC Owners executed an exchange of zero Paired Interests and 83,377 and zero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w:t>
      </w:r>
    </w:p>
    <w:p>
      <w:pPr>
        <w:spacing w:after="0" w:line="149" w:lineRule="exact"/>
        <w:rPr>
          <w:sz w:val="20"/>
          <w:szCs w:val="20"/>
          <w:color w:val="auto"/>
        </w:rPr>
      </w:pPr>
    </w:p>
    <w:p>
      <w:pPr>
        <w:ind w:left="640" w:right="8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March 31, 2024, the Company has no sales under the Sales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7" w:lineRule="exact"/>
        <w:rPr>
          <w:sz w:val="20"/>
          <w:szCs w:val="20"/>
          <w:color w:val="auto"/>
        </w:rPr>
      </w:pPr>
    </w:p>
    <w:p>
      <w:pPr>
        <w:ind w:left="640" w:right="659" w:firstLine="702"/>
        <w:spacing w:after="0" w:line="262"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The Company is party to a TRA with certain of the Continuing LLC Owners. As of March 31, 2024,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$23.1 million at March 31, 2024.</w:t>
      </w:r>
    </w:p>
    <w:p>
      <w:pPr>
        <w:spacing w:after="0" w:line="144" w:lineRule="exact"/>
        <w:rPr>
          <w:sz w:val="20"/>
          <w:szCs w:val="20"/>
          <w:color w:val="auto"/>
        </w:rPr>
      </w:pPr>
    </w:p>
    <w:p>
      <w:pPr>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color w:val="auto"/>
        </w:rPr>
        <w:t>11. Long-Term Debt</w:t>
      </w:r>
    </w:p>
    <w:p>
      <w:pPr>
        <w:spacing w:after="0" w:line="185" w:lineRule="exact"/>
        <w:rPr>
          <w:sz w:val="20"/>
          <w:szCs w:val="20"/>
          <w:color w:val="auto"/>
        </w:rPr>
      </w:pPr>
    </w:p>
    <w:p>
      <w:pPr>
        <w:ind w:left="640" w:right="6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 The purpose of the Loans is for general corporate purposes. In exchange for access to this facility, the Company agreed to issue warrants (Note 8).</w:t>
      </w:r>
    </w:p>
    <w:p>
      <w:pPr>
        <w:spacing w:after="0" w:line="143" w:lineRule="exact"/>
        <w:rPr>
          <w:sz w:val="20"/>
          <w:szCs w:val="20"/>
          <w:color w:val="auto"/>
        </w:rPr>
      </w:pPr>
    </w:p>
    <w:p>
      <w:pPr>
        <w:ind w:left="640" w:right="639" w:firstLine="702"/>
        <w:spacing w:after="0" w:line="260" w:lineRule="auto"/>
        <w:rPr>
          <w:sz w:val="20"/>
          <w:szCs w:val="20"/>
          <w:color w:val="auto"/>
        </w:rPr>
      </w:pPr>
      <w:r>
        <w:rPr>
          <w:rFonts w:ascii="Times New Roman" w:cs="Times New Roman" w:eastAsia="Times New Roman" w:hAnsi="Times New Roman"/>
          <w:sz w:val="14"/>
          <w:szCs w:val="14"/>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March 31, 2024, the effective interest rate on the Loans was 15.66% and there were no events of default during the three months ended March 31, 2024.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March 31, 2024, the Company was in compliance with all applicable covenants under the Loan Agreement.</w:t>
      </w:r>
    </w:p>
    <w:p>
      <w:pPr>
        <w:spacing w:after="0" w:line="3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of March 31, 2024, future principal payments for the Company’s debt are as follows (in thousands):</w:t>
      </w:r>
    </w:p>
    <w:p>
      <w:pPr>
        <w:spacing w:after="0" w:line="198"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(remaining nine months)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Borders>
              <w:bottom w:val="single" w:sz="8" w:color="CFF0FC"/>
            </w:tcBorders>
          </w:tcPr>
          <w:p>
            <w:pPr>
              <w:spacing w:after="0"/>
              <w:rPr>
                <w:sz w:val="16"/>
                <w:szCs w:val="16"/>
                <w:color w:val="auto"/>
              </w:rPr>
            </w:pPr>
          </w:p>
        </w:tc>
      </w:tr>
      <w:tr>
        <w:trPr>
          <w:trHeight w:val="18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principal payments</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amount representing debt discount</w:t>
            </w: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(561 )</w:t>
            </w:r>
          </w:p>
        </w:tc>
      </w:tr>
      <w:tr>
        <w:trPr>
          <w:trHeight w:val="224"/>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29,439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66"/>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8,586</w:t>
            </w:r>
          </w:p>
        </w:tc>
        <w:tc>
          <w:tcPr>
            <w:tcW w:w="60" w:type="dxa"/>
            <w:vAlign w:val="bottom"/>
          </w:tcPr>
          <w:p>
            <w:pPr>
              <w:spacing w:after="0"/>
              <w:rPr>
                <w:sz w:val="14"/>
                <w:szCs w:val="14"/>
                <w:color w:val="auto"/>
              </w:rPr>
            </w:pPr>
          </w:p>
        </w:tc>
      </w:tr>
      <w:tr>
        <w:trPr>
          <w:trHeight w:val="224"/>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long-term debt, less current portion</w:t>
            </w: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-675640</wp:posOffset>
            </wp:positionV>
            <wp:extent cx="412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-293370</wp:posOffset>
            </wp:positionV>
            <wp:extent cx="41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-279400</wp:posOffset>
            </wp:positionV>
            <wp:extent cx="41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185" w:lineRule="exact"/>
        <w:rPr>
          <w:sz w:val="20"/>
          <w:szCs w:val="20"/>
          <w:color w:val="auto"/>
        </w:rPr>
      </w:pPr>
    </w:p>
    <w:p>
      <w:pPr>
        <w:ind w:left="640" w:right="699" w:firstLine="702"/>
        <w:spacing w:after="0" w:line="265" w:lineRule="auto"/>
        <w:rPr>
          <w:sz w:val="20"/>
          <w:szCs w:val="20"/>
          <w:color w:val="auto"/>
        </w:rPr>
      </w:pPr>
      <w:r>
        <w:rPr>
          <w:rFonts w:ascii="Times New Roman" w:cs="Times New Roman" w:eastAsia="Times New Roman" w:hAnsi="Times New Roman"/>
          <w:sz w:val="14"/>
          <w:szCs w:val="14"/>
          <w:color w:val="auto"/>
        </w:rPr>
        <w:t>The Company’s effective income tax rate was zero for each of the three months ended March 31, 2024 and 2023. As a result of the exchanges from the date of the Organizational Transactions to March 31, 2024, the Company recorded a $18.9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p>
    <w:p>
      <w:pPr>
        <w:spacing w:after="0" w:line="316" w:lineRule="exact"/>
        <w:rPr>
          <w:sz w:val="20"/>
          <w:szCs w:val="20"/>
          <w:color w:val="auto"/>
        </w:rPr>
      </w:pPr>
    </w:p>
    <w:p>
      <w:pPr>
        <w:ind w:left="640" w:right="799" w:firstLine="702"/>
        <w:spacing w:after="0" w:line="293" w:lineRule="auto"/>
        <w:rPr>
          <w:sz w:val="20"/>
          <w:szCs w:val="20"/>
          <w:color w:val="auto"/>
        </w:rPr>
      </w:pPr>
      <w:r>
        <w:rPr>
          <w:rFonts w:ascii="Times New Roman" w:cs="Times New Roman" w:eastAsia="Times New Roman" w:hAnsi="Times New Roman"/>
          <w:sz w:val="14"/>
          <w:szCs w:val="14"/>
          <w:color w:val="auto"/>
        </w:rPr>
        <w:t>There were no material changes to uncertain tax positions for the three months ended March 31, 2024 and 2023, and the Company does not anticipate material changes within the next twelve months.</w:t>
      </w:r>
    </w:p>
    <w:p>
      <w:pPr>
        <w:spacing w:after="0" w:line="29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color w:val="auto"/>
        </w:rPr>
        <w:t>13. Net Loss Per Share</w:t>
      </w:r>
    </w:p>
    <w:p>
      <w:pPr>
        <w:spacing w:after="0" w:line="185" w:lineRule="exact"/>
        <w:rPr>
          <w:sz w:val="20"/>
          <w:szCs w:val="20"/>
          <w:color w:val="auto"/>
        </w:rPr>
      </w:pPr>
    </w:p>
    <w:p>
      <w:pPr>
        <w:ind w:left="640" w:right="65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Class A common share attributable to Rani Holdings (in thousands, except per share data):</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2240" w:type="dxa"/>
            <w:vAlign w:val="bottom"/>
            <w:gridSpan w:val="4"/>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1"/>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6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right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6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8"/>
              </w:rPr>
              <w:t>(7,483 )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(8,372 )</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6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64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Class A common share outstanding—basic and</w:t>
            </w:r>
          </w:p>
        </w:tc>
        <w:tc>
          <w:tcPr>
            <w:tcW w:w="640" w:type="dxa"/>
            <w:vAlign w:val="bottom"/>
          </w:tcPr>
          <w:p>
            <w:pPr>
              <w:spacing w:after="0"/>
              <w:rPr>
                <w:sz w:val="14"/>
                <w:szCs w:val="14"/>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8"/>
              </w:rPr>
              <w:t>26,034</w:t>
            </w:r>
          </w:p>
        </w:tc>
        <w:tc>
          <w:tcPr>
            <w:tcW w:w="240" w:type="dxa"/>
            <w:vAlign w:val="bottom"/>
          </w:tcPr>
          <w:p>
            <w:pPr>
              <w:spacing w:after="0"/>
              <w:rPr>
                <w:sz w:val="14"/>
                <w:szCs w:val="14"/>
                <w:color w:val="auto"/>
              </w:rPr>
            </w:pP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25,240</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640" w:type="dxa"/>
            <w:vAlign w:val="bottom"/>
            <w:vMerge w:val="restart"/>
            <w:shd w:val="clear" w:color="auto" w:fill="CFF0FC"/>
          </w:tcPr>
          <w:p>
            <w:pPr>
              <w:jc w:val="right"/>
              <w:ind w:right="495"/>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(0.29 ) $</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0" w:type="dxa"/>
            <w:vAlign w:val="bottom"/>
          </w:tcPr>
          <w:p>
            <w:pPr>
              <w:spacing w:after="0"/>
              <w:rPr>
                <w:sz w:val="1"/>
                <w:szCs w:val="1"/>
                <w:color w:val="auto"/>
              </w:rPr>
            </w:pPr>
          </w:p>
        </w:tc>
      </w:tr>
      <w:tr>
        <w:trPr>
          <w:trHeight w:val="18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Holdings, Inc.—basic and diluted</w:t>
            </w:r>
          </w:p>
        </w:tc>
        <w:tc>
          <w:tcPr>
            <w:tcW w:w="640" w:type="dxa"/>
            <w:vAlign w:val="bottom"/>
            <w:vMerge w:val="continue"/>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88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-826135</wp:posOffset>
            </wp:positionV>
            <wp:extent cx="412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-826135</wp:posOffset>
            </wp:positionV>
            <wp:extent cx="412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-19685</wp:posOffset>
            </wp:positionV>
            <wp:extent cx="4127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-6350</wp:posOffset>
            </wp:positionV>
            <wp:extent cx="412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9" w:lineRule="exact"/>
        <w:rPr>
          <w:sz w:val="20"/>
          <w:szCs w:val="20"/>
          <w:color w:val="auto"/>
        </w:rPr>
      </w:pPr>
    </w:p>
    <w:p>
      <w:pPr>
        <w:ind w:left="640" w:right="109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 shows the total outstanding securities considered anti-dilutive and therefore excluded from the computation of diluted net loss per Class A common share attributable to Rani Holdings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4340" w:type="dxa"/>
            <w:vAlign w:val="bottom"/>
          </w:tcPr>
          <w:p>
            <w:pPr>
              <w:spacing w:after="0"/>
              <w:rPr>
                <w:sz w:val="11"/>
                <w:szCs w:val="11"/>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Paired Interests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60" w:type="dxa"/>
            <w:vAlign w:val="bottom"/>
            <w:shd w:val="clear" w:color="auto" w:fill="CFF0FC"/>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60" w:type="dxa"/>
            <w:vAlign w:val="bottom"/>
          </w:tcPr>
          <w:p>
            <w:pPr>
              <w:spacing w:after="0"/>
              <w:rPr>
                <w:sz w:val="16"/>
                <w:szCs w:val="16"/>
                <w:color w:val="auto"/>
              </w:rPr>
            </w:pPr>
          </w:p>
        </w:tc>
      </w:tr>
      <w:tr>
        <w:trPr>
          <w:trHeight w:val="1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Non-corresponding Class A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shd w:val="clear" w:color="auto" w:fill="CFF0FC"/>
          </w:tcPr>
          <w:p>
            <w:pPr>
              <w:spacing w:after="0"/>
              <w:rPr>
                <w:sz w:val="17"/>
                <w:szCs w:val="17"/>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60" w:type="dxa"/>
            <w:vAlign w:val="bottom"/>
          </w:tcPr>
          <w:p>
            <w:pPr>
              <w:spacing w:after="0"/>
              <w:rPr>
                <w:sz w:val="16"/>
                <w:szCs w:val="16"/>
                <w:color w:val="auto"/>
              </w:rPr>
            </w:pPr>
          </w:p>
        </w:tc>
      </w:tr>
      <w:tr>
        <w:trPr>
          <w:trHeight w:val="1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shd w:val="clear" w:color="auto" w:fill="CFF0FC"/>
          </w:tcPr>
          <w:p>
            <w:pPr>
              <w:spacing w:after="0"/>
              <w:rPr>
                <w:sz w:val="17"/>
                <w:szCs w:val="17"/>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6"/>
                <w:szCs w:val="16"/>
                <w:color w:val="auto"/>
              </w:rPr>
            </w:pPr>
          </w:p>
        </w:tc>
      </w:tr>
      <w:tr>
        <w:trPr>
          <w:trHeight w:val="194"/>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3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37,041</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33,268</w:t>
            </w:r>
          </w:p>
        </w:tc>
        <w:tc>
          <w:tcPr>
            <w:tcW w:w="60" w:type="dxa"/>
            <w:vAlign w:val="bottom"/>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-149860</wp:posOffset>
            </wp:positionV>
            <wp:extent cx="412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719" w:firstLine="702"/>
        <w:spacing w:after="0" w:line="267" w:lineRule="auto"/>
        <w:rPr>
          <w:sz w:val="20"/>
          <w:szCs w:val="20"/>
          <w:color w:val="auto"/>
        </w:rPr>
      </w:pPr>
      <w:r>
        <w:rPr>
          <w:rFonts w:ascii="Times New Roman" w:cs="Times New Roman" w:eastAsia="Times New Roman" w:hAnsi="Times New Roman"/>
          <w:sz w:val="14"/>
          <w:szCs w:val="14"/>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months ended March 31, 2024. Therefore, they are not included in the computation of net loss per Class A common share attributable to Rani Therapeutics Holdings, Inc.</w:t>
      </w:r>
    </w:p>
    <w:p>
      <w:pPr>
        <w:spacing w:after="0" w:line="3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68"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2023,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our Annual Report on Form 10-K for the year ended December 31, 2023. Please also see the section titled “Forward Looking Statements.”</w:t>
      </w:r>
    </w:p>
    <w:p>
      <w:pPr>
        <w:spacing w:after="0" w:line="146" w:lineRule="exact"/>
        <w:rPr>
          <w:sz w:val="20"/>
          <w:szCs w:val="20"/>
          <w:color w:val="auto"/>
        </w:rPr>
      </w:pPr>
    </w:p>
    <w:p>
      <w:pPr>
        <w:ind w:left="640" w:right="839" w:firstLine="702"/>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calendar year 2023 and the three months ended March 31, 2024 and 2023, respectively, which represents the condensed consolidated financial results of Rani Therapeutics Holdings, Inc. (the "Company") and its subsidiary, Rani Therapeutics, LLC (“Rani LLC”) for the year ended December 31, 2023 and the three months ended March 31, 2024 and 2023, respectively. Unless we state otherwise or the context otherwise requires, the terms “we,” “us,” “our,” and “Rani” and similar references refers to the Company and its consolidated subsidiary.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640" w:right="779" w:firstLine="702"/>
        <w:spacing w:after="0" w:line="268" w:lineRule="auto"/>
        <w:rPr>
          <w:sz w:val="20"/>
          <w:szCs w:val="20"/>
          <w:color w:val="auto"/>
        </w:rPr>
      </w:pPr>
      <w:r>
        <w:rPr>
          <w:rFonts w:ascii="Times New Roman" w:cs="Times New Roman" w:eastAsia="Times New Roman" w:hAnsi="Times New Roman"/>
          <w:sz w:val="14"/>
          <w:szCs w:val="14"/>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42" w:lineRule="exact"/>
        <w:rPr>
          <w:sz w:val="20"/>
          <w:szCs w:val="20"/>
          <w:color w:val="auto"/>
        </w:rPr>
      </w:pPr>
    </w:p>
    <w:p>
      <w:pPr>
        <w:ind w:left="640" w:right="659" w:firstLine="702"/>
        <w:spacing w:after="0" w:line="262"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2024.</w:t>
      </w:r>
    </w:p>
    <w:p>
      <w:pPr>
        <w:spacing w:after="0" w:line="147" w:lineRule="exact"/>
        <w:rPr>
          <w:sz w:val="20"/>
          <w:szCs w:val="20"/>
          <w:color w:val="auto"/>
        </w:rPr>
      </w:pPr>
    </w:p>
    <w:p>
      <w:pPr>
        <w:ind w:left="640" w:right="959" w:firstLine="702"/>
        <w:spacing w:after="0" w:line="293" w:lineRule="auto"/>
        <w:rPr>
          <w:sz w:val="20"/>
          <w:szCs w:val="20"/>
          <w:color w:val="auto"/>
        </w:rPr>
      </w:pPr>
      <w:r>
        <w:rPr>
          <w:rFonts w:ascii="Times New Roman" w:cs="Times New Roman" w:eastAsia="Times New Roman" w:hAnsi="Times New Roman"/>
          <w:sz w:val="14"/>
          <w:szCs w:val="14"/>
          <w:color w:val="auto"/>
        </w:rPr>
        <w:t>We believe that, together, the RaniPill GO and RaniPill HC could enable us to deliver most biologics currently on the market with convenient, oral dosing.</w:t>
      </w:r>
    </w:p>
    <w:p>
      <w:pPr>
        <w:spacing w:after="0" w:line="123" w:lineRule="exact"/>
        <w:rPr>
          <w:sz w:val="20"/>
          <w:szCs w:val="20"/>
          <w:color w:val="auto"/>
        </w:rPr>
      </w:pPr>
    </w:p>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1" w:name="page22"/>
    <w:bookmarkEnd w:id="21"/>
    <w:p>
      <w:pPr>
        <w:jc w:val="both"/>
        <w:ind w:left="640" w:right="759" w:firstLine="702"/>
        <w:spacing w:after="0" w:line="263" w:lineRule="auto"/>
        <w:rPr>
          <w:sz w:val="20"/>
          <w:szCs w:val="20"/>
          <w:color w:val="auto"/>
        </w:rPr>
      </w:pPr>
      <w:r>
        <w:rPr>
          <w:rFonts w:ascii="Times New Roman" w:cs="Times New Roman" w:eastAsia="Times New Roman" w:hAnsi="Times New Roman"/>
          <w:sz w:val="14"/>
          <w:szCs w:val="14"/>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w:t>
      </w:r>
    </w:p>
    <w:p>
      <w:pPr>
        <w:spacing w:after="0" w:line="1"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auto"/>
        </w:rPr>
        <w:t>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49"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As of March 31, 2024, our cash, cash equivalents and marketable securities totaled $39.6 million.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or other arrangements with other companies, or through other sources of financing.</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RT-111 Update</w:t>
      </w:r>
    </w:p>
    <w:p>
      <w:pPr>
        <w:spacing w:after="0" w:line="187" w:lineRule="exact"/>
        <w:rPr>
          <w:sz w:val="20"/>
          <w:szCs w:val="20"/>
          <w:color w:val="auto"/>
        </w:rPr>
      </w:pPr>
    </w:p>
    <w:p>
      <w:pPr>
        <w:ind w:left="640" w:right="739" w:firstLine="702"/>
        <w:spacing w:after="0" w:line="264" w:lineRule="auto"/>
        <w:rPr>
          <w:sz w:val="20"/>
          <w:szCs w:val="20"/>
          <w:color w:val="auto"/>
        </w:rPr>
      </w:pPr>
      <w:r>
        <w:rPr>
          <w:rFonts w:ascii="Times New Roman" w:cs="Times New Roman" w:eastAsia="Times New Roman" w:hAnsi="Times New Roman"/>
          <w:sz w:val="14"/>
          <w:szCs w:val="14"/>
          <w:color w:val="auto"/>
        </w:rPr>
        <w:t>In February 2024, we announced positive topline results from a Phase 1 study of RT-111, the RaniPill capsule containing ustekinumab biosimilar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 There was no meaningful difference in incidence of anti-drug antibodies in the groups receiving RT-111 compared to the group that received STELARA® (ustekinumab) via subcutaneous injection.</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w:t>
      </w:r>
    </w:p>
    <w:p>
      <w:pPr>
        <w:spacing w:after="0" w:line="187" w:lineRule="exact"/>
        <w:rPr>
          <w:sz w:val="20"/>
          <w:szCs w:val="20"/>
          <w:color w:val="auto"/>
        </w:rPr>
      </w:pPr>
    </w:p>
    <w:p>
      <w:pPr>
        <w:ind w:left="640" w:right="1019" w:firstLine="702"/>
        <w:spacing w:after="0" w:line="275"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we are leasing approximately 33,000 square feet of space in Fremont, California, which is part of a two-building project (the “Project”).</w:t>
      </w:r>
    </w:p>
    <w:p>
      <w:pPr>
        <w:spacing w:after="0" w:line="135"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The initial term of the Lease commenced in February 2024, and the duration of the initial term is 63 months. Subject to certain conditions, we have an option to renew the Lease for one additional 5-year term at the then-prevailing market rate. The monthly base rent for the initial term of the Lease is approximately $95,000 per month, subject to a 4% increase each year. We are also responsible for the payment of additional rent to cover our share of common area operating expenses, including taxes, insurance, utilities, and repair and maintenance of the premises and common areas of the Project.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Relationship with InCube Labs, LLC</w:t>
      </w:r>
    </w:p>
    <w:p>
      <w:pPr>
        <w:spacing w:after="0" w:line="185" w:lineRule="exact"/>
        <w:rPr>
          <w:sz w:val="20"/>
          <w:szCs w:val="20"/>
          <w:color w:val="auto"/>
        </w:rPr>
      </w:pPr>
    </w:p>
    <w:p>
      <w:pPr>
        <w:ind w:left="640" w:right="639" w:firstLine="702"/>
        <w:spacing w:after="0" w:line="293" w:lineRule="auto"/>
        <w:rPr>
          <w:sz w:val="20"/>
          <w:szCs w:val="20"/>
          <w:color w:val="auto"/>
        </w:rPr>
      </w:pPr>
      <w:r>
        <w:rPr>
          <w:rFonts w:ascii="Times New Roman" w:cs="Times New Roman" w:eastAsia="Times New Roman" w:hAnsi="Times New Roman"/>
          <w:sz w:val="14"/>
          <w:szCs w:val="14"/>
          <w:color w:val="auto"/>
        </w:rPr>
        <w:t>See Note 6 to the condensed consolidated financial statements contained in Part I, Item 1 of this Quarterly Report on Form 10-Q for additional information.</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ind w:left="640" w:right="759" w:firstLine="702"/>
        <w:spacing w:after="0" w:line="265"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2024 and 2023</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9"/>
          </w:tcPr>
          <w:p>
            <w:pPr>
              <w:ind w:lef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14,034</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16,516</w:t>
            </w:r>
          </w:p>
        </w:tc>
        <w:tc>
          <w:tcPr>
            <w:tcW w:w="12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(15.0 )%</w:t>
            </w:r>
          </w:p>
        </w:tc>
        <w:tc>
          <w:tcPr>
            <w:tcW w:w="0" w:type="dxa"/>
            <w:vAlign w:val="bottom"/>
          </w:tcPr>
          <w:p>
            <w:pPr>
              <w:spacing w:after="0"/>
              <w:rPr>
                <w:sz w:val="1"/>
                <w:szCs w:val="1"/>
                <w:color w:val="auto"/>
              </w:rPr>
            </w:pPr>
          </w:p>
        </w:tc>
      </w:tr>
      <w:tr>
        <w:trPr>
          <w:trHeight w:val="185"/>
        </w:trPr>
        <w:tc>
          <w:tcPr>
            <w:tcW w:w="3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(14,034 )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(16,516 )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(1,294 )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(1,207 )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(14,779 )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(16,832 )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(7,296 )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(8,460 )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(7,483 )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(8,372 )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-1031240</wp:posOffset>
            </wp:positionV>
            <wp:extent cx="412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-1031240</wp:posOffset>
            </wp:positionV>
            <wp:extent cx="4127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-19685</wp:posOffset>
            </wp:positionV>
            <wp:extent cx="4127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-6350</wp:posOffset>
            </wp:positionV>
            <wp:extent cx="412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-19685</wp:posOffset>
            </wp:positionV>
            <wp:extent cx="412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-6350</wp:posOffset>
            </wp:positionV>
            <wp:extent cx="41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-19685</wp:posOffset>
            </wp:positionV>
            <wp:extent cx="412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-6350</wp:posOffset>
            </wp:positionV>
            <wp:extent cx="412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45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58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5,748</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-19685</wp:posOffset>
            </wp:positionV>
            <wp:extent cx="412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-6350</wp:posOffset>
            </wp:positionV>
            <wp:extent cx="4127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739" w:firstLine="516"/>
        <w:spacing w:after="0" w:line="275" w:lineRule="auto"/>
        <w:rPr>
          <w:sz w:val="20"/>
          <w:szCs w:val="20"/>
          <w:color w:val="auto"/>
        </w:rPr>
      </w:pPr>
      <w:r>
        <w:rPr>
          <w:rFonts w:ascii="Times New Roman" w:cs="Times New Roman" w:eastAsia="Times New Roman" w:hAnsi="Times New Roman"/>
          <w:sz w:val="14"/>
          <w:szCs w:val="14"/>
          <w:color w:val="auto"/>
        </w:rPr>
        <w:t>The decrease of $2.1 million in research and development expenses in the three months ended March 31, 2024, as compared to the same period in 2023, was primarily attributed to lower compensation costs of $1.6 million due to reduction in workforce and $0.4 million reduction in third-party service costs.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jc w:val="both"/>
        <w:ind w:left="640" w:right="1119" w:firstLine="702"/>
        <w:spacing w:after="0" w:line="275" w:lineRule="auto"/>
        <w:rPr>
          <w:sz w:val="20"/>
          <w:szCs w:val="20"/>
          <w:color w:val="auto"/>
        </w:rPr>
      </w:pPr>
      <w:r>
        <w:rPr>
          <w:rFonts w:ascii="Times New Roman" w:cs="Times New Roman" w:eastAsia="Times New Roman" w:hAnsi="Times New Roman"/>
          <w:sz w:val="14"/>
          <w:szCs w:val="14"/>
          <w:color w:val="auto"/>
        </w:rPr>
        <w:t>The decrease of $0.4 million in general and administrative expenses in the three months ended March 31, 2024, as compared to the same period in 2023, was primarily attributed to lower compensation costs of $0.2 million due to reduction in workforce and $0.2 million reduction in other costs.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759" w:firstLine="702"/>
        <w:spacing w:after="0" w:line="275" w:lineRule="auto"/>
        <w:rPr>
          <w:sz w:val="20"/>
          <w:szCs w:val="20"/>
          <w:color w:val="auto"/>
        </w:rPr>
      </w:pPr>
      <w:r>
        <w:rPr>
          <w:rFonts w:ascii="Times New Roman" w:cs="Times New Roman" w:eastAsia="Times New Roman" w:hAnsi="Times New Roman"/>
          <w:sz w:val="14"/>
          <w:szCs w:val="14"/>
          <w:color w:val="auto"/>
        </w:rPr>
        <w:t>The increase of $0.4 million in other expense, net, in the three months ended March 31, 2024, as compared to the same period in 2023, was primarily attributed to a decrease in interest income of $0.3 million from our investment in marketable securities and an increase interest expense of $0.1 million from our debt.</w:t>
      </w:r>
    </w:p>
    <w:p>
      <w:pPr>
        <w:spacing w:after="0" w:line="13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7" w:lineRule="exact"/>
        <w:rPr>
          <w:sz w:val="20"/>
          <w:szCs w:val="20"/>
          <w:color w:val="auto"/>
        </w:rPr>
      </w:pPr>
    </w:p>
    <w:p>
      <w:pPr>
        <w:ind w:left="640" w:right="699" w:firstLine="702"/>
        <w:spacing w:after="0" w:line="260"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including net loss of $14.8 million for three months ended March 31, 2024. As of March 31, 2024, we had an accumulated deficit of $80.4 million and for three months ended March 31, 2024, had negative cash flows from operations of $9.4 million. As of March 31, 2024, our cash, cash equivalents and marketable securities totaled $39.6 million.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our IPO and term loans we received under the Loan Agreement,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three months ended March 31, 2024 are issued. If we are unable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Financial Update</w:t>
      </w:r>
    </w:p>
    <w:p>
      <w:pPr>
        <w:spacing w:after="0" w:line="187" w:lineRule="exact"/>
        <w:rPr>
          <w:sz w:val="20"/>
          <w:szCs w:val="20"/>
          <w:color w:val="auto"/>
        </w:rPr>
      </w:pPr>
    </w:p>
    <w:p>
      <w:pPr>
        <w:ind w:left="640" w:right="719" w:firstLine="702"/>
        <w:spacing w:after="0" w:line="261" w:lineRule="auto"/>
        <w:rPr>
          <w:sz w:val="20"/>
          <w:szCs w:val="20"/>
          <w:color w:val="auto"/>
        </w:rPr>
      </w:pPr>
      <w:r>
        <w:rPr>
          <w:rFonts w:ascii="Times New Roman" w:cs="Times New Roman" w:eastAsia="Times New Roman" w:hAnsi="Times New Roman"/>
          <w:sz w:val="14"/>
          <w:szCs w:val="14"/>
          <w:color w:val="auto"/>
        </w:rPr>
        <w:t>In November 2023, we committed to a plan for strategic prioritization of our programs, expansion of our manufacturing and streamlining of our business operations to support potential near-term value drivers and long-term growth (the “Restructuring”). The Restructuring included a reduction of our workforce by approximately 25%. As a result of the Restructuring, we estimate that we will incur approximately $0.3 million in costs of which nearly all are cash expenditures related to severance and half of which has been incurred to date. We expect the Restructuring to be substantially completed by the end of the second quarter of 2024.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w:t>
      </w:r>
    </w:p>
    <w:p>
      <w:pPr>
        <w:spacing w:after="0" w:line="146"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spacing w:after="0" w:line="144" w:lineRule="exact"/>
        <w:rPr>
          <w:sz w:val="20"/>
          <w:szCs w:val="20"/>
          <w:color w:val="auto"/>
        </w:rPr>
      </w:pPr>
    </w:p>
    <w:p>
      <w:pPr>
        <w:ind w:left="640" w:right="699" w:firstLine="702"/>
        <w:spacing w:after="0" w:line="261" w:lineRule="auto"/>
        <w:rPr>
          <w:sz w:val="20"/>
          <w:szCs w:val="20"/>
          <w:color w:val="auto"/>
        </w:rPr>
      </w:pPr>
      <w:r>
        <w:rPr>
          <w:rFonts w:ascii="Times New Roman" w:cs="Times New Roman" w:eastAsia="Times New Roman" w:hAnsi="Times New Roman"/>
          <w:sz w:val="14"/>
          <w:szCs w:val="14"/>
          <w:color w:val="auto"/>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As of March 31, 2024, we were in compliance with all applicable debt covenants under the Loan Agreement.</w:t>
      </w:r>
    </w:p>
    <w:p>
      <w:pPr>
        <w:spacing w:after="0" w:line="149"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In August 2022, we entered into a Controlled Equity Sales Agreement (the "Sales Agreement") with Cantor Fitzgerald &amp; Co. and H.C. Wainwright &amp; Co., LLC (collectively the "Agents"), pursuant to which we may offer and sell from time to time through the Agents up to $150.0 million of shares of its Class A common stock, in such share amounts as we may specify by notice to the Agents, in accordance with the terms and conditions set forth in the Sales Agreement. The potential proceeds from the Sales Agreement are expected to be used for general corporate purposes. As of March 31, 2024, we had no sales under the Sales Agreement.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919" w:firstLine="702"/>
        <w:spacing w:after="0" w:line="293" w:lineRule="auto"/>
        <w:rPr>
          <w:sz w:val="20"/>
          <w:szCs w:val="20"/>
          <w:color w:val="auto"/>
        </w:rPr>
      </w:pPr>
      <w:r>
        <w:rPr>
          <w:rFonts w:ascii="Times New Roman" w:cs="Times New Roman" w:eastAsia="Times New Roman" w:hAnsi="Times New Roman"/>
          <w:sz w:val="14"/>
          <w:szCs w:val="14"/>
          <w:color w:val="auto"/>
        </w:rPr>
        <w:t>See Note 10 to the condensed consolidated financial statements contained in Part I, Item 1 of this Quarterly Report on Form 10-Q for additional information.</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640" w:right="679" w:firstLine="702"/>
        <w:spacing w:after="0" w:line="268" w:lineRule="auto"/>
        <w:rPr>
          <w:sz w:val="20"/>
          <w:szCs w:val="20"/>
          <w:color w:val="auto"/>
        </w:rPr>
      </w:pPr>
      <w:r>
        <w:rPr>
          <w:rFonts w:ascii="Times New Roman" w:cs="Times New Roman" w:eastAsia="Times New Roman" w:hAnsi="Times New Roman"/>
          <w:sz w:val="14"/>
          <w:szCs w:val="14"/>
          <w:color w:val="auto"/>
        </w:rPr>
        <w:t>Our existing capital resources, including the net proceeds from our IPO and Loans,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42" w:lineRule="exact"/>
        <w:rPr>
          <w:sz w:val="20"/>
          <w:szCs w:val="20"/>
          <w:color w:val="auto"/>
        </w:rPr>
      </w:pPr>
    </w:p>
    <w:p>
      <w:pPr>
        <w:ind w:left="640" w:right="779" w:firstLine="702"/>
        <w:spacing w:after="0" w:line="262" w:lineRule="auto"/>
        <w:rPr>
          <w:sz w:val="20"/>
          <w:szCs w:val="20"/>
          <w:color w:val="auto"/>
        </w:rPr>
      </w:pPr>
      <w:r>
        <w:rPr>
          <w:rFonts w:ascii="Times New Roman" w:cs="Times New Roman" w:eastAsia="Times New Roman" w:hAnsi="Times New Roman"/>
          <w:sz w:val="14"/>
          <w:szCs w:val="14"/>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w:t>
      </w:r>
    </w:p>
    <w:p>
      <w:pPr>
        <w:spacing w:after="0" w:line="147" w:lineRule="exact"/>
        <w:rPr>
          <w:sz w:val="20"/>
          <w:szCs w:val="20"/>
          <w:color w:val="auto"/>
        </w:rPr>
      </w:pPr>
    </w:p>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58" w:lineRule="exact"/>
        <w:rPr>
          <w:sz w:val="20"/>
          <w:szCs w:val="20"/>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of and timing of our preclinical studies and clinical trials;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7" w:lineRule="exact"/>
        <w:rPr>
          <w:rFonts w:ascii="Times New Roman" w:cs="Times New Roman" w:eastAsia="Times New Roman" w:hAnsi="Times New Roman"/>
          <w:sz w:val="14"/>
          <w:szCs w:val="14"/>
          <w:color w:val="auto"/>
        </w:rPr>
      </w:pPr>
    </w:p>
    <w:p>
      <w:pPr>
        <w:ind w:left="1680" w:right="819" w:hanging="347"/>
        <w:spacing w:after="0" w:line="268"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spacing w:after="0" w:line="55"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7" w:lineRule="exact"/>
        <w:rPr>
          <w:rFonts w:ascii="Times New Roman" w:cs="Times New Roman" w:eastAsia="Times New Roman" w:hAnsi="Times New Roman"/>
          <w:sz w:val="14"/>
          <w:szCs w:val="14"/>
          <w:color w:val="auto"/>
        </w:rPr>
      </w:pPr>
    </w:p>
    <w:p>
      <w:pPr>
        <w:ind w:left="1680" w:right="919" w:hanging="347"/>
        <w:spacing w:after="0" w:line="293"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our product candidates, including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7" w:lineRule="exact"/>
        <w:rPr>
          <w:rFonts w:ascii="Times New Roman" w:cs="Times New Roman" w:eastAsia="Times New Roman" w:hAnsi="Times New Roman"/>
          <w:sz w:val="14"/>
          <w:szCs w:val="14"/>
          <w:color w:val="auto"/>
        </w:rPr>
      </w:pPr>
    </w:p>
    <w:p>
      <w:pPr>
        <w:ind w:left="1680" w:right="639" w:hanging="347"/>
        <w:spacing w:after="0" w:line="27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49"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183"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183" w:lineRule="exact"/>
        <w:rPr>
          <w:rFonts w:ascii="Times New Roman" w:cs="Times New Roman" w:eastAsia="Times New Roman" w:hAnsi="Times New Roman"/>
          <w:sz w:val="14"/>
          <w:szCs w:val="14"/>
          <w:color w:val="auto"/>
        </w:rPr>
      </w:pPr>
    </w:p>
    <w:p>
      <w:pPr>
        <w:ind w:left="1680" w:right="839" w:hanging="347"/>
        <w:spacing w:after="0" w:line="293"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have implemented or additional measures we may implement; and</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5" w:name="page26"/>
    <w:bookmarkEnd w:id="25"/>
    <w:p>
      <w:pPr>
        <w:ind w:left="1680" w:right="839" w:hanging="347"/>
        <w:spacing w:after="0" w:line="293"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w:t>
      </w:r>
    </w:p>
    <w:p>
      <w:pPr>
        <w:spacing w:after="0" w:line="123"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Quarterly Report on Form 10-Q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cash equivalents and marketable securities:</w:t>
      </w:r>
    </w:p>
    <w:p>
      <w:pPr>
        <w:spacing w:after="0" w:line="254"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5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39,581</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48,539</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-19685</wp:posOffset>
            </wp:positionV>
            <wp:extent cx="4127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-6350</wp:posOffset>
            </wp:positionV>
            <wp:extent cx="4127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As of March 31, 2024, we had cash and cash equivalents and marketable securities of $39.6 million, compared to $48.5 million as of December 31, 2023. Based on our available cash resources and current operating plan, there is substantial doubt regarding our ability to continue as a going concern for a period of one year after the date that our financial statements for the three months ended March 31, 2024 are issued. Our existing capital resources, including the net proceeds from our IPO and Loans, will not be sufficient to fund our projected operating requirements for a twelve-month period from the issuance of our financial statements.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45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(9,402 )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(12,154 )</w:t>
            </w: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6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(8,023 )</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ind w:left="640" w:right="799" w:firstLine="702"/>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2024 was $9.4 million, which was primarily attributable to a net loss of $14.8 million and net accretion and amortization of investments in marketable securities of $0.3 million, partially offset by the stock-based compensation expense of $3.9 million and depreciation and amortization expense of $0.2 million. Additionally, there was a decrease of $0.5 million in prepaid expenses and other current assets and an increase in accrued expenses and other current liabilities and accounts payable of $0.9 million and $0.2 million for the three months ended March 31, 2024, respectively.</w:t>
      </w:r>
    </w:p>
    <w:p>
      <w:pPr>
        <w:spacing w:after="0" w:line="316" w:lineRule="exact"/>
        <w:rPr>
          <w:sz w:val="20"/>
          <w:szCs w:val="20"/>
          <w:color w:val="auto"/>
        </w:rPr>
      </w:pPr>
    </w:p>
    <w:p>
      <w:pPr>
        <w:ind w:left="640" w:right="739" w:firstLine="702"/>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2023 was $12.2 million, which was primarily attributable to a net loss of $16.8 million and net accretion and amortization of investments in marketable securities of $0.7 million, partially offset by stock-based compensation expense of $4.4 million and non-cash depreciation and amortization expense of $0.2 million. Additionally, there was an increase in accrued expenses and other current liabilities of $0.3 million and a decrease in prepaid expenses and other current assets of $0.3 million for the three months ended March 31, 2023.</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ind w:left="640" w:right="739" w:firstLine="702"/>
        <w:spacing w:after="0" w:line="275" w:lineRule="auto"/>
        <w:rPr>
          <w:sz w:val="20"/>
          <w:szCs w:val="20"/>
          <w:color w:val="auto"/>
        </w:rPr>
      </w:pPr>
      <w:r>
        <w:rPr>
          <w:rFonts w:ascii="Times New Roman" w:cs="Times New Roman" w:eastAsia="Times New Roman" w:hAnsi="Times New Roman"/>
          <w:sz w:val="14"/>
          <w:szCs w:val="14"/>
          <w:color w:val="auto"/>
        </w:rPr>
        <w:t>For the three months ended March 31, 2024, net cash provided by investing activities was $10.3 million, which primarily consisted of $20.4 million in proceeds from maturities of marketable securities partially offset by $10.0 million in purchases of marketable securities.</w:t>
      </w:r>
    </w:p>
    <w:p>
      <w:pPr>
        <w:spacing w:after="0" w:line="135" w:lineRule="exact"/>
        <w:rPr>
          <w:sz w:val="20"/>
          <w:szCs w:val="20"/>
          <w:color w:val="auto"/>
        </w:rPr>
      </w:pPr>
    </w:p>
    <w:p>
      <w:pPr>
        <w:ind w:left="640" w:right="799" w:firstLine="702"/>
        <w:spacing w:after="0" w:line="275" w:lineRule="auto"/>
        <w:rPr>
          <w:sz w:val="20"/>
          <w:szCs w:val="20"/>
          <w:color w:val="auto"/>
        </w:rPr>
      </w:pPr>
      <w:r>
        <w:rPr>
          <w:rFonts w:ascii="Times New Roman" w:cs="Times New Roman" w:eastAsia="Times New Roman" w:hAnsi="Times New Roman"/>
          <w:sz w:val="14"/>
          <w:szCs w:val="14"/>
          <w:color w:val="auto"/>
        </w:rPr>
        <w:t>For the three months ended March 31, 2023, net cash provided by investing activities was $4.1 million, which primarily consisted of $23.0 million in proceeds from maturities of marketable securities partially offset by $18.6 million and $0.3 million in purchases of marketable securities and property and equipment, respectively.</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ind w:left="640" w:right="779" w:firstLine="702"/>
        <w:spacing w:after="0" w:line="293" w:lineRule="auto"/>
        <w:rPr>
          <w:sz w:val="20"/>
          <w:szCs w:val="20"/>
          <w:color w:val="auto"/>
        </w:rPr>
      </w:pPr>
      <w:r>
        <w:rPr>
          <w:rFonts w:ascii="Times New Roman" w:cs="Times New Roman" w:eastAsia="Times New Roman" w:hAnsi="Times New Roman"/>
          <w:sz w:val="14"/>
          <w:szCs w:val="14"/>
          <w:color w:val="auto"/>
        </w:rPr>
        <w:t>For the three months ended March 31, 2024, net cash provided by financing activities was $0.1 million in proceeds from employee stock purchase plan.</w:t>
      </w:r>
    </w:p>
    <w:p>
      <w:pPr>
        <w:spacing w:after="0" w:line="1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the three months ended March 31, 2023, net cash provided by financing activities was de minimis.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187" w:lineRule="exact"/>
        <w:rPr>
          <w:sz w:val="20"/>
          <w:szCs w:val="20"/>
          <w:color w:val="auto"/>
        </w:rPr>
      </w:pPr>
    </w:p>
    <w:p>
      <w:pPr>
        <w:ind w:left="640" w:right="1159" w:firstLine="702"/>
        <w:spacing w:after="0" w:line="293" w:lineRule="auto"/>
        <w:rPr>
          <w:sz w:val="20"/>
          <w:szCs w:val="20"/>
          <w:color w:val="auto"/>
        </w:rPr>
      </w:pPr>
      <w:r>
        <w:rPr>
          <w:rFonts w:ascii="Times New Roman" w:cs="Times New Roman" w:eastAsia="Times New Roman" w:hAnsi="Times New Roman"/>
          <w:sz w:val="14"/>
          <w:szCs w:val="14"/>
          <w:color w:val="auto"/>
        </w:rPr>
        <w:t>As of March 31, 2024, there have been no material changes to our contractual obligations and other commitments compared to those disclosed in our Annual Report on Form 10-K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ind w:left="640" w:right="719" w:firstLine="702"/>
        <w:spacing w:after="0" w:line="261" w:lineRule="auto"/>
        <w:rPr>
          <w:sz w:val="20"/>
          <w:szCs w:val="20"/>
          <w:color w:val="auto"/>
        </w:rPr>
      </w:pPr>
      <w:r>
        <w:rPr>
          <w:rFonts w:ascii="Times New Roman" w:cs="Times New Roman" w:eastAsia="Times New Roman" w:hAnsi="Times New Roman"/>
          <w:sz w:val="14"/>
          <w:szCs w:val="14"/>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ind w:left="640" w:right="999" w:firstLine="702"/>
        <w:spacing w:after="0" w:line="293" w:lineRule="auto"/>
        <w:rPr>
          <w:sz w:val="20"/>
          <w:szCs w:val="20"/>
          <w:color w:val="auto"/>
        </w:rPr>
      </w:pPr>
      <w:r>
        <w:rPr>
          <w:rFonts w:ascii="Times New Roman" w:cs="Times New Roman" w:eastAsia="Times New Roman" w:hAnsi="Times New Roman"/>
          <w:sz w:val="14"/>
          <w:szCs w:val="14"/>
          <w:color w:val="auto"/>
        </w:rPr>
        <w:t>For further information on our significant accounting policies, refer to our Annual Report on Form 10-K for the year ended December 31, 2023, filed with the SEC on March 20, 2024.</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85" w:lineRule="exact"/>
        <w:rPr>
          <w:sz w:val="20"/>
          <w:szCs w:val="20"/>
          <w:color w:val="auto"/>
        </w:rPr>
      </w:pPr>
    </w:p>
    <w:p>
      <w:pPr>
        <w:ind w:left="640" w:right="639" w:firstLine="702"/>
        <w:spacing w:after="0" w:line="293" w:lineRule="auto"/>
        <w:rPr>
          <w:sz w:val="20"/>
          <w:szCs w:val="20"/>
          <w:color w:val="auto"/>
        </w:rPr>
      </w:pPr>
      <w:r>
        <w:rPr>
          <w:rFonts w:ascii="Times New Roman" w:cs="Times New Roman" w:eastAsia="Times New Roman" w:hAnsi="Times New Roman"/>
          <w:sz w:val="14"/>
          <w:szCs w:val="14"/>
          <w:color w:val="auto"/>
        </w:rPr>
        <w:t>See Note 2 to the condensed consolidated financial statements contained in Part I, Item 1 of this Quarterly Report on Form 10-Q for additional information.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JOBS Act Accounting Election</w:t>
      </w:r>
    </w:p>
    <w:p>
      <w:pPr>
        <w:spacing w:after="0" w:line="185"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7" w:name="page28"/>
    <w:bookmarkEnd w:id="27"/>
    <w:p>
      <w:pPr>
        <w:ind w:left="640" w:right="699" w:firstLine="702"/>
        <w:spacing w:after="0" w:line="263"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640" w:right="899" w:firstLine="702"/>
        <w:spacing w:after="0" w:line="293" w:lineRule="auto"/>
        <w:rPr>
          <w:sz w:val="20"/>
          <w:szCs w:val="20"/>
          <w:color w:val="auto"/>
        </w:rPr>
      </w:pPr>
      <w:r>
        <w:rPr>
          <w:rFonts w:ascii="Times New Roman" w:cs="Times New Roman" w:eastAsia="Times New Roman" w:hAnsi="Times New Roman"/>
          <w:sz w:val="14"/>
          <w:szCs w:val="14"/>
          <w:color w:val="auto"/>
        </w:rPr>
        <w:t>We are a smaller reporting company as defined by Rule 12b-2 of the Exchange Act and are not required to provide the information required under this item.</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5" w:lineRule="exact"/>
        <w:rPr>
          <w:sz w:val="20"/>
          <w:szCs w:val="20"/>
          <w:color w:val="auto"/>
        </w:rPr>
      </w:pPr>
    </w:p>
    <w:p>
      <w:pPr>
        <w:ind w:left="640" w:right="659" w:firstLine="702"/>
        <w:spacing w:after="0" w:line="26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March 31, 2024.</w:t>
      </w:r>
    </w:p>
    <w:p>
      <w:pPr>
        <w:spacing w:after="0" w:line="3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5" w:lineRule="exact"/>
        <w:rPr>
          <w:sz w:val="20"/>
          <w:szCs w:val="20"/>
          <w:color w:val="auto"/>
        </w:rPr>
      </w:pPr>
    </w:p>
    <w:p>
      <w:pPr>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Rules 13a-15(f) and 15d-15(f) under the Exchange Act, during the three months ended March 31, 2024 that have materially affected, or are reasonably likely to materially affect, our internal control over financial reporting.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5" w:lineRule="exact"/>
        <w:rPr>
          <w:sz w:val="20"/>
          <w:szCs w:val="20"/>
          <w:color w:val="auto"/>
        </w:rPr>
      </w:pPr>
    </w:p>
    <w:p>
      <w:pPr>
        <w:ind w:left="640" w:right="699" w:firstLine="702"/>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699" w:firstLine="702"/>
        <w:spacing w:after="0" w:line="26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640" w:right="1079" w:firstLine="702"/>
        <w:spacing w:after="0" w:line="293" w:lineRule="auto"/>
        <w:rPr>
          <w:sz w:val="20"/>
          <w:szCs w:val="20"/>
          <w:color w:val="auto"/>
        </w:rPr>
      </w:pPr>
      <w:r>
        <w:rPr>
          <w:rFonts w:ascii="Times New Roman" w:cs="Times New Roman" w:eastAsia="Times New Roman" w:hAnsi="Times New Roman"/>
          <w:sz w:val="14"/>
          <w:szCs w:val="14"/>
          <w:color w:val="auto"/>
        </w:rPr>
        <w:t>Management believes that there have been no significant changes to the risk factors associated with our business as compared to those disclosed in Part 1, Item 1A of our Annual Report on Form 10-K for the year ended December 31, 2023.</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7060" w:type="dxa"/>
            <w:vAlign w:val="bottom"/>
            <w:gridSpan w:val="15"/>
          </w:tcPr>
          <w:p>
            <w:pPr>
              <w:ind w:left="20"/>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272"/>
        </w:trPr>
        <w:tc>
          <w:tcPr>
            <w:tcW w:w="6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80" w:type="dxa"/>
            <w:vAlign w:val="bottom"/>
            <w:gridSpan w:val="12"/>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80" w:type="dxa"/>
            <w:vAlign w:val="bottom"/>
            <w:tcBorders>
              <w:bottom w:val="single" w:sz="8" w:color="auto"/>
            </w:tcBorders>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6880" w:type="dxa"/>
            <w:vAlign w:val="bottom"/>
            <w:tcBorders>
              <w:bottom w:val="single" w:sz="8" w:color="0000FF"/>
            </w:tcBorders>
            <w:gridSpan w:val="13"/>
          </w:tcPr>
          <w:p>
            <w:pPr>
              <w:spacing w:after="0" w:line="131"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Amended and Restated Certificate of Incorporation of the Registrant as currently in effect (incorporated by reference to</w:t>
              </w:r>
            </w:hyperlink>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80" w:type="dxa"/>
            <w:vAlign w:val="bottom"/>
            <w:tcBorders>
              <w:bottom w:val="single" w:sz="8" w:color="0000FF"/>
            </w:tcBorders>
            <w:gridSpan w:val="10"/>
          </w:tcPr>
          <w:p>
            <w:pPr>
              <w:spacing w:after="0" w:line="152"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Exhibit 3.1 to the Registrant’s Registration Statement on Form S-1, as amended, filed with the SEC on July 26, 2021).</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67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Amended and Restated Bylaws of the Registrant as currently in effect (incorporated by reference to Exhibit 3.4 to the</w:t>
              </w:r>
            </w:hyperlink>
          </w:p>
        </w:tc>
        <w:tc>
          <w:tcPr>
            <w:tcW w:w="1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8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Registrant’s Registration Statement on Form S-1, as amended, filed with the SEC on July 9, 2021).</w:t>
              </w:r>
            </w:hyperlink>
          </w:p>
        </w:tc>
        <w:tc>
          <w:tcPr>
            <w:tcW w:w="20" w:type="dxa"/>
            <w:vAlign w:val="bottom"/>
            <w:tcBorders>
              <w:bottom w:val="single" w:sz="8" w:color="0000EE"/>
            </w:tcBorders>
          </w:tcPr>
          <w:p>
            <w:pPr>
              <w:spacing w:after="0"/>
              <w:rPr>
                <w:sz w:val="13"/>
                <w:szCs w:val="13"/>
                <w:color w:val="auto"/>
              </w:rPr>
            </w:pPr>
          </w:p>
        </w:tc>
        <w:tc>
          <w:tcPr>
            <w:tcW w:w="1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68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Amendment No. 2 to Service Agreement, dated March 15, 2024, by and between Rani Therapeutics, LLC and InCube</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0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Labs, LLC (incorporated by reference to Exhibit 10.15 to the Registrant’s Annual Report on Form 10-K for the year</w:t>
              </w:r>
            </w:hyperlink>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60" w:type="dxa"/>
            <w:vAlign w:val="bottom"/>
            <w:gridSpan w:val="14"/>
          </w:tcPr>
          <w:p>
            <w:pPr>
              <w:spacing w:after="0" w:line="152"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ended December 31, 2023).</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67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Amendment No. 1 to RMS Service Agreement, dated March 15, 2024, by and between Rani Therapeutics, LLC and</w:t>
              </w:r>
            </w:hyperlink>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60" w:type="dxa"/>
            <w:vAlign w:val="bottom"/>
            <w:tcBorders>
              <w:bottom w:val="single" w:sz="8" w:color="0000FF"/>
            </w:tcBorders>
            <w:gridSpan w:val="12"/>
          </w:tcPr>
          <w:p>
            <w:pPr>
              <w:spacing w:after="0" w:line="152"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InCube Labs, LLC (incorporated by reference to Exhibit 10.17 to the Registrant’s Annual Report on Form 10-K for the</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60" w:type="dxa"/>
            <w:vAlign w:val="bottom"/>
            <w:gridSpan w:val="14"/>
          </w:tcPr>
          <w:p>
            <w:pPr>
              <w:spacing w:after="0" w:line="152"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year ended December 31, 2023).</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4"/>
                <w:szCs w:val="14"/>
                <w:color w:val="auto"/>
              </w:rPr>
            </w:pPr>
          </w:p>
        </w:tc>
        <w:tc>
          <w:tcPr>
            <w:tcW w:w="6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w:t>
            </w:r>
          </w:p>
        </w:tc>
        <w:tc>
          <w:tcPr>
            <w:tcW w:w="1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8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20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4"/>
                <w:szCs w:val="14"/>
                <w:color w:val="auto"/>
              </w:rPr>
            </w:pPr>
          </w:p>
        </w:tc>
        <w:tc>
          <w:tcPr>
            <w:tcW w:w="6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w:t>
            </w:r>
          </w:p>
        </w:tc>
        <w:tc>
          <w:tcPr>
            <w:tcW w:w="2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8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20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4"/>
                <w:szCs w:val="14"/>
                <w:color w:val="auto"/>
              </w:rPr>
            </w:pPr>
          </w:p>
        </w:tc>
        <w:tc>
          <w:tcPr>
            <w:tcW w:w="6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w:t>
            </w:r>
          </w:p>
        </w:tc>
        <w:tc>
          <w:tcPr>
            <w:tcW w:w="3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60" w:type="dxa"/>
            <w:vAlign w:val="bottom"/>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EE"/>
            </w:tcBorders>
            <w:gridSpan w:val="3"/>
            <w:shd w:val="clear" w:color="auto" w:fill="0000FF"/>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0" w:type="dxa"/>
            <w:vAlign w:val="bottom"/>
          </w:tcPr>
          <w:p>
            <w:pPr>
              <w:spacing w:after="0"/>
              <w:rPr>
                <w:sz w:val="15"/>
                <w:szCs w:val="15"/>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20" w:hanging="379"/>
        <w:spacing w:after="0"/>
        <w:tabs>
          <w:tab w:leader="none" w:pos="10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Filed herewith.</w:t>
      </w:r>
    </w:p>
    <w:p>
      <w:pPr>
        <w:spacing w:after="0" w:line="13" w:lineRule="exact"/>
        <w:rPr>
          <w:sz w:val="20"/>
          <w:szCs w:val="20"/>
          <w:color w:val="auto"/>
        </w:rPr>
      </w:pPr>
    </w:p>
    <w:p>
      <w:pPr>
        <w:ind w:left="1020" w:right="659" w:hanging="379"/>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2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1039" w:firstLine="702"/>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205" w:lineRule="exact"/>
        <w:rPr>
          <w:sz w:val="20"/>
          <w:szCs w:val="20"/>
          <w:color w:val="auto"/>
        </w:rPr>
      </w:pPr>
    </w:p>
    <w:p>
      <w:pPr>
        <w:ind w:left="640"/>
        <w:spacing w:after="0"/>
        <w:tabs>
          <w:tab w:leader="none" w:pos="4520" w:val="left"/>
          <w:tab w:leader="none" w:pos="618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Talat Imran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-100965</wp:posOffset>
            </wp:positionV>
            <wp:extent cx="22479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2247900"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2" w:lineRule="exact"/>
        <w:rPr>
          <w:sz w:val="20"/>
          <w:szCs w:val="20"/>
          <w:color w:val="auto"/>
        </w:rPr>
      </w:pPr>
    </w:p>
    <w:p>
      <w:pPr>
        <w:ind w:left="640"/>
        <w:spacing w:after="0"/>
        <w:tabs>
          <w:tab w:leader="none" w:pos="4520" w:val="left"/>
          <w:tab w:leader="none" w:pos="612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Svai Sanford</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-100965</wp:posOffset>
            </wp:positionV>
            <wp:extent cx="22479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2247900"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36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1" w:name="page32"/>
    <w:bookmarkEnd w:id="31"/>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 Talat Imran, certify that:</w:t>
      </w:r>
    </w:p>
    <w:p>
      <w:pPr>
        <w:spacing w:after="0" w:line="183" w:lineRule="exact"/>
        <w:rPr>
          <w:sz w:val="20"/>
          <w:szCs w:val="20"/>
          <w:color w:val="auto"/>
        </w:rPr>
      </w:pPr>
    </w:p>
    <w:p>
      <w:pPr>
        <w:ind w:left="1660" w:hanging="513"/>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3"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2"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6"/>
        <w:spacing w:after="0" w:line="293" w:lineRule="auto"/>
        <w:tabs>
          <w:tab w:leader="none" w:pos="21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785495</wp:posOffset>
            </wp:positionV>
            <wp:extent cx="4288790"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32" w:name="page33"/>
    <w:bookmarkEnd w:id="32"/>
    <w:p>
      <w:pPr>
        <w:ind w:left="1140"/>
        <w:spacing w:after="0"/>
        <w:rPr>
          <w:sz w:val="20"/>
          <w:szCs w:val="20"/>
          <w:color w:val="auto"/>
        </w:rPr>
      </w:pPr>
      <w:r>
        <w:rPr>
          <w:rFonts w:ascii="Times New Roman" w:cs="Times New Roman" w:eastAsia="Times New Roman" w:hAnsi="Times New Roman"/>
          <w:sz w:val="14"/>
          <w:szCs w:val="14"/>
          <w:color w:val="auto"/>
        </w:rPr>
        <w:t>Date: May 6, 2024</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23495</wp:posOffset>
            </wp:positionV>
            <wp:extent cx="16878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1687830" cy="6985"/>
                    </a:xfrm>
                    <a:prstGeom prst="rect">
                      <a:avLst/>
                    </a:prstGeom>
                    <a:noFill/>
                  </pic:spPr>
                </pic:pic>
              </a:graphicData>
            </a:graphic>
          </wp:anchor>
        </w:drawing>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Talat Imran</w:t>
      </w:r>
    </w:p>
    <w:p>
      <w:pPr>
        <w:spacing w:after="0" w:line="2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828675</wp:posOffset>
            </wp:positionV>
            <wp:extent cx="4288790"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3" w:name="page34"/>
    <w:bookmarkEnd w:id="3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 Svai Sanford, certify that:</w:t>
      </w:r>
    </w:p>
    <w:p>
      <w:pPr>
        <w:spacing w:after="0" w:line="183" w:lineRule="exact"/>
        <w:rPr>
          <w:sz w:val="20"/>
          <w:szCs w:val="20"/>
          <w:color w:val="auto"/>
        </w:rPr>
      </w:pPr>
    </w:p>
    <w:p>
      <w:pPr>
        <w:ind w:left="1660" w:hanging="513"/>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3"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6"/>
        <w:spacing w:after="0" w:line="293" w:lineRule="auto"/>
        <w:tabs>
          <w:tab w:leader="none" w:pos="21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785495</wp:posOffset>
            </wp:positionV>
            <wp:extent cx="4288790"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34" w:name="page35"/>
    <w:bookmarkEnd w:id="34"/>
    <w:p>
      <w:pPr>
        <w:ind w:left="1140"/>
        <w:spacing w:after="0"/>
        <w:rPr>
          <w:sz w:val="20"/>
          <w:szCs w:val="20"/>
          <w:color w:val="auto"/>
        </w:rPr>
      </w:pPr>
      <w:r>
        <w:rPr>
          <w:rFonts w:ascii="Times New Roman" w:cs="Times New Roman" w:eastAsia="Times New Roman" w:hAnsi="Times New Roman"/>
          <w:sz w:val="14"/>
          <w:szCs w:val="14"/>
          <w:color w:val="auto"/>
        </w:rPr>
        <w:t>Date: May 6, 2024</w:t>
      </w:r>
    </w:p>
    <w:p>
      <w:pPr>
        <w:spacing w:after="0" w:line="2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 Svai Sanford</w:t>
      </w:r>
    </w:p>
    <w:p>
      <w:pPr>
        <w:spacing w:after="0" w:line="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-99060</wp:posOffset>
            </wp:positionV>
            <wp:extent cx="17011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701165" cy="6985"/>
                    </a:xfrm>
                    <a:prstGeom prst="rect">
                      <a:avLst/>
                    </a:prstGeom>
                    <a:noFill/>
                  </pic:spPr>
                </pic:pic>
              </a:graphicData>
            </a:graphic>
          </wp:anchor>
        </w:drawing>
      </w:r>
    </w:p>
    <w:p>
      <w:pPr>
        <w:spacing w:after="0" w:line="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828675</wp:posOffset>
            </wp:positionV>
            <wp:extent cx="4288790"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35" w:name="page36"/>
    <w:bookmarkEnd w:id="35"/>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7" w:lineRule="exact"/>
        <w:rPr>
          <w:sz w:val="20"/>
          <w:szCs w:val="20"/>
          <w:color w:val="auto"/>
        </w:rPr>
      </w:pPr>
    </w:p>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44" w:lineRule="exact"/>
        <w:rPr>
          <w:sz w:val="20"/>
          <w:szCs w:val="20"/>
          <w:color w:val="auto"/>
        </w:rPr>
      </w:pPr>
    </w:p>
    <w:p>
      <w:pPr>
        <w:jc w:val="both"/>
        <w:ind w:left="1660" w:right="1159" w:hanging="513"/>
        <w:spacing w:after="0" w:line="266" w:lineRule="auto"/>
        <w:tabs>
          <w:tab w:leader="none" w:pos="1660" w:val="left"/>
        </w:tabs>
        <w:numPr>
          <w:ilvl w:val="0"/>
          <w:numId w:val="11"/>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142" w:lineRule="exact"/>
        <w:rPr>
          <w:rFonts w:ascii="Calibri" w:cs="Calibri" w:eastAsia="Calibri" w:hAnsi="Calibri"/>
          <w:sz w:val="14"/>
          <w:szCs w:val="14"/>
          <w:b w:val="1"/>
          <w:bCs w:val="1"/>
          <w:color w:val="auto"/>
        </w:rPr>
      </w:pPr>
    </w:p>
    <w:p>
      <w:pPr>
        <w:ind w:left="1660" w:right="1159" w:hanging="513"/>
        <w:spacing w:after="0" w:line="278" w:lineRule="auto"/>
        <w:tabs>
          <w:tab w:leader="none" w:pos="1660" w:val="left"/>
        </w:tabs>
        <w:numPr>
          <w:ilvl w:val="0"/>
          <w:numId w:val="11"/>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Dated: May 6, 2024</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undersigned have set their hands hereto as of the 6th day of May, 2024</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Talat Imran</w:t>
            </w:r>
          </w:p>
        </w:tc>
        <w:tc>
          <w:tcPr>
            <w:tcW w:w="9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Svai Sanford</w:t>
            </w:r>
          </w:p>
        </w:tc>
      </w:tr>
      <w:tr>
        <w:trPr>
          <w:trHeight w:val="16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Talat Imran</w:t>
            </w:r>
          </w:p>
        </w:tc>
        <w:tc>
          <w:tcPr>
            <w:tcW w:w="9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Svai Sanford</w:t>
            </w:r>
          </w:p>
        </w:tc>
      </w:tr>
      <w:tr>
        <w:trPr>
          <w:trHeight w:val="18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94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9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bl>
    <w:p>
      <w:pPr>
        <w:spacing w:after="0" w:line="191" w:lineRule="exact"/>
        <w:rPr>
          <w:sz w:val="20"/>
          <w:szCs w:val="20"/>
          <w:color w:val="auto"/>
        </w:rPr>
      </w:pPr>
    </w:p>
    <w:p>
      <w:pPr>
        <w:ind w:left="1140" w:right="1179"/>
        <w:spacing w:after="0" w:line="267"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908050</wp:posOffset>
            </wp:positionV>
            <wp:extent cx="4288790"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199" Type="http://schemas.openxmlformats.org/officeDocument/2006/relationships/hyperlink" Target="https://www.sec.gov/Archives/edgar/data/1856725/000119312521223596/d151628dex31.htm" TargetMode="External"/><Relationship Id="rId200" Type="http://schemas.openxmlformats.org/officeDocument/2006/relationships/hyperlink" Target="https://www.sec.gov/Archives/edgar/data/1856725/000119312521211922/d151628dex34.htm" TargetMode="External"/><Relationship Id="rId201" Type="http://schemas.openxmlformats.org/officeDocument/2006/relationships/hyperlink" Target="https://www.sec.gov/Archives/edgar/data/1856725/000095017024034163/rani-ex10_15.htm" TargetMode="External"/><Relationship Id="rId202" Type="http://schemas.openxmlformats.org/officeDocument/2006/relationships/hyperlink" Target="https://www.sec.gov/Archives/edgar/data/1856725/000095017024034163/rani-ex10_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2024-05-06T15:18:42Z</dcterms:created>
  <dcterms:modified xsi:type="dcterms:W3CDTF">2024-05-06T15:18:42Z</dcterms:modified>
</cp:coreProperties>
</file>