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Quiroga Moreno Isidoro</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1"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7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AVENIDA PRESIDENTE RIESCO</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5711 OFICINA 1603, LAS CONDES</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SANTIAGO F3</w:t>
            </w:r>
          </w:p>
        </w:tc>
        <w:tc>
          <w:tcPr>
            <w:tcW w:w="1300" w:type="dxa"/>
            <w:vAlign w:val="bottom"/>
          </w:tcPr>
          <w:p>
            <w:pPr>
              <w:ind w:left="300"/>
              <w:spacing w:after="0"/>
              <w:rPr>
                <w:sz w:val="20"/>
                <w:szCs w:val="20"/>
                <w:color w:val="auto"/>
              </w:rPr>
            </w:pPr>
            <w:r>
              <w:rPr>
                <w:rFonts w:ascii="Arial" w:cs="Arial" w:eastAsia="Arial" w:hAnsi="Arial"/>
                <w:sz w:val="20"/>
                <w:szCs w:val="20"/>
                <w:color w:val="0000FF"/>
              </w:rPr>
              <w:t>7550000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07/29/2021</w:t>
      </w:r>
    </w:p>
    <w:p>
      <w:pPr>
        <w:spacing w:after="0" w:line="318" w:lineRule="exact"/>
        <w:rPr>
          <w:sz w:val="24"/>
          <w:szCs w:val="24"/>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60" w:right="32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77" w:lineRule="exact"/>
        <w:rPr>
          <w:sz w:val="24"/>
          <w:szCs w:val="24"/>
          <w:color w:val="auto"/>
        </w:rPr>
      </w:pPr>
    </w:p>
    <w:p>
      <w:pPr>
        <w:sectPr>
          <w:pgSz w:w="11900" w:h="16838" w:orient="portrait"/>
          <w:cols w:equalWidth="0" w:num="3">
            <w:col w:w="4277" w:space="720"/>
            <w:col w:w="3003" w:space="260"/>
            <w:col w:w="268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vMerge w:val="restart"/>
          </w:tcPr>
          <w:p>
            <w:pPr>
              <w:ind w:left="340"/>
              <w:spacing w:after="0"/>
              <w:rPr>
                <w:sz w:val="20"/>
                <w:szCs w:val="20"/>
                <w:color w:val="auto"/>
              </w:rPr>
            </w:pPr>
            <w:r>
              <w:rPr>
                <w:rFonts w:ascii="Arial" w:cs="Arial" w:eastAsia="Arial" w:hAnsi="Arial"/>
                <w:sz w:val="20"/>
                <w:szCs w:val="20"/>
                <w:color w:val="0000FF"/>
              </w:rPr>
              <w:t>2,956,629</w:t>
            </w:r>
            <w:r>
              <w:rPr>
                <w:rFonts w:ascii="Arial" w:cs="Arial" w:eastAsia="Arial" w:hAnsi="Arial"/>
                <w:sz w:val="25"/>
                <w:szCs w:val="25"/>
                <w:color w:val="008000"/>
                <w:vertAlign w:val="superscript"/>
              </w:rPr>
              <w:t>(1)</w:t>
            </w:r>
          </w:p>
        </w:tc>
        <w:tc>
          <w:tcPr>
            <w:tcW w:w="1360" w:type="dxa"/>
            <w:vAlign w:val="bottom"/>
            <w:gridSpan w:val="2"/>
            <w:vMerge w:val="restart"/>
          </w:tcPr>
          <w:p>
            <w:pPr>
              <w:ind w:left="60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(1)</w:t>
            </w:r>
          </w:p>
        </w:tc>
        <w:tc>
          <w:tcPr>
            <w:tcW w:w="2780" w:type="dxa"/>
            <w:vAlign w:val="bottom"/>
            <w:gridSpan w:val="4"/>
          </w:tcPr>
          <w:p>
            <w:pPr>
              <w:spacing w:after="0"/>
              <w:rPr>
                <w:sz w:val="20"/>
                <w:szCs w:val="20"/>
                <w:color w:val="auto"/>
              </w:rPr>
            </w:pPr>
            <w:r>
              <w:rPr>
                <w:rFonts w:ascii="Arial" w:cs="Arial" w:eastAsia="Arial" w:hAnsi="Arial"/>
                <w:sz w:val="20"/>
                <w:szCs w:val="20"/>
                <w:color w:val="0000FF"/>
              </w:rPr>
              <w:t>Shares indirectly held through</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760" w:type="dxa"/>
            <w:vAlign w:val="bottom"/>
            <w:gridSpan w:val="3"/>
            <w:vMerge w:val="restart"/>
          </w:tcPr>
          <w:p>
            <w:pPr>
              <w:spacing w:after="0"/>
              <w:rPr>
                <w:sz w:val="20"/>
                <w:szCs w:val="20"/>
                <w:color w:val="auto"/>
              </w:rPr>
            </w:pPr>
            <w:r>
              <w:rPr>
                <w:rFonts w:ascii="Arial" w:cs="Arial" w:eastAsia="Arial" w:hAnsi="Arial"/>
                <w:sz w:val="20"/>
                <w:szCs w:val="20"/>
                <w:color w:val="0000FF"/>
              </w:rPr>
              <w:t>South Lake One LLC</w:t>
            </w:r>
            <w:r>
              <w:rPr>
                <w:rFonts w:ascii="Arial" w:cs="Arial" w:eastAsia="Arial" w:hAnsi="Arial"/>
                <w:sz w:val="25"/>
                <w:szCs w:val="25"/>
                <w:color w:val="008000"/>
                <w:vertAlign w:val="superscript"/>
              </w:rPr>
              <w:t>(2)</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Shares indirectly held through</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gridSpan w:val="5"/>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ind w:left="340"/>
              <w:spacing w:after="0" w:line="240" w:lineRule="exact"/>
              <w:rPr>
                <w:sz w:val="20"/>
                <w:szCs w:val="20"/>
                <w:color w:val="auto"/>
              </w:rPr>
            </w:pPr>
            <w:r>
              <w:rPr>
                <w:rFonts w:ascii="Arial" w:cs="Arial" w:eastAsia="Arial" w:hAnsi="Arial"/>
                <w:sz w:val="20"/>
                <w:szCs w:val="20"/>
                <w:color w:val="0000FF"/>
              </w:rPr>
              <w:t>2,316,121</w:t>
            </w:r>
            <w:r>
              <w:rPr>
                <w:rFonts w:ascii="Arial" w:cs="Arial" w:eastAsia="Arial" w:hAnsi="Arial"/>
                <w:sz w:val="25"/>
                <w:szCs w:val="25"/>
                <w:color w:val="008000"/>
                <w:vertAlign w:val="superscript"/>
              </w:rPr>
              <w:t>(1)</w:t>
            </w:r>
          </w:p>
        </w:tc>
        <w:tc>
          <w:tcPr>
            <w:tcW w:w="1360" w:type="dxa"/>
            <w:vAlign w:val="bottom"/>
            <w:gridSpan w:val="2"/>
          </w:tcPr>
          <w:p>
            <w:pPr>
              <w:ind w:left="60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(1)</w:t>
            </w:r>
          </w:p>
        </w:tc>
        <w:tc>
          <w:tcPr>
            <w:tcW w:w="2780" w:type="dxa"/>
            <w:vAlign w:val="bottom"/>
            <w:gridSpan w:val="4"/>
          </w:tcPr>
          <w:p>
            <w:pPr>
              <w:spacing w:after="0"/>
              <w:rPr>
                <w:sz w:val="20"/>
                <w:szCs w:val="20"/>
                <w:color w:val="auto"/>
              </w:rPr>
            </w:pPr>
            <w:r>
              <w:rPr>
                <w:rFonts w:ascii="Arial" w:cs="Arial" w:eastAsia="Arial" w:hAnsi="Arial"/>
                <w:sz w:val="20"/>
                <w:szCs w:val="20"/>
                <w:color w:val="0000FF"/>
              </w:rPr>
              <w:t>Aequanimitas Limited</w:t>
            </w: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Partnership</w:t>
            </w:r>
            <w:r>
              <w:rPr>
                <w:rFonts w:ascii="Arial" w:cs="Arial" w:eastAsia="Arial" w:hAnsi="Arial"/>
                <w:sz w:val="25"/>
                <w:szCs w:val="25"/>
                <w:color w:val="008000"/>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92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Quiroga Moreno Isidoro</w:t>
              </w:r>
            </w:hyperlink>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20"/>
                <w:szCs w:val="20"/>
                <w:color w:val="0000FF"/>
              </w:rPr>
              <w:t>AVENIDA PRESIDENTE RIESCO</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20"/>
                <w:szCs w:val="20"/>
                <w:color w:val="0000FF"/>
              </w:rPr>
              <w:t>5711 OFICINA 1603, LAS CONDES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SANTIAGO</w:t>
            </w:r>
          </w:p>
        </w:tc>
        <w:tc>
          <w:tcPr>
            <w:tcW w:w="1460" w:type="dxa"/>
            <w:vAlign w:val="bottom"/>
            <w:gridSpan w:val="2"/>
          </w:tcPr>
          <w:p>
            <w:pPr>
              <w:ind w:left="200"/>
              <w:spacing w:after="0"/>
              <w:rPr>
                <w:sz w:val="20"/>
                <w:szCs w:val="20"/>
                <w:color w:val="auto"/>
              </w:rPr>
            </w:pPr>
            <w:r>
              <w:rPr>
                <w:rFonts w:ascii="Arial" w:cs="Arial" w:eastAsia="Arial" w:hAnsi="Arial"/>
                <w:sz w:val="20"/>
                <w:szCs w:val="20"/>
                <w:color w:val="0000FF"/>
              </w:rPr>
              <w:t>F3</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7550000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South Cone Investments Limited</w:t>
        </w:r>
      </w:hyperlink>
    </w:p>
    <w:p>
      <w:pPr>
        <w:spacing w:after="0" w:line="1" w:lineRule="exact"/>
        <w:rPr>
          <w:sz w:val="24"/>
          <w:szCs w:val="24"/>
          <w:color w:val="auto"/>
        </w:rPr>
      </w:pP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Partnership</w:t>
        </w:r>
      </w:hyperlink>
    </w:p>
    <w:p>
      <w:pPr>
        <w:spacing w:after="0" w:line="357"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AVENIDA PRESIDENTE RIESCO</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5711 OFICINA 1603, LAS CONDES</w:t>
      </w:r>
    </w:p>
    <w:p>
      <w:pPr>
        <w:sectPr>
          <w:pgSz w:w="11900" w:h="16838" w:orient="portrait"/>
          <w:cols w:equalWidth="0" w:num="1">
            <w:col w:w="10940"/>
          </w:cols>
          <w:pgMar w:left="480" w:top="236" w:right="479" w:bottom="0" w:gutter="0" w:footer="0" w:header="0"/>
          <w:type w:val="continuous"/>
        </w:sectPr>
      </w:pPr>
    </w:p>
    <w:p>
      <w:pPr>
        <w:spacing w:after="0" w:line="334" w:lineRule="exact"/>
        <w:rPr>
          <w:sz w:val="24"/>
          <w:szCs w:val="24"/>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48"/>
        </w:trPr>
        <w:tc>
          <w:tcPr>
            <w:tcW w:w="1200" w:type="dxa"/>
            <w:vAlign w:val="bottom"/>
          </w:tcPr>
          <w:p>
            <w:pPr>
              <w:ind w:left="20"/>
              <w:spacing w:after="0"/>
              <w:rPr>
                <w:sz w:val="20"/>
                <w:szCs w:val="20"/>
                <w:color w:val="auto"/>
              </w:rPr>
            </w:pPr>
            <w:r>
              <w:rPr>
                <w:rFonts w:ascii="Arial" w:cs="Arial" w:eastAsia="Arial" w:hAnsi="Arial"/>
                <w:sz w:val="20"/>
                <w:szCs w:val="20"/>
                <w:color w:val="0000FF"/>
              </w:rPr>
              <w:t>SANTIAGO</w:t>
            </w:r>
          </w:p>
        </w:tc>
        <w:tc>
          <w:tcPr>
            <w:tcW w:w="1120" w:type="dxa"/>
            <w:vAlign w:val="bottom"/>
          </w:tcPr>
          <w:p>
            <w:pPr>
              <w:ind w:left="200"/>
              <w:spacing w:after="0"/>
              <w:rPr>
                <w:sz w:val="20"/>
                <w:szCs w:val="20"/>
                <w:color w:val="auto"/>
              </w:rPr>
            </w:pPr>
            <w:r>
              <w:rPr>
                <w:rFonts w:ascii="Arial" w:cs="Arial" w:eastAsia="Arial" w:hAnsi="Arial"/>
                <w:sz w:val="20"/>
                <w:szCs w:val="20"/>
                <w:color w:val="0000FF"/>
              </w:rPr>
              <w:t>F3</w:t>
            </w:r>
          </w:p>
        </w:tc>
        <w:tc>
          <w:tcPr>
            <w:tcW w:w="1800" w:type="dxa"/>
            <w:vAlign w:val="bottom"/>
          </w:tcPr>
          <w:p>
            <w:pPr>
              <w:ind w:left="460"/>
              <w:spacing w:after="0"/>
              <w:rPr>
                <w:sz w:val="20"/>
                <w:szCs w:val="20"/>
                <w:color w:val="auto"/>
              </w:rPr>
            </w:pPr>
            <w:r>
              <w:rPr>
                <w:rFonts w:ascii="Arial" w:cs="Arial" w:eastAsia="Arial" w:hAnsi="Arial"/>
                <w:sz w:val="20"/>
                <w:szCs w:val="20"/>
                <w:color w:val="0000FF"/>
              </w:rPr>
              <w:t>7550000</w:t>
            </w:r>
          </w:p>
        </w:tc>
      </w:tr>
      <w:tr>
        <w:trPr>
          <w:trHeight w:val="177"/>
        </w:trPr>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1200" w:type="dxa"/>
            <w:vAlign w:val="bottom"/>
          </w:tcPr>
          <w:p>
            <w:pPr>
              <w:ind w:left="20"/>
              <w:spacing w:after="0"/>
              <w:rPr>
                <w:sz w:val="20"/>
                <w:szCs w:val="20"/>
                <w:color w:val="auto"/>
              </w:rPr>
            </w:pPr>
            <w:r>
              <w:rPr>
                <w:rFonts w:ascii="Arial" w:cs="Arial" w:eastAsia="Arial" w:hAnsi="Arial"/>
                <w:sz w:val="15"/>
                <w:szCs w:val="15"/>
                <w:color w:val="auto"/>
              </w:rPr>
              <w:t>(City)</w:t>
            </w:r>
          </w:p>
        </w:tc>
        <w:tc>
          <w:tcPr>
            <w:tcW w:w="1120" w:type="dxa"/>
            <w:vAlign w:val="bottom"/>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-494030</wp:posOffset>
            </wp:positionV>
            <wp:extent cx="2798445" cy="584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58420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firstLine="5"/>
        <w:spacing w:after="0" w:line="236"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This amendment to Isidoro Quiroga Moreno's Form 3, originally filed with the SEC on July 29, 2021, is being filed to (i) correct the number of shares of Class A Common Stock of Rani Therapeutics Holdings, Inc. (the "Issuer") beneficially owned by Isidoro Quiroga Moreno, as set forth in Table I to the initial Form 3 filing, and (ii) to add an additional Reporting Person, South Cone Investments Limited Partnership ("South Cone"), the entity through which Isidoro Quiroga Moreno indirectly controls South Lake One LLC ("South Lake") and Aequanimitas Limited Partnership ("Aequanimitas"), which may be deemed an indirect beneficial owner of the reported securities and was omitted from the initial Form 3 filing.</w:t>
      </w:r>
    </w:p>
    <w:p>
      <w:pPr>
        <w:spacing w:after="0" w:line="37" w:lineRule="exact"/>
        <w:rPr>
          <w:rFonts w:ascii="Arial" w:cs="Arial" w:eastAsia="Arial" w:hAnsi="Arial"/>
          <w:sz w:val="15"/>
          <w:szCs w:val="15"/>
          <w:color w:val="008000"/>
        </w:rPr>
      </w:pPr>
    </w:p>
    <w:p>
      <w:pPr>
        <w:ind w:right="80" w:firstLine="5"/>
        <w:spacing w:after="0" w:line="241"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Isidoro Quiroga Moreno indirectly controls South Lake, which has sole voting power and sole dispositive power with respect to all of the shares of the Issuer's Class A Common Stock held by it. South Lake is wholly owned by South Cone, which is controlled by its general partner Inversiones El Aromo Limitada ("El Aromo"), which is controlled by Isidoro Quiroga Moreno (who directly owns approximately 71% of the issued and outstanding capital stock of El Aromo).</w:t>
      </w:r>
    </w:p>
    <w:p>
      <w:pPr>
        <w:spacing w:after="0" w:line="35" w:lineRule="exact"/>
        <w:rPr>
          <w:rFonts w:ascii="Arial" w:cs="Arial" w:eastAsia="Arial" w:hAnsi="Arial"/>
          <w:sz w:val="15"/>
          <w:szCs w:val="15"/>
          <w:color w:val="008000"/>
        </w:rPr>
      </w:pPr>
    </w:p>
    <w:p>
      <w:pPr>
        <w:ind w:left="160" w:hanging="155"/>
        <w:spacing w:after="0"/>
        <w:tabs>
          <w:tab w:leader="none" w:pos="16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Isidoro Quiroga Moreno indirectly controls Aequanimitas, which has sole voting power and sole dispositive power with respect to all of the shares of the Issuer's Class A</w:t>
      </w:r>
    </w:p>
    <w:p>
      <w:pPr>
        <w:spacing w:after="0" w:line="16" w:lineRule="exact"/>
        <w:rPr>
          <w:rFonts w:ascii="Arial" w:cs="Arial" w:eastAsia="Arial" w:hAnsi="Arial"/>
          <w:sz w:val="14"/>
          <w:szCs w:val="14"/>
          <w:color w:val="008000"/>
        </w:rPr>
      </w:pPr>
    </w:p>
    <w:p>
      <w:pPr>
        <w:ind w:right="380"/>
        <w:spacing w:after="0" w:line="271" w:lineRule="auto"/>
        <w:rPr>
          <w:rFonts w:ascii="Arial" w:cs="Arial" w:eastAsia="Arial" w:hAnsi="Arial"/>
          <w:sz w:val="14"/>
          <w:szCs w:val="14"/>
          <w:color w:val="008000"/>
        </w:rPr>
      </w:pPr>
      <w:r>
        <w:rPr>
          <w:rFonts w:ascii="Arial" w:cs="Arial" w:eastAsia="Arial" w:hAnsi="Arial"/>
          <w:sz w:val="14"/>
          <w:szCs w:val="14"/>
          <w:color w:val="008000"/>
        </w:rPr>
        <w:t>Common Stock held by it. Aequanimitas is controlled by its general partner, South Lake Three LLC, which is wholly owned by South Cone, which is controlled by its general partner El Aromo, which is controlled by Isidoro Quiroga Moreno (who directly owns approximately 71% of the issued and outstanding capital stock of El Aromo).</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right="100"/>
        <w:spacing w:after="0" w:line="253" w:lineRule="auto"/>
        <w:rPr>
          <w:sz w:val="20"/>
          <w:szCs w:val="20"/>
          <w:color w:val="auto"/>
        </w:rPr>
      </w:pPr>
      <w:r>
        <w:rPr>
          <w:rFonts w:ascii="Arial" w:cs="Arial" w:eastAsia="Arial" w:hAnsi="Arial"/>
          <w:sz w:val="15"/>
          <w:szCs w:val="15"/>
          <w:color w:val="008000"/>
        </w:rPr>
        <w:t>This Form 3/A amends and restates in its entirety the Form 3 filed on July 29, 2021 for the sole purpose of correcting the number of shares of Class A Common Stock of the Issuer beneficially owned by the Reporting Persons and including South Cone as an additional Reporting Person.</w:t>
      </w:r>
    </w:p>
    <w:p>
      <w:pPr>
        <w:sectPr>
          <w:pgSz w:w="11900" w:h="16838" w:orient="portrait"/>
          <w:cols w:equalWidth="0" w:num="1">
            <w:col w:w="10860"/>
          </w:cols>
          <w:pgMar w:left="520" w:top="130" w:right="519" w:bottom="144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Isidoro Quiroga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359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9359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924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9243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Isidoro Quiroga Cortes;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and /s/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651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Gonzalez, Managers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18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518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Inversiones El Aromo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Limitada,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50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350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697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9697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South Cone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09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74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946" w:lineRule="exact"/>
        <w:rPr>
          <w:sz w:val="20"/>
          <w:szCs w:val="20"/>
          <w:color w:val="auto"/>
        </w:rPr>
      </w:pPr>
    </w:p>
    <w:p>
      <w:pPr>
        <w:sectPr>
          <w:pgSz w:w="11900" w:h="16838" w:orient="portrait"/>
          <w:cols w:equalWidth="0" w:num="2">
            <w:col w:w="8620" w:space="100"/>
            <w:col w:w="2140"/>
          </w:cols>
          <w:pgMar w:left="520" w:top="130" w:right="5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20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4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20" w:top="13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0" Type="http://schemas.openxmlformats.org/officeDocument/2006/relationships/hyperlink" Target="http://www.sec.gov/cgi-bin/browse-edgar?action=getcompany&amp;CIK=0001794307" TargetMode="External"/><Relationship Id="rId11" Type="http://schemas.openxmlformats.org/officeDocument/2006/relationships/hyperlink" Target="http://www.sec.gov/cgi-bin/browse-edgar?action=getcompany&amp;CIK=0001856725" TargetMode="External"/><Relationship Id="rId12" Type="http://schemas.openxmlformats.org/officeDocument/2006/relationships/hyperlink" Target="http://www.sec.gov/cgi-bin/browse-edgar?action=getcompany&amp;CIK=00018764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2021-08-03T17:11:38Z</dcterms:created>
  <dcterms:modified xsi:type="dcterms:W3CDTF">2021-08-03T17:11:38Z</dcterms:modified>
</cp:coreProperties>
</file>