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rani-20250620.htm"/>
      <w:bookmarkStart w:id="1" w:name="ksrani20250620"/>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b/>
          <w:color w:val="000000"/>
          <w:sz w:val="36"/>
        </w:rPr>
      </w:pPr>
      <w:r>
        <w:rPr>
          <w:rFonts w:ascii="Times New Roman" w:hAnsi="Times New Roman"/>
          <w:b/>
          <w:color w:val="000000"/>
          <w:sz w:val="36"/>
        </w:rPr>
        <w:t>FORM 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jc w:val="center"/>
        <w:rPr>
          <w:rFonts w:ascii="Times New Roman" w:hAnsi="Times New Roman"/>
          <w:sz w:val="20"/>
        </w:rPr>
      </w:pPr>
      <w:r>
        <w:rPr>
          <w:rFonts w:ascii="Times New Roman" w:hAnsi="Times New Roman"/>
          <w:b/>
          <w:color w:val="000000"/>
          <w:sz w:val="24"/>
        </w:rPr>
        <w:t>Pursuant to Section 13 or 15(d) of</w:t>
      </w:r>
      <w:r>
        <w:rPr>
          <w:rFonts w:ascii="Times New Roman" w:hAnsi="Times New Roman"/>
          <w:color w:val="000000"/>
          <w:sz w:val="20"/>
        </w:rPr>
        <w:t xml:space="preserve"> </w:t>
      </w:r>
    </w:p>
    <w:p>
      <w:pPr>
        <w:pStyle w:val="TextBody"/>
        <w:bidi w:val="0"/>
        <w:spacing w:before="0" w:after="120"/>
        <w:jc w:val="center"/>
        <w:rPr>
          <w:rFonts w:ascii="Times New Roman" w:hAnsi="Times New Roman"/>
          <w:b/>
          <w:color w:val="000000"/>
          <w:sz w:val="24"/>
        </w:rPr>
      </w:pPr>
      <w:r>
        <w:rPr>
          <w:rFonts w:ascii="Times New Roman" w:hAnsi="Times New Roman"/>
          <w:b/>
          <w:color w:val="000000"/>
          <w:sz w:val="24"/>
        </w:rPr>
        <w:t>the Securities Exchange Act of 1934</w:t>
      </w:r>
    </w:p>
    <w:tbl>
      <w:tblPr>
        <w:tblW w:w="5386" w:type="dxa"/>
        <w:jc w:val="left"/>
        <w:tblInd w:w="0" w:type="dxa"/>
        <w:tblLayout w:type="fixed"/>
        <w:tblCellMar>
          <w:top w:w="28" w:type="dxa"/>
          <w:left w:w="28" w:type="dxa"/>
          <w:bottom w:w="28" w:type="dxa"/>
          <w:right w:w="28" w:type="dxa"/>
        </w:tblCellMar>
      </w:tblPr>
      <w:tblGrid>
        <w:gridCol w:w="5386"/>
      </w:tblGrid>
      <w:tr>
        <w:trPr/>
        <w:tc>
          <w:tcPr>
            <w:tcW w:w="5386" w:type="dxa"/>
            <w:tcBorders/>
            <w:vAlign w:val="center"/>
          </w:tcPr>
          <w:p>
            <w:pPr>
              <w:pStyle w:val="TableContents"/>
              <w:bidi w:val="0"/>
              <w:spacing w:before="0" w:after="283"/>
              <w:jc w:val="left"/>
              <w:rPr>
                <w:sz w:val="4"/>
                <w:szCs w:val="4"/>
              </w:rPr>
            </w:pPr>
            <w:r>
              <w:rPr>
                <w:sz w:val="4"/>
                <w:szCs w:val="4"/>
              </w:rPr>
            </w:r>
          </w:p>
        </w:tc>
      </w:tr>
      <w:tr>
        <w:trPr/>
        <w:tc>
          <w:tcPr>
            <w:tcW w:w="53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June 20, 2025</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Rani Therapeutics Holdings,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777" w:type="dxa"/>
        <w:jc w:val="left"/>
        <w:tblInd w:w="0" w:type="dxa"/>
        <w:tblLayout w:type="fixed"/>
        <w:tblCellMar>
          <w:top w:w="28" w:type="dxa"/>
          <w:left w:w="28" w:type="dxa"/>
          <w:bottom w:w="28" w:type="dxa"/>
          <w:right w:w="28" w:type="dxa"/>
        </w:tblCellMar>
      </w:tblPr>
      <w:tblGrid>
        <w:gridCol w:w="918"/>
        <w:gridCol w:w="835"/>
        <w:gridCol w:w="842"/>
        <w:gridCol w:w="1846"/>
        <w:gridCol w:w="1336"/>
      </w:tblGrid>
      <w:tr>
        <w:trPr/>
        <w:tc>
          <w:tcPr>
            <w:tcW w:w="918"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001-40672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86-3114789</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18" w:type="dxa"/>
            <w:tcBorders/>
            <w:tcMar>
              <w:top w:w="0" w:type="dxa"/>
              <w:left w:w="0" w:type="dxa"/>
              <w:bottom w:w="0" w:type="dxa"/>
              <w:right w:w="0" w:type="dxa"/>
            </w:tcMar>
            <w:vAlign w:val="center"/>
          </w:tcPr>
          <w:p>
            <w:pPr>
              <w:pStyle w:val="TableContents"/>
              <w:bidi w:val="0"/>
              <w:spacing w:before="0" w:after="283"/>
              <w:jc w:val="center"/>
              <w:rPr/>
            </w:pPr>
            <w:r>
              <w:rPr/>
              <w:t> </w:t>
            </w:r>
          </w:p>
        </w:tc>
        <w:tc>
          <w:tcPr>
            <w:tcW w:w="835" w:type="dxa"/>
            <w:tcBorders/>
            <w:tcMar>
              <w:top w:w="0" w:type="dxa"/>
              <w:left w:w="0" w:type="dxa"/>
              <w:bottom w:w="0" w:type="dxa"/>
              <w:right w:w="0" w:type="dxa"/>
            </w:tcMar>
            <w:vAlign w:val="center"/>
          </w:tcPr>
          <w:p>
            <w:pPr>
              <w:pStyle w:val="TableContents"/>
              <w:bidi w:val="0"/>
              <w:spacing w:before="0" w:after="283"/>
              <w:jc w:val="center"/>
              <w:rPr/>
            </w:pPr>
            <w:r>
              <w:rPr/>
              <w:t> </w:t>
            </w:r>
          </w:p>
        </w:tc>
        <w:tc>
          <w:tcPr>
            <w:tcW w:w="842"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2051 Ringwood Avenue</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San Jose,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95131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6076" w:type="dxa"/>
        <w:jc w:val="left"/>
        <w:tblInd w:w="0" w:type="dxa"/>
        <w:tblLayout w:type="fixed"/>
        <w:tblCellMar>
          <w:top w:w="28" w:type="dxa"/>
          <w:left w:w="28" w:type="dxa"/>
          <w:bottom w:w="28" w:type="dxa"/>
          <w:right w:w="28" w:type="dxa"/>
        </w:tblCellMar>
      </w:tblPr>
      <w:tblGrid>
        <w:gridCol w:w="6076"/>
      </w:tblGrid>
      <w:tr>
        <w:trPr/>
        <w:tc>
          <w:tcPr>
            <w:tcW w:w="6076" w:type="dxa"/>
            <w:tcBorders/>
            <w:vAlign w:val="center"/>
          </w:tcPr>
          <w:p>
            <w:pPr>
              <w:pStyle w:val="TableContents"/>
              <w:bidi w:val="0"/>
              <w:spacing w:before="0" w:after="283"/>
              <w:jc w:val="left"/>
              <w:rPr>
                <w:sz w:val="4"/>
                <w:szCs w:val="4"/>
              </w:rPr>
            </w:pPr>
            <w:r>
              <w:rPr>
                <w:sz w:val="4"/>
                <w:szCs w:val="4"/>
              </w:rPr>
            </w:r>
          </w:p>
        </w:tc>
      </w:tr>
      <w:tr>
        <w:trPr/>
        <w:tc>
          <w:tcPr>
            <w:tcW w:w="607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(408)</w:t>
            </w:r>
            <w:r>
              <w:rPr>
                <w:rFonts w:ascii="Times New Roman" w:hAnsi="Times New Roman"/>
                <w:color w:val="000000"/>
                <w:sz w:val="20"/>
              </w:rPr>
              <w:t xml:space="preserve"> </w:t>
            </w:r>
            <w:r>
              <w:rPr>
                <w:rFonts w:ascii="Times New Roman" w:hAnsi="Times New Roman"/>
                <w:b/>
                <w:color w:val="000000"/>
                <w:sz w:val="20"/>
              </w:rPr>
              <w:t>457-3700</w:t>
            </w:r>
          </w:p>
        </w:tc>
      </w:tr>
    </w:tbl>
    <w:p>
      <w:pPr>
        <w:pStyle w:val="TextBody"/>
        <w:bidi w:val="0"/>
        <w:jc w:val="left"/>
        <w:rPr/>
      </w:pPr>
      <w:r>
        <w:rPr/>
        <w:t> </w:t>
      </w:r>
    </w:p>
    <w:tbl>
      <w:tblPr>
        <w:tblW w:w="496" w:type="dxa"/>
        <w:jc w:val="left"/>
        <w:tblInd w:w="0" w:type="dxa"/>
        <w:tblLayout w:type="fixed"/>
        <w:tblCellMar>
          <w:top w:w="28" w:type="dxa"/>
          <w:left w:w="28" w:type="dxa"/>
          <w:bottom w:w="28" w:type="dxa"/>
          <w:right w:w="28" w:type="dxa"/>
        </w:tblCellMar>
      </w:tblPr>
      <w:tblGrid>
        <w:gridCol w:w="496"/>
      </w:tblGrid>
      <w:tr>
        <w:trPr/>
        <w:tc>
          <w:tcPr>
            <w:tcW w:w="496" w:type="dxa"/>
            <w:tcBorders/>
            <w:vAlign w:val="center"/>
          </w:tcPr>
          <w:p>
            <w:pPr>
              <w:pStyle w:val="TableContents"/>
              <w:bidi w:val="0"/>
              <w:spacing w:before="0" w:after="283"/>
              <w:jc w:val="left"/>
              <w:rPr>
                <w:sz w:val="4"/>
                <w:szCs w:val="4"/>
              </w:rPr>
            </w:pPr>
            <w:r>
              <w:rPr>
                <w:sz w:val="4"/>
                <w:szCs w:val="4"/>
              </w:rPr>
            </w:r>
          </w:p>
        </w:tc>
      </w:tr>
      <w:tr>
        <w:trPr/>
        <w:tc>
          <w:tcPr>
            <w:tcW w:w="4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N/A</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9355" w:type="dxa"/>
        <w:jc w:val="left"/>
        <w:tblInd w:w="0" w:type="dxa"/>
        <w:tblLayout w:type="fixed"/>
        <w:tblCellMar>
          <w:top w:w="28" w:type="dxa"/>
          <w:left w:w="28" w:type="dxa"/>
          <w:bottom w:w="28" w:type="dxa"/>
          <w:right w:w="28" w:type="dxa"/>
        </w:tblCellMar>
      </w:tblPr>
      <w:tblGrid>
        <w:gridCol w:w="4291"/>
        <w:gridCol w:w="146"/>
        <w:gridCol w:w="946"/>
        <w:gridCol w:w="146"/>
        <w:gridCol w:w="3826"/>
      </w:tblGrid>
      <w:tr>
        <w:trPr/>
        <w:tc>
          <w:tcPr>
            <w:tcW w:w="429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429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429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Class A common stock, par value $0.0001 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RANI</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b/>
          <w:color w:val="000000"/>
          <w:sz w:val="20"/>
        </w:rPr>
      </w:pPr>
      <w:r>
        <w:rPr>
          <w:rFonts w:ascii="Times New Roman" w:hAnsi="Times New Roman"/>
          <w:b/>
          <w:color w:val="000000"/>
          <w:sz w:val="20"/>
        </w:rPr>
        <w:t>Item 3.01 Notice of Delisting or Failure to Satisfy a Continued Listing Rule or Standard; Transfer of Listing.</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On June 20, 2025, Rani Therapeutics Holdings, Inc. (“Company”) received a letter (“Notice”) from the Nasdaq Stock Exchange LLC (“Nasdaq”), notifying Company that, based on the closing bid price of the Company’s Class A common stock, par value $0.0001 per share (the “Common Stock”), for the prior 30 consecutive business days the Company no longer complies with the minimum bid price requirement for continued listing on The Nasdaq Global Market. Nasdaq Listing Rule 5450(a)(1) requires listed securities to maintain a minimum bid price of $1.00 per share (the “Minimum Bid Price Requirement”). Under Nasdaq Listing Rule 5810(c)(3)(A), the Company is entitled to a 180-day period, ending on December 17, 2025, to rectify the deficiency. In order to do so, the Company must achieve and maintain a minimum bid price of at least $1 per share or more for a minimum of 10 consecutive business days.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If the Company does not regain compliance by December 17, 2025, the Company may be eligible for an additional 180 calendar day compliance period if it elects to transfer to The Nasdaq Capital Market to take advantage of the additional compliance period offered on that market. To qualify, the Company will be required to meet the continued listing requirement for market value of publicly held shares and all other initial listing standards, with the exception of the Minimum Bid Price Requirement, and will need to provide written notice of its intention to cure the deficiency during the second compliance period by effecting a reverse stock split if necessary. If the Company does not regain compliance within the compliance period(s), including any extensions that may be granted by Nasdaq, the Common Stock will be subject to delisting. The Company intends to monitor the closing bid price of the Common Stock and consider its available options to resolve the noncompliance with the Minimum Bid Price Requirement. There can be no assurance that the Company will be able to regain compliance with The Nasdaq Global Market’s continued listing requirements or that Nasdaq will grant the Company a further extension of time to regain compliance, if applicable.</w:t>
      </w:r>
    </w:p>
    <w:p>
      <w:pPr>
        <w:pStyle w:val="Heading2"/>
        <w:bidi w:val="0"/>
        <w:spacing w:before="200" w:after="120"/>
        <w:jc w:val="left"/>
        <w:rPr>
          <w:rFonts w:ascii="Times New Roman" w:hAnsi="Times New Roman"/>
          <w:b/>
          <w:color w:val="000000"/>
          <w:sz w:val="20"/>
        </w:rPr>
      </w:pPr>
      <w:r>
        <w:rPr>
          <w:rFonts w:ascii="Times New Roman" w:hAnsi="Times New Roman"/>
          <w:b/>
          <w:color w:val="000000"/>
          <w:sz w:val="20"/>
        </w:rPr>
        <w:t>Item 9.01 Financial Statements and Exhibits.</w:t>
      </w:r>
    </w:p>
    <w:p>
      <w:pPr>
        <w:pStyle w:val="TextBody"/>
        <w:bidi w:val="0"/>
        <w:jc w:val="left"/>
        <w:rPr>
          <w:rFonts w:ascii="Times New Roman" w:hAnsi="Times New Roman"/>
          <w:b/>
          <w:color w:val="000000"/>
          <w:sz w:val="20"/>
        </w:rPr>
      </w:pPr>
      <w:r>
        <w:rPr>
          <w:rFonts w:ascii="Times New Roman" w:hAnsi="Times New Roman"/>
          <w:b/>
          <w:color w:val="000000"/>
          <w:sz w:val="20"/>
        </w:rPr>
        <w:t>(d) Exhibits</w:t>
      </w:r>
    </w:p>
    <w:tbl>
      <w:tblPr>
        <w:tblW w:w="7521" w:type="dxa"/>
        <w:jc w:val="left"/>
        <w:tblInd w:w="0" w:type="dxa"/>
        <w:tblLayout w:type="fixed"/>
        <w:tblCellMar>
          <w:top w:w="28" w:type="dxa"/>
          <w:left w:w="28" w:type="dxa"/>
          <w:bottom w:w="28" w:type="dxa"/>
          <w:right w:w="28" w:type="dxa"/>
        </w:tblCellMar>
      </w:tblPr>
      <w:tblGrid>
        <w:gridCol w:w="811"/>
        <w:gridCol w:w="109"/>
        <w:gridCol w:w="6601"/>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811"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Exhibit</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r>
          </w:p>
        </w:tc>
        <w:tc>
          <w:tcPr>
            <w:tcW w:w="109"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Description</w:t>
            </w:r>
          </w:p>
        </w:tc>
      </w:tr>
      <w:tr>
        <w:trPr/>
        <w:tc>
          <w:tcPr>
            <w:tcW w:w="8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5074" w:type="dxa"/>
        <w:jc w:val="left"/>
        <w:tblInd w:w="0" w:type="dxa"/>
        <w:tblLayout w:type="fixed"/>
        <w:tblCellMar>
          <w:top w:w="28" w:type="dxa"/>
          <w:left w:w="28" w:type="dxa"/>
          <w:bottom w:w="28" w:type="dxa"/>
          <w:right w:w="28" w:type="dxa"/>
        </w:tblCellMar>
      </w:tblPr>
      <w:tblGrid>
        <w:gridCol w:w="556"/>
        <w:gridCol w:w="1246"/>
        <w:gridCol w:w="451"/>
        <w:gridCol w:w="2821"/>
      </w:tblGrid>
      <w:tr>
        <w:trPr/>
        <w:tc>
          <w:tcPr>
            <w:tcW w:w="55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821"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Rani Therapeutics Holdings,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24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June 26, 2025</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821"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Svai Sanford</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24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821"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Svai Sanford</w:t>
              <w:br/>
              <w:t>Chief Financial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741</Words>
  <Characters>3992</Characters>
  <CharactersWithSpaces>4720</CharactersWithSpaces>
  <Paragraphs>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