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Bassan Abraham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RANI THERAPEUTICS LLC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2051 RINGWOOD AVE.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2.09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34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will vest over a three-year period, with one-third of the shares subject to the option vesting on October 23, 2026, and one thirty-sixth of the shares subject to the option vesting each month thereafter, subject to the Reporting Person's continuous service with the Company through each vesting date.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Svai Sanford,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10/27/2025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64485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2025-10-27T18:31:34Z</dcterms:created>
  <dcterms:modified xsi:type="dcterms:W3CDTF">2025-10-27T18:31:34Z</dcterms:modified>
</cp:coreProperties>
</file>