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31231.htm"/>
      <w:bookmarkStart w:id="1" w:name="ksrani20231231"/>
      <w:bookmarkEnd w:id="0"/>
      <w:bookmarkEnd w:id="1"/>
      <w:r>
        <w:rPr/>
        <w:t> </w:t>
      </w:r>
    </w:p>
    <w:p>
      <w:pPr>
        <w:pStyle w:val="TextBody"/>
        <w:bidi w:val="0"/>
        <w:jc w:val="center"/>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jc w:val="center"/>
        <w:rPr/>
      </w:pPr>
      <w:r>
        <w:rPr/>
        <w:t> </w:t>
      </w:r>
    </w:p>
    <w:p>
      <w:pPr>
        <w:pStyle w:val="TextBody"/>
        <w:bidi w:val="0"/>
        <w:spacing w:before="20" w:after="283"/>
        <w:jc w:val="center"/>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35" w:type="dxa"/>
        <w:jc w:val="left"/>
        <w:tblInd w:w="0" w:type="dxa"/>
        <w:tblLayout w:type="fixed"/>
        <w:tblCellMar>
          <w:top w:w="28" w:type="dxa"/>
          <w:left w:w="28" w:type="dxa"/>
          <w:bottom w:w="28" w:type="dxa"/>
          <w:right w:w="28" w:type="dxa"/>
        </w:tblCellMar>
      </w:tblPr>
      <w:tblGrid>
        <w:gridCol w:w="3736"/>
        <w:gridCol w:w="146"/>
        <w:gridCol w:w="706"/>
        <w:gridCol w:w="146"/>
        <w:gridCol w:w="270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73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RANI</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2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The aggregate market value of the registrant’s voting and non-voting common equity held by non-affiliates as of June 30, 2023, the last business day of the registrant’s most recently completed second fiscal quarter, was approximately $54.1</w:t>
      </w:r>
      <w:r>
        <w:rPr>
          <w:rFonts w:ascii="Times New Roman" w:hAnsi="Times New Roman"/>
          <w:color w:val="000000"/>
          <w:sz w:val="20"/>
        </w:rPr>
        <w:t xml:space="preserve"> </w:t>
      </w:r>
      <w:r>
        <w:rPr>
          <w:rFonts w:ascii="Times New Roman" w:hAnsi="Times New Roman"/>
          <w:color w:val="000000"/>
          <w:sz w:val="16"/>
        </w:rPr>
        <w:t>million, based on the closing price of the registrant’s common stock on the Nasdaq Global Select Market of $4.12 per share.</w:t>
      </w:r>
    </w:p>
    <w:p>
      <w:pPr>
        <w:pStyle w:val="TextBody"/>
        <w:bidi w:val="0"/>
        <w:spacing w:before="20" w:after="283"/>
        <w:jc w:val="left"/>
        <w:rPr>
          <w:rFonts w:ascii="Times New Roman" w:hAnsi="Times New Roman"/>
          <w:sz w:val="20"/>
        </w:rPr>
      </w:pPr>
      <w:r>
        <w:rPr>
          <w:rFonts w:ascii="Times New Roman" w:hAnsi="Times New Roman"/>
          <w:color w:val="000000"/>
          <w:sz w:val="16"/>
        </w:rPr>
        <w:t>As of March 14, 2024, the registrant had 26,040,848</w:t>
      </w:r>
      <w:r>
        <w:rPr>
          <w:rFonts w:ascii="Times New Roman" w:hAnsi="Times New Roman"/>
          <w:color w:val="000000"/>
          <w:sz w:val="20"/>
        </w:rPr>
        <w:t xml:space="preserve"> </w:t>
      </w:r>
      <w:r>
        <w:rPr>
          <w:rFonts w:ascii="Times New Roman" w:hAnsi="Times New Roman"/>
          <w:color w:val="000000"/>
          <w:sz w:val="16"/>
        </w:rPr>
        <w:t>shares of Class A common stock, $0.0001 par value per share, outstanding, 24,116,444</w:t>
      </w:r>
      <w:r>
        <w:rPr>
          <w:rFonts w:ascii="Times New Roman" w:hAnsi="Times New Roman"/>
          <w:color w:val="000000"/>
          <w:sz w:val="20"/>
        </w:rPr>
        <w:t xml:space="preserve"> </w:t>
      </w:r>
      <w:r>
        <w:rPr>
          <w:rFonts w:ascii="Times New Roman" w:hAnsi="Times New Roman"/>
          <w:color w:val="000000"/>
          <w:sz w:val="16"/>
        </w:rPr>
        <w:t>shares of Class B common stock, $0.0001 par value per share, outstanding and no</w:t>
      </w:r>
      <w:r>
        <w:rPr>
          <w:rFonts w:ascii="Times New Roman" w:hAnsi="Times New Roman"/>
          <w:color w:val="000000"/>
          <w:sz w:val="20"/>
        </w:rPr>
        <w:t xml:space="preserve"> </w:t>
      </w:r>
      <w:r>
        <w:rPr>
          <w:rFonts w:ascii="Times New Roman" w:hAnsi="Times New Roman"/>
          <w:color w:val="000000"/>
          <w:sz w:val="16"/>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1,345,067 shares of the registrant’s Class A common stock.</w:t>
      </w:r>
      <w:r>
        <w:rPr>
          <w:rFonts w:ascii="Times New Roman" w:hAnsi="Times New Roman"/>
          <w:color w:val="000000"/>
          <w:sz w:val="20"/>
        </w:rPr>
        <w:t xml:space="preserve"> </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20" w:after="283"/>
        <w:jc w:val="left"/>
        <w:rPr>
          <w:rFonts w:ascii="Times New Roman" w:hAnsi="Times New Roman"/>
          <w:color w:val="000000"/>
          <w:sz w:val="16"/>
        </w:rPr>
      </w:pPr>
      <w:r>
        <w:rPr>
          <w:rFonts w:ascii="Times New Roman" w:hAnsi="Times New Roman"/>
          <w:color w:val="000000"/>
          <w:sz w:val="16"/>
        </w:rPr>
        <w:t>The information required by Part III of this Annual Report on Form 10-K, to the extent not set forth herein, is incorporated herein by reference from the registrant’s definitive proxy statement relating to the Annual Meeting of Stockholders to be held in 2024, which definitive proxy statement shall be filed with the Securities and Exchange Commission within 120 days after the end of the registrant's fiscal year ended December 31, 2023.</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5"/>
        <w:gridCol w:w="8748"/>
        <w:gridCol w:w="512"/>
      </w:tblGrid>
      <w:tr>
        <w:trPr/>
        <w:tc>
          <w:tcPr>
            <w:tcW w:w="945" w:type="dxa"/>
            <w:tcBorders/>
            <w:vAlign w:val="center"/>
          </w:tcPr>
          <w:p>
            <w:pPr>
              <w:pStyle w:val="TableContents"/>
              <w:bidi w:val="0"/>
              <w:spacing w:before="0" w:after="283"/>
              <w:jc w:val="left"/>
              <w:rPr>
                <w:sz w:val="4"/>
                <w:szCs w:val="4"/>
              </w:rPr>
            </w:pPr>
            <w:r>
              <w:rPr>
                <w:sz w:val="4"/>
                <w:szCs w:val="4"/>
              </w:rPr>
            </w:r>
          </w:p>
        </w:tc>
        <w:tc>
          <w:tcPr>
            <w:tcW w:w="87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
              <w:r>
                <w:rPr>
                  <w:rStyle w:val="InternetLink"/>
                  <w:rFonts w:ascii="Times New Roman" w:hAnsi="Times New Roman"/>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
              <w:r>
                <w:rPr>
                  <w:rStyle w:val="InternetLink"/>
                  <w:rFonts w:ascii="Times New Roman" w:hAnsi="Times New Roman"/>
                  <w:color w:val="0000FF"/>
                  <w:sz w:val="20"/>
                  <w:u w:val="single"/>
                </w:rPr>
                <w:t>Exhibit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Unless otherwise stated or the context otherwise requires, throughout this Annual Report on Form 10-K, the terms “we,” “us,” and “our,” and similar references refer to Rani Therapeutics Holdings, Inc. (“Rani Holdings”) and its consolidated subsidiary, Rani Therapeutics, LLC (“Rani LLC”) and, prior to December 15, 2022, Rani Management Services, Inc. (“RMS”). RMS was dissolved as of December 15, 2022.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Times New Roman" w:hAnsi="Times New Roman"/>
          <w:i/>
          <w:color w:val="000000"/>
          <w:sz w:val="11"/>
        </w:rPr>
        <w:t>®</w:t>
      </w:r>
      <w:r>
        <w:rPr>
          <w:rFonts w:ascii="Times New Roman" w:hAnsi="Times New Roman"/>
          <w:color w:val="000000"/>
          <w:sz w:val="20"/>
        </w:rPr>
        <w:t xml:space="preserve"> </w:t>
      </w:r>
      <w:r>
        <w:rPr>
          <w:rFonts w:ascii="Times New Roman" w:hAnsi="Times New Roman"/>
          <w:i/>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240"/>
        <w:jc w:val="center"/>
        <w:rPr>
          <w:rFonts w:ascii="Times New Roman" w:hAnsi="Times New Roman"/>
          <w:b/>
          <w:color w:val="000000"/>
          <w:sz w:val="20"/>
        </w:rPr>
      </w:pPr>
      <w:bookmarkStart w:id="2" w:name="forward_looking_statement"/>
      <w:bookmarkEnd w:id="2"/>
      <w:r>
        <w:rPr>
          <w:rFonts w:ascii="Times New Roman" w:hAnsi="Times New Roman"/>
          <w:b/>
          <w:color w:val="000000"/>
          <w:sz w:val="20"/>
        </w:rPr>
        <w:t>SPECIAL NOTE REGARDING FORWARD-LOOKING STATEMENTS</w:t>
      </w:r>
    </w:p>
    <w:p>
      <w:pPr>
        <w:pStyle w:val="TextBody"/>
        <w:bidi w:val="0"/>
        <w:spacing w:before="240" w:after="240"/>
        <w:jc w:val="left"/>
        <w:rPr>
          <w:rFonts w:ascii="Times New Roman" w:hAnsi="Times New Roman"/>
          <w:sz w:val="20"/>
        </w:rPr>
      </w:pPr>
      <w:r>
        <w:rPr>
          <w:rFonts w:ascii="Times New Roman" w:hAnsi="Times New Roman"/>
          <w:color w:val="000000"/>
          <w:sz w:val="20"/>
        </w:rPr>
        <w:t>This Annual Report on Form 10-K, including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contains forward-looking statements. All statements other than statements of historical facts 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and focus of our current and future clinical trials in the United States and abroad, and the reporting of data from those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further develop and expand our platform technology;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utilize our technology platform to generate and advance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selectively enter into strategic partnership and the expected potential benefits thereof;</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scale and optimize our manufacturing processes by expanding our use of automation;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of the number of patients in the United States who suffer from the indications we target and the number of patients that will enroll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indications we target;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innovate and expand our intellectual property by developing novel formulations and new applications of the RaniPill capsule;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technology platform and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sufficiency of our existing cash and cash equivalents to fund our future operating expenses and capital expenditure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propose to implement;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(the “JOBS Act”).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These forward-looking statements are subject to a number of risks, uncertainties, and assumptions described in the section titled “</w:t>
      </w:r>
      <w:r>
        <w:rPr>
          <w:rFonts w:ascii="Times New Roman" w:hAnsi="Times New Roman"/>
          <w:i/>
          <w:color w:val="000000"/>
          <w:sz w:val="20"/>
        </w:rPr>
        <w:t>Risk Factors”</w:t>
      </w:r>
      <w:r>
        <w:rPr>
          <w:rFonts w:ascii="Times New Roman" w:hAnsi="Times New Roman"/>
          <w:color w:val="000000"/>
          <w:sz w:val="20"/>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early clinical stage biopharmaceutical company with no approved products and no historical commercial product revenue, which makes it difficult to assess our future prospects and financial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indebtedness contains restrictions that limit our flexibility in operating our business. In addition, we may be required to make a prepayment or repay our outstanding indebtedness earlier than we expect.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restructuring actions that we previously undertook or may undertake in the future may not deliver the expected results and these actions may adversely affect our business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development is a lengthy and expensive process with an uncertain outcome, and results of earlier studies and trials may not be predictive of future trial results. Clinical failure can occur at any stage of clinical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organization, we have conducted limited early clinical development, have not submitted an investigational new drug application, (“IND”), to the U.S. Food and Drug Administration (“FDA”), and we have never conducted later-stage clinical trials or submitted a Biologics License Application (“BLA”) or New Drug Application (“NDA”), and may be unable to do so for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clinical data on our product candidates to indicate whether they are safe or effective for long-term use in humans.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third-party suppliers for key materials used in our manufacturing processes as well as for the manufacturing of active pharmaceutical ingredients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high-capacity oral delivery device, RaniPill HC, is in early stages of development, and it is subject to the inherent risks and uncertainties of developing a novel, innovative technology. Our efforts to develop RaniPill HC may not be successful.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inability to develop, or difficulties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conducted and may in the future conduct clinical trials for current or future product candidates outside the United States, and the FDA and comparable foreign regulatory authorities may not accept data from such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from other biotherapeutics and pharmaceutical companies, and our operating results will suffer if we fail to compete effectively.</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in part on our ability to build and maintain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multi-class structure of our common stock has the effect of concentrating voting control, which will limit your ability to influence the outcome of important transactions, including a change in control.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that, together, the RaniPill GO and RaniPill HC could enable us to deliver most biologics currently on the market with convenient, oral dosing.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completed three Phase 1 clinical trials with the RaniPill capsule technology. In February 2024, we announced completion of a Phase 1 clinical trial with RT-111, a RaniPill GO capsule containing our proprietary formulation of an ustekinumab biosimilar supplied by Celltrion, Inc. (“Celltrion”), in Australia. The study evaluated the safety and tolerability of a single administration of RT-111 in healthy adult volunteers. The study met all its endpoints, RT-111 was well tolerated and delivered ustekinumab biosimilar with high bioavailability. No serious adverse events were reported in the study.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2022, we completed a Phase 1 clinical trial with RT-102, a RaniPill GO capsule containing our proprietary formulation of parathyroid hormone (1-34) (“PTH”), in Australia. The study involved a single-ascending dose portion and a seven-day repeat-dose portion. The Phase 1 study met all of its endpoints, RT-102 was well tolerated and delivered PTH with high bioavailability (more than 300% greater bioavailability than subcutaneous injection of Forteo (teriparatide)). No serious adverse events were reported in the study. In 2019, we completed a Phase 1 study with RT-101, a RaniPill GO capsule containing our proprietary formulation of octreotide, in Australia. The Phase 1 study met all of its endpoints, RT-101 was well tolerated and delivered octreotide with high bioavailability (comparable to subcutaneous injection of octreotide). No serious adverse events were reported in the study.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December 31, 2023, we have administered the RaniPill capsule 233 times to 146 human subjects in clinical trials, including seven-day repeat-dosing in ten subjects in our Phase 1 study of RT-102. This is in addition to oral administrations of the RaniPill capsule, without a drug or needle, in non-significant risk studies. In our clinical studies, our product candidates were generally well tolerated and no serious adverse events were observed.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Preclinically, we have tested 15 molecules in the RaniPill capsule, including eight antibodies, six peptides and one large protein. We have conducted preclinical testing of more than 7,000 RaniPill capsules in vivo and in vitro. In October 2023, we announced preclinical data from a 60-day, repeat oral-administration good laboratory practices (“GLP”) safety study of the RaniPill capsule in healthy animals. The RaniPill capsule was well tolerated with no treatment-related adverse events and all animals remained clinically healthy throughout the study.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January 1, 2024, we had tested more than 200 RaniPill HC devices in vivo including delivery of a peptide and multiple different antibodies. The RaniPill HC represents a significant opportunity to potentially enable the oral delivery of more than ninety additional biologics currently on the market, including therapeutics like dupilumab, secukinumab, pembrolizumab, etanercept and trastuzumab. We intend for the RaniPill HC to be ready for potential Phase 1 clinical trials in the second half of 2024.</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Update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November 2023, we announced a strategic program prioritization, expansion of manufacturing and plans to streamline business operations to support near-term value drivers and long-term growth of the RaniPill technology platform (the “Restructuring”). The plans include strategic prioritization of its key development programs, RT-102, RT-111 and the RaniPill HC and expansion of our manufacturing footprint to support increased scale and partnerships, and cost reduction initiatives that align with our near-term goals, including a reduction in our workforce by approximately 25%. As part of the strategic focusing of the business, we have paused work on our RT-105 and RT-110 programs and we terminated our RT-101 program, which was the RaniPill capsule containing octreotide.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broad utility of the RaniPill capsule to enable the oral delivery of biologics and drugs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Below is a summary of our product candidate pipeline. We envision complementing these programs with robust partnering activities to maximize the value inherent in the RaniPill capsule.</w:t>
      </w:r>
    </w:p>
    <w:p>
      <w:pPr>
        <w:pStyle w:val="TextBody"/>
        <w:bidi w:val="0"/>
        <w:spacing w:before="0" w:after="240"/>
        <w:jc w:val="center"/>
        <w:rPr/>
      </w:pPr>
      <w:r>
        <w:rPr/>
        <w:drawing>
          <wp:inline distT="0" distB="0" distL="0" distR="0">
            <wp:extent cx="6858000" cy="1914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914525"/>
                    </a:xfrm>
                    <a:prstGeom prst="rect">
                      <a:avLst/>
                    </a:prstGeom>
                  </pic:spPr>
                </pic:pic>
              </a:graphicData>
            </a:graphic>
          </wp:inline>
        </w:drawing>
      </w:r>
      <w:r>
        <w:rPr/>
        <w:t> </w:t>
      </w:r>
    </w:p>
    <w:p>
      <w:pPr>
        <w:pStyle w:val="TextBody"/>
        <w:bidi w:val="0"/>
        <w:jc w:val="left"/>
        <w:rPr>
          <w:rFonts w:ascii="Times New Roman" w:hAnsi="Times New Roman"/>
          <w:i/>
          <w:color w:val="000000"/>
          <w:sz w:val="20"/>
        </w:rPr>
      </w:pPr>
      <w:r>
        <w:rPr>
          <w:rFonts w:ascii="Times New Roman" w:hAnsi="Times New Roman"/>
          <w:i/>
          <w:color w:val="000000"/>
          <w:sz w:val="20"/>
        </w:rPr>
        <w:t>RT-XXX refers to the RaniPill capsule containing a biologic or drug.</w:t>
      </w:r>
    </w:p>
    <w:p>
      <w:pPr>
        <w:pStyle w:val="TextBody"/>
        <w:bidi w:val="0"/>
        <w:jc w:val="left"/>
        <w:rPr>
          <w:rFonts w:ascii="Times New Roman" w:hAnsi="Times New Roman"/>
          <w:i/>
          <w:color w:val="000000"/>
          <w:sz w:val="20"/>
        </w:rPr>
      </w:pPr>
      <w:r>
        <w:rPr>
          <w:rFonts w:ascii="Times New Roman" w:hAnsi="Times New Roman"/>
          <w:i/>
          <w:color w:val="000000"/>
          <w:sz w:val="20"/>
        </w:rPr>
        <w:t>* Clinical timelines are subject to potential regulatory agency review delays.</w:t>
      </w:r>
    </w:p>
    <w:p>
      <w:pPr>
        <w:pStyle w:val="TextBody"/>
        <w:bidi w:val="0"/>
        <w:jc w:val="left"/>
        <w:rPr>
          <w:rFonts w:ascii="Times New Roman" w:hAnsi="Times New Roman"/>
          <w:i/>
          <w:color w:val="000000"/>
          <w:sz w:val="20"/>
        </w:rPr>
      </w:pPr>
      <w:r>
        <w:rPr>
          <w:rFonts w:ascii="Times New Roman" w:hAnsi="Times New Roman"/>
          <w:i/>
          <w:color w:val="000000"/>
          <w:sz w:val="20"/>
        </w:rPr>
        <w:t>** Partnered with Celltrion, Inc. Celltrion, Inc. supplies the drug pursuant to a license and supply agreement and has a right of first negotiation for development and commercial rights following completion of a Phase 1 clinical trial that meets its primary endpoint(s).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 Programs</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RT-111: Ustekinumab for the treatment of inflammatory conditions</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Ustekinumab is currently approved by the FDA and European Medicines Agency (“EMA”) for the treatment of various inflammatory conditions under the brand name STELARA. STELARA (ustekinumab) is an interleukin-12 and interleukin-23 antagonist marketed by Janssen Biotech, Inc. with sales of approximately $6.4 billion in the United States and approximately $9.7 billion worldwide in 2022. The latest expiring United States patent for STELARA (ustekinumab) expired in 2023. In the United States, there were estimated to be seven million patients with psoriasis and three million patients with Crohn’s disease or ulcerative colitis in 2021.</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Our solution: RT-111</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developing RT-111, a RaniPill capsule containing an ustekinumab biosimilar, for the treatment of various inflammatory conditions. We entered into a License and Supply Agreement with Celltrion, under which we receive a license and supply of Celltrion’s ustekinumab biosimilar for development and commercialization worldwide, subject to a right of first negotiation for Celltrion following completion of a Phase 1 clinical trial that meets its primary endpoint(s).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Study Design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single-center, open label Phase 1 study of RT-111 was conducted in Australia. The study evaluated the safety, and tolerability of a single administration of RT-111 in healthy adult volunteers. Of the 55 participants, 20 orally ingested RT-111 containing a single 0.5 mg dose of ustekinumab biosimilar and 20 orally ingested RT-111 containing a single 0.75 mg dose of ustekinumab biosimilar, while a control group of 15 participants received a single 0.5 mg subcutaneous injection of STELARA, a commercial formulation of ustekinumab for subcutaneous (“SC”) administration.</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Safety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Phase 1 study, RT-111 was generally well tolerated, with no serious adverse events (“SAE”) noted during the study. None of the participants withdrew from the study due to any adverse event. Two subjects in the 0.5mg RT-111 group and one subject in the 0.5mg SC STELARA® group had mild, transient adverse events which resolved without any intervention. There was no meaningful difference in incidence of anti-drug antibodies via the RaniPill route of delivery compared to STELARA® SC injection.</w:t>
      </w:r>
    </w:p>
    <w:p>
      <w:pPr>
        <w:pStyle w:val="TextBody"/>
        <w:bidi w:val="0"/>
        <w:spacing w:before="40" w:after="283"/>
        <w:jc w:val="left"/>
        <w:rPr/>
      </w:pPr>
      <w:r>
        <w:rPr/>
        <w:t> </w:t>
      </w:r>
    </w:p>
    <w:tbl>
      <w:tblPr>
        <w:tblW w:w="6815" w:type="dxa"/>
        <w:jc w:val="left"/>
        <w:tblInd w:w="0" w:type="dxa"/>
        <w:tblLayout w:type="fixed"/>
        <w:tblCellMar>
          <w:top w:w="28" w:type="dxa"/>
          <w:left w:w="28" w:type="dxa"/>
          <w:bottom w:w="28" w:type="dxa"/>
          <w:right w:w="28" w:type="dxa"/>
        </w:tblCellMar>
      </w:tblPr>
      <w:tblGrid>
        <w:gridCol w:w="1816"/>
        <w:gridCol w:w="271"/>
        <w:gridCol w:w="1801"/>
        <w:gridCol w:w="1441"/>
        <w:gridCol w:w="1486"/>
      </w:tblGrid>
      <w:tr>
        <w:trPr/>
        <w:tc>
          <w:tcPr>
            <w:tcW w:w="18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8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8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Stelara® SC 0.50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N=15</w:t>
            </w:r>
          </w:p>
        </w:tc>
        <w:tc>
          <w:tcPr>
            <w:tcW w:w="144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RT-111 0.50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N=20</w:t>
            </w:r>
          </w:p>
        </w:tc>
        <w:tc>
          <w:tcPr>
            <w:tcW w:w="14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RT-111 0.75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N=20</w:t>
            </w:r>
          </w:p>
        </w:tc>
      </w:tr>
      <w:tr>
        <w:trPr/>
        <w:tc>
          <w:tcPr>
            <w:tcW w:w="2087" w:type="dxa"/>
            <w:gridSpan w:val="2"/>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Drug Signal Detected </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N=15</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N=19</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N=16</w:t>
            </w:r>
          </w:p>
        </w:tc>
      </w:tr>
      <w:tr>
        <w:trPr/>
        <w:tc>
          <w:tcPr>
            <w:tcW w:w="181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4999"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ADA Positive Cases</w:t>
            </w:r>
          </w:p>
        </w:tc>
      </w:tr>
      <w:tr>
        <w:trPr/>
        <w:tc>
          <w:tcPr>
            <w:tcW w:w="181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ADA Positive*</w:t>
            </w:r>
          </w:p>
        </w:tc>
        <w:tc>
          <w:tcPr>
            <w:tcW w:w="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81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bl>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ADA positive post dosing, increase in titer compared to pre-dose level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 participants reported difficulty swallowing the capsule and capsule remnants passed from all participants without sequelae.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Pharmacokinetics (“PK”)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Oral RT-111 delivered 0.5mg and 0.75mg of ustekinumab biosimilar with high bioavailability (estimated bioavailability of 84% for 0.5mg RT-111 relative to 0.5mg SC STELARA®).</w:t>
      </w:r>
    </w:p>
    <w:p>
      <w:pPr>
        <w:pStyle w:val="TextBody"/>
        <w:bidi w:val="0"/>
        <w:spacing w:before="40" w:after="283"/>
        <w:jc w:val="left"/>
        <w:rPr/>
      </w:pPr>
      <w:r>
        <w:rPr/>
        <w:t> </w:t>
      </w:r>
    </w:p>
    <w:tbl>
      <w:tblPr>
        <w:tblW w:w="6169" w:type="dxa"/>
        <w:jc w:val="left"/>
        <w:tblInd w:w="0" w:type="dxa"/>
        <w:tblLayout w:type="fixed"/>
        <w:tblCellMar>
          <w:top w:w="28" w:type="dxa"/>
          <w:left w:w="28" w:type="dxa"/>
          <w:bottom w:w="28" w:type="dxa"/>
          <w:right w:w="28" w:type="dxa"/>
        </w:tblCellMar>
      </w:tblPr>
      <w:tblGrid>
        <w:gridCol w:w="1636"/>
        <w:gridCol w:w="1696"/>
        <w:gridCol w:w="1396"/>
        <w:gridCol w:w="1441"/>
      </w:tblGrid>
      <w:tr>
        <w:trPr/>
        <w:tc>
          <w:tcPr>
            <w:tcW w:w="16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6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Stelara</w:t>
            </w:r>
            <w:r>
              <w:rPr>
                <w:rFonts w:ascii="Times New Roman" w:hAnsi="Times New Roman"/>
                <w:color w:val="000000"/>
                <w:sz w:val="13"/>
              </w:rPr>
              <w:t xml:space="preserve">® </w:t>
            </w:r>
            <w:r>
              <w:rPr>
                <w:rFonts w:ascii="Times New Roman" w:hAnsi="Times New Roman"/>
                <w:color w:val="000000"/>
                <w:sz w:val="20"/>
              </w:rPr>
              <w:t>SC 0.50mg</w:t>
            </w:r>
          </w:p>
        </w:tc>
        <w:tc>
          <w:tcPr>
            <w:tcW w:w="13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RT-111 0.50mg</w:t>
            </w:r>
          </w:p>
        </w:tc>
        <w:tc>
          <w:tcPr>
            <w:tcW w:w="144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RT-111 0.75mg</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Cmax (ng/mL)</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 4</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 ± 7</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 ± 8</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Tmax (days)</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0.8</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 ± 0.2*</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 ± 0.2*</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AUC (day*ng/mL)</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1,566 ± 130</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1,315 ± 150</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1,814 ± 165</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Bioavailability</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Data are Mean ± SE from all subjects, including those with anti-drug antibodies. *p&lt;0.0001 significantly different from SC group.</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License and Supply Agreement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January 2023, we announced entering into a License and Supply Agreement with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We believe the Phase 1 clinical trial that we completed with RT-111, the topline data of which we announced in February 2024, satisfies the requirements for triggering Celltrion’s right of first negotiation.</w:t>
      </w:r>
    </w:p>
    <w:p>
      <w:pPr>
        <w:pStyle w:val="TextBody"/>
        <w:bidi w:val="0"/>
        <w:spacing w:before="240" w:after="240"/>
        <w:jc w:val="left"/>
        <w:rPr>
          <w:rFonts w:ascii="Times New Roman" w:hAnsi="Times New Roman"/>
          <w:sz w:val="20"/>
        </w:rPr>
      </w:pPr>
      <w:r>
        <w:rPr>
          <w:rFonts w:ascii="Times New Roman" w:hAnsi="Times New Roman"/>
          <w:i/>
          <w:color w:val="000000"/>
          <w:sz w:val="20"/>
        </w:rPr>
        <w:t>Next Steps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advance clinical development of RT-111 at higher doses.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RT-102: Parathyroid hormone (PTH) for the treatment of osteoporosis</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with age.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PTH is an effective bone-building treatment for osteoporosis. PTH is a hormone secreted by the parathyroid glands that regulates serum calcium concentration and promotes bone growth. PTH therapies are delivered by daily subcutaneous injections for up to two years. Approximately ten million Americans suffer from osteoporosis; however, we estimate that only a small fraction of this population is being treated with a form of PTH. While there may be other reasons for this, we believe that patient aversion to daily injections may be a major factor. As a result, non-bone-building and less effective antiresorptive drugs are used as first line therapies because they are available in oral form.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Teriparatide, a synthetic form of the natural human parathyroid hormone hPTH(1-34), is a PTH analog administered as a once-daily injection to treat osteoporosis, first developed by Eli Lilly and Company and sold under the brand name Forteo. Another PTH analog injectable is Tymlos by Radius Health, Inc., which was approved in 2017. A teriparatide biosimilar injectable by Pfenex, Inc. was approved in 2019. Annual sales revenue of PTH analogs and biosimilars globally in 2021 was approximately $2.0 billion.</w:t>
      </w:r>
    </w:p>
    <w:p>
      <w:pPr>
        <w:pStyle w:val="TextBody"/>
        <w:bidi w:val="0"/>
        <w:jc w:val="left"/>
        <w:rPr>
          <w:rFonts w:ascii="Times New Roman" w:hAnsi="Times New Roman"/>
          <w:i/>
          <w:color w:val="000000"/>
          <w:sz w:val="20"/>
        </w:rPr>
      </w:pPr>
      <w:r>
        <w:rPr>
          <w:rFonts w:ascii="Times New Roman" w:hAnsi="Times New Roman"/>
          <w:i/>
          <w:color w:val="000000"/>
          <w:sz w:val="20"/>
        </w:rPr>
        <w:t>Our solution: RT-102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developing RT-102, the RaniPill capsule containing our novel formulation of PTH, for oral treatment of osteoporosis. We have worldwide commercial rights to RT-102. In addition to the existing market, we believe there is an opportunity to expand the market by advancing RT-102 as a first line therapy for osteoporosis.</w:t>
      </w:r>
    </w:p>
    <w:p>
      <w:pPr>
        <w:pStyle w:val="TextBody"/>
        <w:bidi w:val="0"/>
        <w:jc w:val="left"/>
        <w:rPr>
          <w:rFonts w:ascii="Times New Roman" w:hAnsi="Times New Roman"/>
          <w:i/>
          <w:color w:val="000000"/>
          <w:sz w:val="20"/>
        </w:rPr>
      </w:pPr>
      <w:r>
        <w:rPr>
          <w:rFonts w:ascii="Times New Roman" w:hAnsi="Times New Roman"/>
          <w:i/>
          <w:color w:val="000000"/>
          <w:sz w:val="20"/>
        </w:rPr>
        <w:t>Preclinical pharmacodynamic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a 6-week pharmacodynamic study of the RT-102 drug substance PTH (1-34) to evaluate the effect of daily RT-102 drug substance (“DS”) intraperitoneal injections on bone mineral density in a rodent model of osteoporosis. The study compared two control groups of rodents undergoing sham surgery (N=10) and ovariectomy (N=10) receiving no drug, to three overiectomized groups each dosed with 5 mcg/kg per day of either RT-102 DS (N=10), teriparatide (N=10), or abaloparatide (N=10).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study found that, following six weeks of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RT-102 DS increased bone mineral density (“BMD”) in a rat model of osteoporosis.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RT-102 DS delivered via the intraperitoneal (“IP”) route of administration was biologically active comparable to subcutaneously injected PTH analogs.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we completed a Phase 1 clinical trial with RT-102 in Australia. The study involved a single-ascending dose portion (“Study Part 1”) and a seven-day repeat-dose portion (“Study Part 2”). The Phase 1 study met all of its endpoints, RT-102 was well tolerated and delivery yielded high bioavailability (more than 300% greater bioavailability than subcutaneous injection). No serious adverse events were reported in the study. We plan to initiate a Phase 2 clinical trial of RT-102 in 2024.</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Study Part 1 - Topline Results</w:t>
      </w:r>
    </w:p>
    <w:p>
      <w:pPr>
        <w:pStyle w:val="TextBody"/>
        <w:bidi w:val="0"/>
        <w:spacing w:before="240" w:after="240"/>
        <w:jc w:val="left"/>
        <w:rPr>
          <w:rFonts w:ascii="Times New Roman" w:hAnsi="Times New Roman"/>
          <w:sz w:val="20"/>
        </w:rPr>
      </w:pPr>
      <w:r>
        <w:rPr>
          <w:rFonts w:ascii="Times New Roman" w:hAnsi="Times New Roman"/>
          <w:color w:val="000000"/>
          <w:sz w:val="20"/>
          <w:u w:val="single"/>
        </w:rPr>
        <w:t>Study Design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single-center, open label, Study Part 1 was conducted in Australia. The study evaluated the safety, tolerability, and pharmacokinetics of RT-102 in healthy adult female volunteers. Of the 39 participants, 15 were administered RT-102 containing a single 20 μg dose of PTH and 14 were administered RT-102 containing a single 80 μg dose of PTH, while a control group of ten participants received a single 20 μg subcutaneous injection (SC) of Forteo (teriparatide), a commercial formulation of PTH for subcutaneous administration. The endpoints of the study were safety and tolerability, and measurements of serum concentrations of RT-102 in healthy adult female volunteers.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Safety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Study Part 1, RT-102 was generally well tolerated, with no RaniPill-related adverse events (“AEs”) observed in study participants: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0% (0/15) of participants dosed with RT-102 20 μg experienced drug-related AEs.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14% (2/14) of participants dosed with of RT-102 80 μg experienced drug-related AEs.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50% (5/10) of participants dosed with 20 μg of Forteo SC experienced drug-related AEs.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serious adverse events (“SAEs”) noted during Study Part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protocol, in instances where the RaniPill capsule did not exit the stomach within seven hours, participants were excluded from the study. Based on the exclusion criteria, three participants were excluded from Study Part 1, one of whom experienced bloating, and one additional subject was excluded due to vomiting the capsule intact. In all instances, the capsule remnants passed from all participants who ingested the RaniPill capsule.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Pharmacokinetics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Study Part 1, RT-102 (20 μg and 80 μg) orally delivered PTH with 300%-400% greater bioavailability than PTH delivered by Forteo SC (20 μg).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RT-102 20 μg delivered PTH with lower, more sustained peak serum levels and higher area under the curve (“AUC”) than Forteo SC 20 μg.</w:t>
      </w:r>
    </w:p>
    <w:p>
      <w:pPr>
        <w:pStyle w:val="TextBody"/>
        <w:bidi w:val="0"/>
        <w:spacing w:before="40" w:after="283"/>
        <w:jc w:val="left"/>
        <w:rPr/>
      </w:pPr>
      <w:r>
        <w:rPr/>
        <w:t> </w:t>
      </w:r>
    </w:p>
    <w:tbl>
      <w:tblPr>
        <w:tblW w:w="5509" w:type="dxa"/>
        <w:jc w:val="left"/>
        <w:tblInd w:w="0" w:type="dxa"/>
        <w:tblLayout w:type="fixed"/>
        <w:tblCellMar>
          <w:top w:w="28" w:type="dxa"/>
          <w:left w:w="28" w:type="dxa"/>
          <w:bottom w:w="28" w:type="dxa"/>
          <w:right w:w="28" w:type="dxa"/>
        </w:tblCellMar>
      </w:tblPr>
      <w:tblGrid>
        <w:gridCol w:w="1471"/>
        <w:gridCol w:w="1471"/>
        <w:gridCol w:w="1261"/>
        <w:gridCol w:w="1306"/>
      </w:tblGrid>
      <w:tr>
        <w:trPr/>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47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Forteo SC 20 μg</w:t>
            </w:r>
          </w:p>
        </w:tc>
        <w:tc>
          <w:tcPr>
            <w:tcW w:w="12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RT-102 20 μg</w:t>
            </w:r>
          </w:p>
        </w:tc>
        <w:tc>
          <w:tcPr>
            <w:tcW w:w="130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RT-102 80 μg</w:t>
            </w:r>
          </w:p>
        </w:tc>
      </w:tr>
      <w:tr>
        <w:trPr/>
        <w:tc>
          <w:tcPr>
            <w:tcW w:w="14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Cmax (pg/mL)</w:t>
            </w:r>
          </w:p>
        </w:tc>
        <w:tc>
          <w:tcPr>
            <w:tcW w:w="14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 ± 20</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 ± 10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 ± 223</w:t>
            </w:r>
          </w:p>
        </w:tc>
      </w:tr>
      <w:tr>
        <w:trPr/>
        <w:tc>
          <w:tcPr>
            <w:tcW w:w="14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Tmax (hr)</w:t>
            </w:r>
          </w:p>
        </w:tc>
        <w:tc>
          <w:tcPr>
            <w:tcW w:w="14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0.217</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0.994</w:t>
            </w:r>
          </w:p>
        </w:tc>
      </w:tr>
      <w:tr>
        <w:trPr/>
        <w:tc>
          <w:tcPr>
            <w:tcW w:w="14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AUC (h*pg/mL)</w:t>
            </w:r>
          </w:p>
        </w:tc>
        <w:tc>
          <w:tcPr>
            <w:tcW w:w="14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 ± 64</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 ± 36</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2600 ± 649</w:t>
            </w:r>
          </w:p>
        </w:tc>
      </w:tr>
      <w:tr>
        <w:trPr/>
        <w:tc>
          <w:tcPr>
            <w:tcW w:w="147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Relative BA (5)</w:t>
            </w:r>
          </w:p>
        </w:tc>
        <w:tc>
          <w:tcPr>
            <w:tcW w:w="14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bl>
    <w:p>
      <w:pPr>
        <w:pStyle w:val="TextBody"/>
        <w:bidi w:val="0"/>
        <w:spacing w:before="40" w:after="283"/>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Device Performance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versions of the RaniPill capsule were used during Study Part 1: Version C, which was used in our prior Phase 1 study of octreotide (which also utilized a Version A and Version B); and Version D, the latest iteration of the RaniPill capsule.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RaniPill Version D demonstrated a higher drug delivery success rate than Version 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95% (20/21) of participants received successful drug delivery when ingesting RaniPill Version 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75% (6/8) of participants received successful drug delivery when ingesting RaniPill Version 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device performance analysis does not include participants excluded from the study per protocol, as drug delivery was not measured in such participants.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Study Part 2 - Topline Results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Study Design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Study Part 2 was a continuation of Rani’s single-center, open-label Phase 1 study of RT-102 conducted in Australia. The study evaluated the safety and tolerability of once-daily administration of RT-102 containing 20 μg of PTH given repeatedly for seven consecutive days in ten healthy female volunteers (five of whom were post-menopausal). Complete pharmacokinetic profiles of PTH were obtained for each subject on Day 7.</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Safety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RT-102 was generally well tolerated, with no serious adverse events noted during the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participants withdrew from the repeat-dose study due to any adverse event related to the RaniPill capsule or due to difficulty swallowing the capsule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subjects had transient, mild-to-moderate adverse events which resolved without any intervention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Device remnants were excreted without sequelae in all subjects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Pharmacokinetics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RT-102 delivered 20 µg of PTH with high bioavailability (relative to 20 µg SC Forteo (teriparatide) in Study Part 1, confirming the high bioavailability of PTH delivered via the RaniPill capsule observed during Study Part 1.</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Device Performance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all ten participants who completed seven days of daily, consecutive dosing, the RaniPill capsule demonstrated an overall drug delivery success rate of 91% over the seven days (drug sampling was done at three, six and nine hours after capsule swallowing on Days 1-6).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Day 7, with more frequent, serial drug sampling after capsule swallowing on that day, the drug delivery success rate was 100%.</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Days 1 through 6, participants ate food three hours after administration of the RaniPill capsule. The number of successful deployments was comparable before and after food was consumed.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Regulatory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completed a pre-IND meeting with the FDA with respect to RT-102. Following feedback from the meeting, we believe that a 505(b)(2) pathway is suitable for the development of RT-102 in the U.S. In addition, we obtained guidance from the FDA on our preclinical and clinical development plans for RT-102. We intend to initiate a Phase 2 clinical trial of RT-102 in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RT-105: Anti-TNF-alpha antibody for the treatment of psoriatic arthritis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$21.2 billion in 2022. Adalimumab is approved by the FDA and EMA to treat a range of autoimmune conditions, including psoriasis, rheumatoid arthritis, and Crohn’s disease. In the U.S. alone, there are an estimated one and one-half million patients with rheumatoid arthritis, seven million with psoriasis, and three million with Crohn’s disease or ulcerative colitis. At least eight Humira biosimilars entered the U.S. market over the course of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who use adalimumab administer the drug through a subcutaneous injection once every two weeks. Despite the painful injections required to administer it, adalimumab was the best-selling drug globally in 2020.</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RT-105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RT-105, the RaniPill capsule containing a formulation of adalimumab, for oral treatment of a host of inflammatory conditions, beginning with treatment of psoriatic arthritis and later expanding to other indications for which TNF-alpha inhibitors are approved. We believe that the development of an orally administered anti-TNF-alpha antibody represents a significant market opportunity. In June 2023, we entered into a License and Supply Agreement with Celltrion under which we receive an exclusive license and supply of Celltrion’s adalimumab biosimilar for development and commercialization of RT-105 worldwide, subject to a right of first negotiation for Celltrion.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40" w:after="283"/>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Endoscopic administration of adalimumab into the jejunum of healthy human volunteers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assess whether the observations from preclinical studies regarding absorption of adalimumab through the intestinal wall translate to clinical trials, we conducted an endoscopic study in humans. The study involved ten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PK profiles were similar with no notable differences observed in either area under the curve (“AUC”) or maximum serum concentration (“Cmax”). The mean AUC was 62.7 ± 11.4 µg/ml*day*kg/mg for the subcutaneous group and 45.0 ± 29.0 µg/ml*day*kg/mg for the intrajejunal group. No serious adverse events were noted in this study, and adverse events of headache and flu-like symptoms after intrajejunal administration resolved within 48 hours. The results are consistent with data obtained in preclinical studies, confirming intrajejunal delivery as a viable route of delivery for adalimumab.</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announced the pausing of development of RT-105 as part of a strategic focusing of the business. The next milestone for this program will be to initiate a Phase 1 clinical trial of RT-105. Under the Celltrion Agreement for adalimumab, Celltrion will have a right to terminate the agreement if we do not initiate a Phase 1 clinical trial with RT-105, or fail to deliver to Celltrion topline data from a Phase 1 trial that meets its primary endpoint(s), within certain agreed time periods. We anticipate resuming this program in time to enable us to satisfy these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RT-110: PTH for the treatment of hypoparathyroidism</w:t>
      </w:r>
    </w:p>
    <w:p>
      <w:pPr>
        <w:pStyle w:val="TextBody"/>
        <w:bidi w:val="0"/>
        <w:spacing w:before="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Hypoparathyroidism is a rare condition of low levels of serum PTH resulting in low calcium levels in the blood. The prevalence of hypoparathyroidism in the United States is approximately 115,000 people. PTH is currently approved for the treatment of hypoparathyroidism by the FDA and EMA. PTH treatment requires lifelong daily injections but has suboptimal efficacy. Treatment of hypoparathyroidism is most effective with consistent and sustained plasma levels of PTH.</w:t>
      </w:r>
    </w:p>
    <w:p>
      <w:pPr>
        <w:pStyle w:val="TextBody"/>
        <w:bidi w:val="0"/>
        <w:jc w:val="left"/>
        <w:rPr>
          <w:rFonts w:ascii="Times New Roman" w:hAnsi="Times New Roman"/>
          <w:sz w:val="20"/>
        </w:rPr>
      </w:pPr>
      <w:r>
        <w:rPr>
          <w:rFonts w:ascii="Times New Roman" w:hAnsi="Times New Roman"/>
          <w:i/>
          <w:color w:val="000000"/>
          <w:sz w:val="20"/>
        </w:rPr>
        <w:t>Our solution: RT-110</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developing RT-110, the RaniPill capsule containing our second novel formulation of PTH, for oral treatment of hypoparathyroidism. We are creating a sustained release formulation of RT-110 which is intended to provide continuous exposures of the hormone required to normalize the calcium imbalance in hypoparathyroidism patients. We have worldwide commercial rights to RT-110. We believe that there is an unmet need for a delivery method more convenient than injection, and we further believe that the RaniPill capsule could provide for a treatment regimen that can better maintain consistent and sustained plasma levels of PTH than the current treatment regimen of daily PTH injections.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November 2023, we announced the pausing of development of RT-110 as part of a strategic focusing of the business. The next milestone for this program would be to initiate a Phase 1 clinical trial in healthy volunteers.</w:t>
      </w:r>
    </w:p>
    <w:p>
      <w:pPr>
        <w:pStyle w:val="TextBody"/>
        <w:bidi w:val="0"/>
        <w:spacing w:before="240" w:after="240"/>
        <w:jc w:val="left"/>
        <w:rPr>
          <w:rFonts w:ascii="Times New Roman" w:hAnsi="Times New Roman"/>
          <w:sz w:val="20"/>
        </w:rPr>
      </w:pPr>
      <w:r>
        <w:rPr>
          <w:rFonts w:ascii="Times New Roman" w:hAnsi="Times New Roman"/>
          <w:b/>
          <w:color w:val="000000"/>
          <w:sz w:val="20"/>
        </w:rPr>
        <w:t>The Market and Our Strategy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 than half of the adult population of the U.S. has one or more chronic diseases. The affected population is expected to continue to grow as the population ages. Chronic conditions, including autoimmune diseases, metabolic disorders, cancers, and cardiovascular diseases are increasingly being treated with biologics. In 2022, six of the ten highest revenue-producing drugs in the world were biologics. Current treatments using biologics are primarily via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The global biologics market size is estimated to be $429.5 billion in 2024 and is expected to reach $601.26 billion by 2029.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(“GI”) environment before they can be absorbed into the bloodstream.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solution is a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biologics dosed via the RaniPill capsule that is generally comparable to the bioavailability of biologics dosed subcutaneously, with high dosing accuracy: this level of bioavailability is significantly higher than any that has been demonstrated with respect to others’ attempts at oral delivery of biologics.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pursuing a number of clinical and preclinical pipeline programs utilizing our RaniPill capsule. In addition, our newly designed high-capacity oral biologic delivery device, the RaniPill HC, has the potential to deliver 500%-plus higher payloads than our current RaniPill GO capsule. We believe this is a significant breakthrough in drug delivery with the potential to provide expansive opportunities for the company, such that we could potentially pursue a convenient dosing option for over 50 additional biologics, for internal development or through partnership, including such biologics as dupilumab, pembrolizumab, etanercept, trastuzumab and secukinumab. We believe that oral biologics utilizing our RaniPill technology have the potential to disrupt the large and growing biologics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strategic vision is to disrupt and expand the market currently served by injectable only therapeutic biologics. We plan to do this by developing and advancing a pipeline of oral biologics therapies to unlock the value of these assets and to progress platform development and by actively pursuing partnering of the technology with third party biopharmaceutical companies for the oral delivery of their biologics and drugs. We also intend to explore opportunities to demonstrate the potential of the delivery platform in additional modalities and therapeutics areas. We believe that the RaniPill capsule has the potential to improve the lives of millions of patients with chronic diseases who currently depend on biologics and drugs available only as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strategy includes the following aspects.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Pursue validated and commercially established market opportunities. </w:t>
      </w:r>
      <w:r>
        <w:rPr>
          <w:rFonts w:ascii="Times New Roman" w:hAnsi="Times New Roman"/>
          <w:color w:val="000000"/>
          <w:sz w:val="20"/>
        </w:rPr>
        <w:t>We intend to pursue high-value markets with biologics that are already approved or validated where we can develop differentiated products. We believe that these products will take market share from available therapies, while also expanding existing markets by reaching new patient populations that otherwise are not being treated by injectable biologics.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Expand in-house manufacturing of the RaniPill capsule. </w:t>
      </w:r>
      <w:r>
        <w:rPr>
          <w:rFonts w:ascii="Times New Roman" w:hAnsi="Times New Roman"/>
          <w:color w:val="000000"/>
          <w:sz w:val="20"/>
        </w:rPr>
        <w:t>We have vertically integrated our manufacturing, and plan to continue to scale and optimize our manufacturing processes by expanding our use of automation. For commercial scale manufacturing, we will consider engaging one or more third party contract manufacturers,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Invest in RaniPill capsule capabilities. </w:t>
      </w:r>
      <w:r>
        <w:rPr>
          <w:rFonts w:ascii="Times New Roman" w:hAnsi="Times New Roman"/>
          <w:color w:val="000000"/>
          <w:sz w:val="20"/>
        </w:rPr>
        <w:t xml:space="preserve">We intend to become a leader in oral biologics by continuing to invest in our technology, such as by expanding payload capacity and developing novel biologic formulations to maximize the number of therapeutic targets and addressable markets.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Expand our reach by selectively entering into strategic partnerships. </w:t>
      </w:r>
      <w:r>
        <w:rPr>
          <w:rFonts w:ascii="Times New Roman" w:hAnsi="Times New Roman"/>
          <w:color w:val="000000"/>
          <w:sz w:val="20"/>
        </w:rPr>
        <w:t>We are actively exploring strategic partnerships to enable us to expand our commercial reach and enable oral administration of a broader array of biologics and drugs.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Continue to strengthen our intellectual property portfolio. </w:t>
      </w:r>
      <w:r>
        <w:rPr>
          <w:rFonts w:ascii="Times New Roman" w:hAnsi="Times New Roman"/>
          <w:color w:val="000000"/>
          <w:sz w:val="20"/>
        </w:rPr>
        <w:t>Our patent portfolio has helped establish us as a leading oral biologics company. We plan to continue to innovate and expand our intellectual property by developing further innovations and new applications of the RaniPill capsule.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Our Platform Technology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bioavailability.We are also developing a high-capacity version of the RaniPill capsule known as the RaniPill HC, which is intended to enable delivery of drug payloads up to 200µL in liquid form with high bioavailability.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our product candidates is a RaniPill capsule containing a biologic. We may use the term RaniPill platform or RaniPill device herein to refer to the physical structure and/or mechanisms of the RaniPill capsule absent a biologic.</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The RaniPill capsule</w:t>
      </w:r>
    </w:p>
    <w:p>
      <w:pPr>
        <w:pStyle w:val="TextBody"/>
        <w:bidi w:val="0"/>
        <w:jc w:val="left"/>
        <w:rPr>
          <w:rFonts w:ascii="Times New Roman" w:hAnsi="Times New Roman"/>
          <w:color w:val="000000"/>
          <w:sz w:val="20"/>
        </w:rPr>
      </w:pPr>
      <w:r>
        <w:rPr>
          <w:rFonts w:ascii="Times New Roman" w:hAnsi="Times New Roman"/>
          <w:color w:val="000000"/>
          <w:sz w:val="20"/>
        </w:rPr>
        <w:t xml:space="preserve">The RaniPill capsule is a versatile, drug-agnostic, orally ingestible pill approximately the size of a fish oil or calcium pill or a ‘000’-sized capsule. </w:t>
      </w:r>
    </w:p>
    <w:p>
      <w:pPr>
        <w:pStyle w:val="TextBody"/>
        <w:bidi w:val="0"/>
        <w:jc w:val="left"/>
        <w:rPr/>
      </w:pPr>
      <w:r>
        <w:rPr/>
        <w:t> </w:t>
      </w:r>
    </w:p>
    <w:p>
      <w:pPr>
        <w:pStyle w:val="TextBody"/>
        <w:bidi w:val="0"/>
        <w:jc w:val="center"/>
        <w:rPr/>
      </w:pPr>
      <w:r>
        <w:rPr/>
        <w:drawing>
          <wp:inline distT="0" distB="0" distL="0" distR="0">
            <wp:extent cx="3095625" cy="2105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95625" cy="21050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RaniPill capsule in purple next to fish oil pills (gold) and calcium pills (white).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illustrations depict the clinically tested RaniPill GO capsule traversing through and deploying within a lumen of the intestine illustrated in cross section.</w:t>
      </w:r>
    </w:p>
    <w:p>
      <w:pPr>
        <w:pStyle w:val="TextBody"/>
        <w:bidi w:val="0"/>
        <w:jc w:val="left"/>
        <w:rPr/>
      </w:pPr>
      <w:r>
        <w:rPr/>
        <w:t> </w:t>
      </w:r>
    </w:p>
    <w:tbl>
      <w:tblPr>
        <w:tblW w:w="11162" w:type="dxa"/>
        <w:jc w:val="left"/>
        <w:tblInd w:w="0" w:type="dxa"/>
        <w:tblLayout w:type="fixed"/>
        <w:tblCellMar>
          <w:top w:w="28" w:type="dxa"/>
          <w:left w:w="28" w:type="dxa"/>
          <w:bottom w:w="28" w:type="dxa"/>
          <w:right w:w="28" w:type="dxa"/>
        </w:tblCellMar>
      </w:tblPr>
      <w:tblGrid>
        <w:gridCol w:w="2681"/>
        <w:gridCol w:w="146"/>
        <w:gridCol w:w="2666"/>
        <w:gridCol w:w="146"/>
        <w:gridCol w:w="2666"/>
        <w:gridCol w:w="146"/>
        <w:gridCol w:w="2711"/>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2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9048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00200" cy="9048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90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0200" cy="904875"/>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90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00200" cy="904875"/>
                          </a:xfrm>
                          <a:prstGeom prst="rect">
                            <a:avLst/>
                          </a:prstGeom>
                        </pic:spPr>
                      </pic:pic>
                    </a:graphicData>
                  </a:graphic>
                </wp:inline>
              </w:drawing>
            </w:r>
            <w:r>
              <w:rPr/>
              <w:t> </w:t>
            </w:r>
          </w:p>
        </w:tc>
      </w:tr>
      <w:tr>
        <w:trPr/>
        <w:tc>
          <w:tcPr>
            <w:tcW w:w="2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D</w:t>
            </w:r>
          </w:p>
        </w:tc>
      </w:tr>
    </w:tbl>
    <w:p>
      <w:pPr>
        <w:pStyle w:val="TextBody"/>
        <w:bidi w:val="0"/>
        <w:jc w:val="left"/>
        <w:rPr/>
      </w:pPr>
      <w:r>
        <w:rPr/>
        <w:t> </w:t>
      </w:r>
    </w:p>
    <w:p>
      <w:pPr>
        <w:pStyle w:val="TextBody"/>
        <w:bidi w:val="0"/>
        <w:spacing w:before="40" w:after="240"/>
        <w:jc w:val="left"/>
        <w:rPr>
          <w:rFonts w:ascii="Times New Roman" w:hAnsi="Times New Roman"/>
          <w:sz w:val="20"/>
        </w:rPr>
      </w:pPr>
      <w:r>
        <w:rPr>
          <w:rFonts w:ascii="Times New Roman" w:hAnsi="Times New Roman"/>
          <w:color w:val="000000"/>
          <w:sz w:val="20"/>
          <w:u w:val="single"/>
        </w:rPr>
        <w:t>Panel A</w:t>
      </w:r>
      <w:r>
        <w:rPr>
          <w:rFonts w:ascii="Times New Roman" w:hAnsi="Times New Roman"/>
          <w:color w:val="000000"/>
          <w:sz w:val="20"/>
        </w:rPr>
        <w:t>: As the RaniPill capsule exits the stomach and enters the small intestine, the higher pH environment of around 6.5 in the jejunum begins to dissolve the coating.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B</w:t>
      </w:r>
      <w:r>
        <w:rPr>
          <w:rFonts w:ascii="Times New Roman" w:hAnsi="Times New Roman"/>
          <w:color w:val="000000"/>
          <w:sz w:val="20"/>
        </w:rPr>
        <w:t>: Dissolution of the coating exposes a balloon in the RaniPill capsule to intestinal fluid which results in the balloon self-inflating.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C</w:t>
      </w:r>
      <w:r>
        <w:rPr>
          <w:rFonts w:ascii="Times New Roman" w:hAnsi="Times New Roman"/>
          <w:color w:val="000000"/>
          <w:sz w:val="20"/>
        </w:rPr>
        <w:t>: Inflation of the balloon orients a microneedle contained within the balloon approximately perpendicular to the intestinal wall. The pressure in the balloon delivers the microneedle, which is smaller than a grain of rice, into the intestinal wall. The microneedle dissolves in the moist tissue environment, and the drug is absorbed into the vasculature and thereby into the bloodstream.</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D</w:t>
      </w:r>
      <w:r>
        <w:rPr>
          <w:rFonts w:ascii="Times New Roman" w:hAnsi="Times New Roman"/>
          <w:color w:val="000000"/>
          <w:sz w:val="20"/>
        </w:rPr>
        <w:t>: The balloon immediately deflates upon microneedle delivery and is excreted through normal digestive processes.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RaniPill HC operates similar to the RaniPill GO except that, instead of delivering a dissolvable microneedle containing a solid microtablet of drug, the RaniPill HC uses a dissolvable needle to deliver the drug payload in liquid form.</w:t>
      </w:r>
    </w:p>
    <w:p>
      <w:pPr>
        <w:pStyle w:val="TextBody"/>
        <w:bidi w:val="0"/>
        <w:spacing w:before="240" w:after="240"/>
        <w:jc w:val="left"/>
        <w:rPr>
          <w:rFonts w:ascii="Times New Roman" w:hAnsi="Times New Roman"/>
          <w:sz w:val="20"/>
        </w:rPr>
      </w:pPr>
      <w:r>
        <w:rPr>
          <w:rFonts w:ascii="Times New Roman" w:hAnsi="Times New Roman"/>
          <w:b/>
          <w:i/>
          <w:color w:val="000000"/>
          <w:sz w:val="20"/>
        </w:rPr>
        <w:t>Features and advantages of the RaniPill capsule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High bioavailability and high dosing accuracy</w:t>
      </w:r>
      <w:r>
        <w:rPr>
          <w:color w:val="000000"/>
        </w:rPr>
        <w:t xml:space="preserve"> – </w:t>
      </w:r>
      <w:r>
        <w:rPr>
          <w:rFonts w:ascii="Times New Roman" w:hAnsi="Times New Roman"/>
          <w:color w:val="000000"/>
          <w:sz w:val="20"/>
        </w:rPr>
        <w:t xml:space="preserve">Our studies conducted to date have demonstrated that the RaniPill capsule delivers biologics with high bioavailability and high dosing accuracy. This level of bioavailability is significantly higher than that of currently marketed chemistry-based oral biologics, the best attempts of which to our awareness have resulted in peptides being delivered with only low single-digit bioavailability.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Protective coating avoids deployment in the stomach</w:t>
      </w:r>
      <w:r>
        <w:rPr>
          <w:color w:val="000000"/>
        </w:rPr>
        <w:t xml:space="preserve"> – </w:t>
      </w:r>
      <w:r>
        <w:rPr>
          <w:rFonts w:ascii="Times New Roman" w:hAnsi="Times New Roman"/>
          <w:color w:val="000000"/>
          <w:sz w:val="20"/>
        </w:rPr>
        <w:t>The proprietary protective coating formulation is pH-sensitive, enabling the RaniPill capsule to maintain its integrity through the acidic environment in the stomach for deployment in the small intestine.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Protection of the drug prior to delivery</w:t>
      </w:r>
      <w:r>
        <w:rPr>
          <w:color w:val="000000"/>
        </w:rPr>
        <w:t xml:space="preserve"> – </w:t>
      </w:r>
      <w:r>
        <w:rPr>
          <w:rFonts w:ascii="Times New Roman" w:hAnsi="Times New Roman"/>
          <w:color w:val="000000"/>
          <w:sz w:val="20"/>
        </w:rPr>
        <w:t>The microneedle and drug are protected from intestinal fluid until delivery, and then the rapid injection of the microneedle into the intestinal wall during delivery provides for little or no exposure of the microneedle or drug to intestinal fluid. This technique serves to overcome the body’s natural mechanisms that break biologics down in the harsh GI environment and thus block biologics from reaching the blood stream from within the intestine.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Delivery in both fed and fasted states</w:t>
      </w:r>
      <w:r>
        <w:rPr>
          <w:color w:val="000000"/>
        </w:rPr>
        <w:t xml:space="preserve"> – </w:t>
      </w:r>
      <w:r>
        <w:rPr>
          <w:rFonts w:ascii="Times New Roman" w:hAnsi="Times New Roman"/>
          <w:color w:val="000000"/>
          <w:sz w:val="20"/>
        </w:rPr>
        <w:t>The RaniPill capsule is designed to deliver the drug payload regardless of whether the patient ingests the RaniPill capsule with or without food, which we expect will allow for more flexible dosing regimens and improved patient adherence to a given regimen.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Self-inflating balloon ensures reliable delivery</w:t>
      </w:r>
      <w:r>
        <w:rPr>
          <w:color w:val="000000"/>
        </w:rPr>
        <w:t xml:space="preserve"> – </w:t>
      </w:r>
      <w:r>
        <w:rPr>
          <w:rFonts w:ascii="Times New Roman" w:hAnsi="Times New Roman"/>
          <w:color w:val="000000"/>
          <w:sz w:val="20"/>
        </w:rPr>
        <w:t>The proprietary self-inflating balloon is designed to provide optimal pressure to deliver the payload. In addition, the novel design of the balloon positions the microneedle approximately perpendicular to the intestinal wall for reliable drug delivery, with greater than 90% cumulative drug delivery success observed with the latest version of the RaniPill capsule used in our Phase 1 clinical trials of RT-102 and RT-111. The self-inflating balloon has been designed to minimize GI discomfort.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Drug-agnostic design provides a standardized platform</w:t>
      </w:r>
      <w:r>
        <w:rPr>
          <w:color w:val="000000"/>
        </w:rPr>
        <w:t xml:space="preserve"> – </w:t>
      </w:r>
      <w:r>
        <w:rPr>
          <w:rFonts w:ascii="Times New Roman" w:hAnsi="Times New Roman"/>
          <w:color w:val="000000"/>
          <w:sz w:val="20"/>
        </w:rPr>
        <w:t>The RaniPill capsule is designed to deliver any molecule irrespective of its molecular mass. This allows a single platform design to be used with multiple drugs.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 xml:space="preserve">Optimized dosing regimen </w:t>
      </w:r>
      <w:r>
        <w:rPr>
          <w:color w:val="000000"/>
        </w:rPr>
        <w:t xml:space="preserve">– </w:t>
      </w:r>
      <w:r>
        <w:rPr>
          <w:rFonts w:ascii="Times New Roman" w:hAnsi="Times New Roman"/>
          <w:color w:val="000000"/>
          <w:sz w:val="20"/>
        </w:rPr>
        <w:t>Based on the confirmed patient preference for oral delivery alternatives, we expect better treatment adherence with oral dosing versus injections, thus enabling a more clinically-favorable dosing regimen. For example, the RaniPill capsule may enable a regimen of small, more frequent doses, versus larger less frequent doses for injections, to improve treatment adherence. In addition, small, more frequent dosing may allow for therapeutic exposures to be maintained within a narrow range, whereas larger less frequent injection dosing can lead to large variations in therapeutic exposure, which may contribute to adverse events, loss of efficacy, and increased propensity for immunogenic response.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RaniPill HC</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continue to develop the RaniPill HC, a high-capacity RaniPill capsule designed to deliver drug payloads up to 200µL, 500%-plus higher than the payload capacity of the RaniPill GO. In September 2023, we announced three positive preclinical studies which support the development of the RaniPill HC device.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ten awake canines.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RaniPill HC achieved 18/20 successful drug delivery of teriparatide in the two studies, resulting in a cumulative 90% success rate.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drug delivery was confirmed by positive drug signal for teriparatide in serum.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Devices used in these studies were separate iterations, and may not comprise all the same components expected in a final version.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also conducted an additional preclinical study of RaniPill HC containing Fe57 (iron) in 2 canine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RaniPill HC containing Fe57 showed a positive drug signal comparable to subcutaneous injection.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and November 2023, we announced the completion of two preclinical studies of the RaniPill HC with antibodies, adalimumab and an undisclosed anti-interleukin antibody (“Undisclosed 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the Undisclosed MAB, following the oral administration of the enteric-coated RaniPill HC capsule containing 16.5mg of Undisclosed MAB to six canine models. In both studies, the RaniPill HC was well tolerated, all animals remained healthy throughout the study period with no clinical findings or adverse events, and all device remnants were excreted normally without sequelae.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Comparing the pharmacokinetic results of 11mg of adalimumab delivered via the RaniPill HC (N=4) with historical pharmacokinetic data we generated with 5mg of an adalimumab biosimilar (GP2017) delivered via subcutaneous injection (N=3), there is a higher estimated bioavailability of adalimumab delivered via the RaniPill HC relative to the subcutaneous injection route.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Adalimumab 11mg via RaniPill HC vs Adalimumab Biosimilar 5mg via Subcutaneous Injection</w:t>
      </w:r>
    </w:p>
    <w:p>
      <w:pPr>
        <w:pStyle w:val="TextBody"/>
        <w:bidi w:val="0"/>
        <w:spacing w:before="40" w:after="283"/>
        <w:jc w:val="left"/>
        <w:rPr/>
      </w:pPr>
      <w:r>
        <w:rPr/>
        <w:t> </w:t>
      </w:r>
    </w:p>
    <w:p>
      <w:pPr>
        <w:pStyle w:val="TextBody"/>
        <w:bidi w:val="0"/>
        <w:jc w:val="center"/>
        <w:rPr/>
      </w:pPr>
      <w:r>
        <w:rPr/>
        <w:drawing>
          <wp:inline distT="0" distB="0" distL="0" distR="0">
            <wp:extent cx="4257675" cy="2695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57675" cy="2695575"/>
                    </a:xfrm>
                    <a:prstGeom prst="rect">
                      <a:avLst/>
                    </a:prstGeom>
                  </pic:spPr>
                </pic:pic>
              </a:graphicData>
            </a:graphic>
          </wp:inline>
        </w:drawing>
      </w: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All Data are Means ± 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Pharmacokinetics of Undisclosed MAB (16.5mg) Delivered Orally via RaniPill HC Capsules to Awake Canines (N=6)</w:t>
      </w:r>
    </w:p>
    <w:p>
      <w:pPr>
        <w:pStyle w:val="TextBody"/>
        <w:bidi w:val="0"/>
        <w:spacing w:before="240" w:after="240"/>
        <w:jc w:val="center"/>
        <w:rPr/>
      </w:pPr>
      <w:r>
        <w:rPr/>
        <w:drawing>
          <wp:inline distT="0" distB="0" distL="0" distR="0">
            <wp:extent cx="4257675" cy="2543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57675" cy="2543175"/>
                    </a:xfrm>
                    <a:prstGeom prst="rect">
                      <a:avLst/>
                    </a:prstGeom>
                  </pic:spPr>
                </pic:pic>
              </a:graphicData>
            </a:graphic>
          </wp:inline>
        </w:drawing>
      </w: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All Data are Means ± 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Preliminary preclinical testing supports the potential for RaniPill HC to have high reliability, and initial analysis of drug delivery via the RaniPill HC shows a potential for mimicking parenteral (subcutaneous) administration. We intend for the RaniPill HC to be ready for potential Phase 1 clinical trials in the second half of 2024.</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60-Day GLP Study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conducted a preclinical GLP study evaluating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Platform study in humans confirming reliable deployment in fed and fasted states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volunteers reported difficulty in swallowing the capsule, nor did any study participant report experiencing pain or sensing an awareness upon balloon deployment.</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Our Regulatory Pathways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Federal Food, Drug and Cosmetic Act (“FDCA”) and the Public Health Service Act (“PHSA”) and their implementing regulations. Other jurisdictions will have somewhat different requirements.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FDA centers: CDRH, CBER, CDER, OCP</w:t>
      </w:r>
    </w:p>
    <w:p>
      <w:pPr>
        <w:pStyle w:val="TextBody"/>
        <w:bidi w:val="0"/>
        <w:jc w:val="left"/>
        <w:rPr>
          <w:rFonts w:ascii="Times New Roman" w:hAnsi="Times New Roman"/>
          <w:color w:val="000000"/>
          <w:sz w:val="20"/>
        </w:rPr>
      </w:pPr>
      <w:r>
        <w:rPr>
          <w:rFonts w:ascii="Times New Roman" w:hAnsi="Times New Roman"/>
          <w:color w:val="000000"/>
          <w:sz w:val="20"/>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regulated by the Center for Biologics Evaluation and Research (“CBER”) or a “drug” regulated by the Center for Drug Evaluation and Research (“CDER”).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expected that most of our product candidates will include a biologic within the FDA’s definition of “biological product” and some of our product candidates may include a biologic that will be considered a “drug.” CDER is the lead center for review of therapeutic proteins at this time, thus most of our product candidates will have CDER as the lead center.</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institutional review board (“IRB”) or ethics committee. Human studies in the United States require pre-approval by the FDA. For FDA approval of a human trial, if the trial will involve a biologic alone then an IND application will be needed, and if the trial will involve the RaniPill platform alone then an investigational device exemption (“IDE”) application will be needed. For a clinical trial in which the RaniPill platform will be used in combination with a biologic, we must submit an IDE application if the lead center is CDRH or an IND application if the lead center is CBER or CDER. For the RaniPill platform used in combination with a biologic, it is expected that CBER or CDER will be the lead center. IND and IDE applications are discussed in more detail below.</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Approval or license to market the RaniPill capsule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has specified a BLA path for seeking a license to market a biological product and a new drug application path for seeking approval to market a drug. It is expected that most of our product candidates will follow the BLA path while some may follow the NDA path.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or drug substance is the same as the original approved product. Additionally, because certain products originally approved under an NDA have been reclassified by the FDA and would now follow a BLA pathway, it is unclear whether conclusions regarding such reclassified products can be leveraged in our BLA submissions. We intend to have the scope of the leverage that will be available from already-approved biologics clarified on a product-by-product basis for each product candidate in pre-IND meetings with the FDA.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completed a pre-IND meeting with the FDA with respect to RT-102. Following feedback from the meeting, we believe that a 505(b)(2) pathway is suitable for the development of RT-102 in the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CBER and CDER may ask for additional testing for specific biologics, disease indications, or patient populations.</w:t>
      </w:r>
    </w:p>
    <w:p>
      <w:pPr>
        <w:pStyle w:val="TextBody"/>
        <w:bidi w:val="0"/>
        <w:spacing w:before="0" w:after="240"/>
        <w:jc w:val="left"/>
        <w:rPr>
          <w:rFonts w:ascii="Times New Roman" w:hAnsi="Times New Roman"/>
          <w:sz w:val="20"/>
        </w:rPr>
      </w:pPr>
      <w:r>
        <w:rPr>
          <w:rFonts w:ascii="Times New Roman" w:hAnsi="Times New Roman"/>
          <w:color w:val="000000"/>
          <w:sz w:val="20"/>
        </w:rPr>
        <w:t>Additional information regarding regulatory pathways is provided in the “</w:t>
      </w:r>
      <w:r>
        <w:rPr>
          <w:rFonts w:ascii="Times New Roman" w:hAnsi="Times New Roman"/>
          <w:i/>
          <w:color w:val="000000"/>
          <w:sz w:val="20"/>
        </w:rPr>
        <w:t>Government Regulation</w:t>
      </w:r>
      <w:r>
        <w:rPr>
          <w:rFonts w:ascii="Times New Roman" w:hAnsi="Times New Roman"/>
          <w:color w:val="000000"/>
          <w:sz w:val="20"/>
        </w:rPr>
        <w:t>” section below.</w:t>
      </w:r>
    </w:p>
    <w:p>
      <w:pPr>
        <w:pStyle w:val="TextBody"/>
        <w:bidi w:val="0"/>
        <w:spacing w:before="240" w:after="240"/>
        <w:jc w:val="left"/>
        <w:rPr>
          <w:rFonts w:ascii="Times New Roman" w:hAnsi="Times New Roman"/>
          <w:sz w:val="20"/>
        </w:rPr>
      </w:pPr>
      <w:r>
        <w:rPr>
          <w:rFonts w:ascii="Times New Roman" w:hAnsi="Times New Roman"/>
          <w:b/>
          <w:color w:val="000000"/>
          <w:sz w:val="20"/>
        </w:rPr>
        <w:t>License and Evaluation Agreements</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Celltrion license and supply agreements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January 2023, we entered into a License and Supply Agreement with Celltrion regarding its ustekinumab biosimilar, CT-P43 (the “Ustekinumab Celltrion Agreement"). In June 2023, we entered into a License and Supply Agreement with Celltrion regarding its adalimumab biosimilar (the “Adalimumab Celltrion Agreement” and together with the Ustekinumab Celltrion Agreement, the “Celltrion Agreements”). Under the Celltrion Agreements, Celltrion grants us an exclusive, worldwide, royalty-free license to certain intellectual property to make, use, sell, offer for sale, import and otherwise exploit RT-111 and RT-105 and to use certain information to support the manufacture, development and commercialization of RT-111 and RT-105. Celltrion will provide, and we will purchase, supply of ustekinumab biosimilar and adalimumab biosimilar at supply prices set forth in the respective Celltrion Agreement. We will obtain ustekiunmab biosimilar and adalimumab biosimilar exclusively from Celltrion for the manufacture, development and commercialization of RT-111 and RT-105, respectively, subject to a right to obtain supply from alternative sources under certain circumstances where Celltrion experiences supply disruption.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Under the Celltrion Agreements, we have sole right to manufacture, develop and commercialize RT-111 and RT-105 worldwide, subject to an exclusive right of first negotiation (“ROFN”) granted to Celltrion for each program. For each program, following our delivery to Celltrion of a data package consisting of topline safety information, pharmacokinetic results and device performance, and the raw data related to topline results from a Phase 1 clinical trial of such program that meets its primary endpoint(s), Celltrion will have 30 days to exercise its ROFN with respect to that program. If Celltrion timely exercises the ROFN, then Celltrion will have an exclusive period of 90 days to negotiate in good faith a definitive agreement with us for rights to clinically develop and commercialize the applicable program in territories selected by Celltrion. In the event Celltrion does not timely exercise the ROFN or Celltrion notifies us that it does not intend to exercise the ROFN or, after timely exercising the ROFN, notifies us that Celltrion withdraws its exercise of the ROFN, or the parties fail to enter into a definitive agreement for the development and commercialization of the applicable program within the exclusive negotiation period, then the ROFN regarding that program will terminate and we will have no further obligations under the Celltrion Agreements related to a ROFN for that program. We believe the Phase 1 clinical trial that we completed with RT-111, the topline data of which we announced in February 2024, satisfies the requirements for triggering Celltrion’s ROFN with respect to that program.</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Celltrion Agreements allocate rights between the parties with respect to inventions generated in performance of the agreement for the manufacture, development and commercialization of each of RT-111 and RT-105, respectively. Celltrion will own intellectual property generated in the programs solely related to its ustekinumab biosimilar or adalimumab biosimilar, respectively. We will own all other intellectual property generated in the programs, and we grant Celltrion an exclusive, worldwide license under such intellectual property solely for use with its ustekinumab biosimilar or adalimumab biosimilar, respectively. We will own all data related to the research, development, manufacture, regulatory activities and commercialization of RT-111 and RT-105 conducted by us. The Celltrion Agreements also contain customary representations, warranties and covenants, and mutual indemnification provisions. We have a right to terminate each agreement for convenience subject to certain notice periods. Celltrion has a right to terminate each agreement if we do not achieve certain development milestones with respect to that agreement, and each party has certain rights to terminate the applicable agreement for material breach or safety concerns regarding the stekinumab biosimilar or RT-111, or adalimumab biosimilar or RT-105, respectively.</w:t>
      </w:r>
    </w:p>
    <w:p>
      <w:pPr>
        <w:pStyle w:val="TextBody"/>
        <w:bidi w:val="0"/>
        <w:spacing w:before="240" w:after="240"/>
        <w:jc w:val="left"/>
        <w:rPr>
          <w:rFonts w:ascii="Times New Roman" w:hAnsi="Times New Roman"/>
          <w:sz w:val="20"/>
        </w:rPr>
      </w:pPr>
      <w:r>
        <w:rPr>
          <w:rFonts w:ascii="Times New Roman" w:hAnsi="Times New Roman"/>
          <w:b/>
          <w:i/>
          <w:color w:val="000000"/>
          <w:sz w:val="20"/>
        </w:rPr>
        <w:t>Novartis evaluation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May 2015, we entered into an Evaluation and First Rights Agreement (the “Novartis Agreement”) with Novartis Pharmaceuticals Corporation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Certain data from such testing was shared with Novartis pursuant to the July 2020 amendment. Following delivery of a report by us,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six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 party’s uncured material breach.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Novartis has paid us an aggregate of $7.0 million under the Novartis Agreement as of December 31, 2022 and made an equity investment of approximately $5 million in our Series C preferred unit financing. As part of the organizational transactions in connection with our initial public offering, the Series C preferred units were exchanged for 404,638 Paired Interests. We did not receive any payments from Novartis under the Novartis Agreement in 2023 and we do not expect any future payments under the Novartis Agreement unless we and Novartis negotiate a new agreement constructed around a higher-capacity payload system.</w:t>
      </w:r>
    </w:p>
    <w:p>
      <w:pPr>
        <w:pStyle w:val="TextBody"/>
        <w:bidi w:val="0"/>
        <w:spacing w:before="240" w:after="240"/>
        <w:jc w:val="left"/>
        <w:rPr>
          <w:rFonts w:ascii="Times New Roman" w:hAnsi="Times New Roman"/>
          <w:sz w:val="20"/>
        </w:rPr>
      </w:pPr>
      <w:r>
        <w:rPr>
          <w:rFonts w:ascii="Times New Roman" w:hAnsi="Times New Roman"/>
          <w:b/>
          <w:color w:val="000000"/>
          <w:sz w:val="20"/>
        </w:rPr>
        <w:t>Manufacturing and Quality Assurance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Each RaniPill capsule is assembled through a process which involves a series of integrated, well-developed, and highly reproducible steps that have been optimized to consistently produce capsules of high reliability.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RaniPill capsule manufacturing process </w:t>
      </w:r>
    </w:p>
    <w:p>
      <w:pPr>
        <w:pStyle w:val="TextBody"/>
        <w:bidi w:val="0"/>
        <w:spacing w:before="0" w:after="240"/>
        <w:jc w:val="center"/>
        <w:rPr/>
      </w:pPr>
      <w:r>
        <w:rPr/>
        <w:drawing>
          <wp:inline distT="0" distB="0" distL="0" distR="0">
            <wp:extent cx="5581650" cy="676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81650" cy="676275"/>
                    </a:xfrm>
                    <a:prstGeom prst="rect">
                      <a:avLst/>
                    </a:prstGeom>
                  </pic:spPr>
                </pic:pic>
              </a:graphicData>
            </a:graphic>
          </wp:inline>
        </w:drawing>
      </w: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Microtableting only applicable to drugs formulated for use in the RaniPill GO capsule.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RaniPill GO, a drug API or drug substance combined with excipients specific to the drug API or drug substance is lyophilized and compressed into a solid microtablet form. The microtablet (in the case of RaniPill GO) or liquid drug (in the case of RaniPill HC) is sealed inside a microsyringe under aseptic conditions. The microsyringe is incorporated in the RaniPill capsule, which is given a protective coating. Each of these steps in the manufacturing process has been subjected to rigorous testing and process qualification procedures to ensure manufacturing consistency. In the case of ustekinumab for RT-111 and adalimumab for RT-105, we obtain supply of drug substance from Celltrion under the Celltrion Agreements. For other APIs or drug substances, we rely on non-exclusive, third-party relationships with several manufacturers for the drug API or drug substance. We maintain in-house capabilities related to the aseptic manufacturing, following FDA Current Good Manufacturing Practice (“cGMP”) regulations for drugs that contain minimum requirements for the methods, facilities, and controls used in manufacturing, processing, and packing of a drug product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Markets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key markets for our products, once approved, will be in the United States, Europe, and Asia.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Sales and supply infrastructure</w:t>
      </w:r>
    </w:p>
    <w:p>
      <w:pPr>
        <w:pStyle w:val="TextBody"/>
        <w:bidi w:val="0"/>
        <w:jc w:val="left"/>
        <w:rPr>
          <w:rFonts w:ascii="Times New Roman" w:hAnsi="Times New Roman"/>
          <w:color w:val="000000"/>
          <w:sz w:val="20"/>
        </w:rPr>
      </w:pPr>
      <w:r>
        <w:rPr>
          <w:rFonts w:ascii="Times New Roman" w:hAnsi="Times New Roman"/>
          <w:color w:val="000000"/>
          <w:sz w:val="20"/>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other than ustekinumab biosimilar for RT-111 and adalimumab biosimilar for RT-105. Availability of API or drug substance supply may inform our decisions regarding which product candidates present the best development opportunities.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Currently we do not have any approved products. We intend to either develop the commercialization sales and supply infrastructure as our product candidates are approved, or partner with pharmaceutical companies or distributors for commercialization.</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Coverage and reimbursement of approved products by third-party payors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 particular product does not ensure that other payors will also provide coverage for the product, or that any of the reimbursement rates will be adequate.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when available.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Competition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Broadly speaking, we will face competition from current and future (generic or biosimilar) manufacturers of the branded injectable versions of our pipeline drugs, manufacturers such as AbbVie Inc., Eli Lilly and Company, Janssen Biotech, Inc., etc.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aware of certain other companies that are pursuing oral biologics through either device-based or chemistry-based technologies. We may also face competition from companies that develop oral small molecule therapeutics to the same biological targets as biologics. Early-stage device-based technologies such as the SOMA and LUMI from the Novo Nordisk-MIT collaboration were reported to be in early clinical and preclinical stages, respectively. Two other companies pursuing a device-based approach are Biograil ApS and Biora Therapeutics, Inc., both of which were reported to be in a preclinical stage of development. Chemistry-based oral delivery companies include Oramed Pharmaceuticals, Inc., Entera Bio Ltd., Protagonist Therapeutics, Inc., i2O Therapeutics, Intract Pharma, and two with recently approved oral peptide products – Mycappssa from Chiesi Farmaceutici SpA and Rybelsus from Novo Nordisk A/S.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face competition from gene and cell therapy companies. Further, our product candidates aim to treat chronic diseases. As a result, we also compete with curative therapies on the basis that they cure the chronic disease we are intending to treat.</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Environmental impact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instituted policies and procedures related to appropriate chemical and biological material handling, use, and disposal in our facilities, and we train our employees on these policies and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by our strategy of using biologics already approved for marketing.</w:t>
      </w:r>
    </w:p>
    <w:p>
      <w:pPr>
        <w:pStyle w:val="TextBody"/>
        <w:bidi w:val="0"/>
        <w:spacing w:before="240" w:after="24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 </w:t>
      </w:r>
    </w:p>
    <w:p>
      <w:pPr>
        <w:pStyle w:val="TextBody"/>
        <w:bidi w:val="0"/>
        <w:spacing w:before="0" w:after="240"/>
        <w:jc w:val="left"/>
        <w:rPr>
          <w:rFonts w:ascii="Times New Roman" w:hAnsi="Times New Roman"/>
          <w:sz w:val="20"/>
        </w:rPr>
      </w:pPr>
      <w:r>
        <w:rPr>
          <w:rFonts w:ascii="Times New Roman" w:hAnsi="Times New Roman"/>
          <w:color w:val="000000"/>
          <w:sz w:val="20"/>
        </w:rPr>
        <w:t>For information regarding the risks related to our intellectual property, see the section titled “</w:t>
      </w:r>
      <w:r>
        <w:rPr>
          <w:rFonts w:ascii="Times New Roman" w:hAnsi="Times New Roman"/>
          <w:i/>
          <w:color w:val="000000"/>
          <w:sz w:val="20"/>
        </w:rPr>
        <w:t>Risk Factors— Risks Related to Our Intellectual Property.”</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initial patent family has a priority date in 2009, with patent term expected to extend into at least 2030 if all fees are paid. This patent family claims many device aspects of the RaniPill platform, including aspects of the RaniPill GO and certain aspects of the RaniPill HC, and the delivery of a wide variety of biologics using the RaniPill platform. Granted patents and pending patent applications in this core family number more than 270. As of January 1, 2024, this patent family included 79 patents issued in the United States and 144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Hong Kong, India, and Japan.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own several patent families directed to the RaniPill HC. These patent families have priority dates in 2020, 2022, and 2023, with patent term expected to extend into at least 2044 if all fees are paid. These patent families include claims directed to device aspects, devices containing specific biologics, methods of preparing such devices, and methods of delivering a wide variety of biologics using the RaniPill HC.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microtablet patent family includes claims covering the microtablets delivered by the RaniPill GO. This patent family has a priority date in 2014, includes several dozen granted patents and pending patent applications, and is expected to have patent terms extending into at least 2035 if all fees are paid. As of January 1, 2024, this patent family included 12 patents issued in the United States, 11 patents issued in other jurisdictions (i.e., Australia, Canada, China and Japan), with applications pending in the United States, Australia, Canada, China, Europe, India, and Japan.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own numerous additional patents and patent applications,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 </w:t>
      </w:r>
    </w:p>
    <w:p>
      <w:pPr>
        <w:pStyle w:val="TextBody"/>
        <w:bidi w:val="0"/>
        <w:spacing w:before="240" w:after="240"/>
        <w:jc w:val="left"/>
        <w:rPr>
          <w:rFonts w:ascii="Times New Roman" w:hAnsi="Times New Roman"/>
          <w:sz w:val="20"/>
        </w:rPr>
      </w:pPr>
      <w:r>
        <w:rPr>
          <w:rFonts w:ascii="Times New Roman" w:hAnsi="Times New Roman"/>
          <w:b/>
          <w:i/>
          <w:color w:val="000000"/>
          <w:sz w:val="20"/>
        </w:rPr>
        <w:t>Trade secrets and other proprietary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 </w:t>
      </w:r>
    </w:p>
    <w:p>
      <w:pPr>
        <w:pStyle w:val="TextBody"/>
        <w:bidi w:val="0"/>
        <w:spacing w:before="240" w:after="240"/>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and/or collaboration partners,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Current Good Manufacturing Practices (“cGMP”)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Preclinical and clinical development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current Good Clinical Practices (“GCP”),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 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Human clinical trials are typically conducted in three phases that may be performed sequentially, in overlapping time frames, or in combination.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included in Phase 1 studies varies with the drug but is generally in the range of 20 to 80.</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of our product candidates, we may conduct Phase 1, Phase 2, and Phase 3 clinical trials of our formulation, the RaniPill platform, or the formulation in combination with the RaniPill platform.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Investigational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Prior to initiating a clinical trial in the United States of an investigational product such as for one of our product candidates, the FDA must grant authorization to proceed. A request for authorization is made by way of an IND or IDE application as applicable for the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FDA’s approval of an IND or IDE does not bind the FDA to accept the results of the trial as sufficient to prove the stated conclusions, even if the trial meets its intended success criteria.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amendment to the existing IND or IDE must be made for subsequent protocol changes and also for each successive clinical trial conducted during product development.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BLA/NDA review process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Biosimilar User Fee Amendments impose a user fee for a biosimilar development program at the time of the first meeting with the FDA or the initial IND submission, whichever occurs first. This fee must be paid annually.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Pediatric Research Equity Act (PREA)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 to expedite development and review. These expedited approvals do not change the standards for approval but may expedite the development or approval process. We may explore some of these opportunities for our product candidates as appropriate.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Even if a product qualifies for one or more of these programs, the FDA may later decide that the product no longer meets the conditions for qualification or may decide that the time period for FDA review or approval will not be shortened. </w:t>
      </w:r>
    </w:p>
    <w:p>
      <w:pPr>
        <w:pStyle w:val="TextBody"/>
        <w:bidi w:val="0"/>
        <w:spacing w:before="240" w:after="240"/>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risk evaluation and mitigation strategy (“REMS”) program. Other potential consequences include, among other things: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Orange Book; Purple Book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abbreviated new drug application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purple book contains information about all FDA-licensed biological products regulated by CBER,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Exclusivities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of our product candidates may be eligible for exclusivities provided under various FDA programs. Exclusivity refers to certain delays and prohibitions on approval of competitor drugs available under an applicable statute that take effect upon FDA’s approval of a biologic or drug, or of certain supplements to the BLA or NDA. Exclusivities do not convey any advantage in or shorten the duration of the regulatory review and approval process.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pStyle w:val="TextBody"/>
        <w:bidi w:val="0"/>
        <w:spacing w:before="240" w:after="240"/>
        <w:jc w:val="left"/>
        <w:rPr>
          <w:rFonts w:ascii="Times New Roman" w:hAnsi="Times New Roman"/>
          <w:sz w:val="20"/>
        </w:rPr>
      </w:pPr>
      <w:r>
        <w:rPr>
          <w:rFonts w:ascii="Times New Roman" w:hAnsi="Times New Roman"/>
          <w:b/>
          <w:i/>
          <w:color w:val="000000"/>
          <w:sz w:val="20"/>
        </w:rPr>
        <w:t>Other healthcare laws and compliance requirements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(“HITECH”), and their implementing regulations, impose certain requirements on HIPAA covered entities, which include certain healthcare providers, healthcare clearinghouses, and health plans, and individuals and entities, known as business associates, and their covered subcontractors that provide services for or on behalf of the covered entities that involve individually identifiable health information as well as their covered subcontractors, relating to the privacy, security, and transmission of individually identifiable health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subject to additional similar U.S. state and foreign law equivalents of each of the above federal laws, which, in some cases, differ from each other in significant ways, and may not have the same effect, complicating compliance efforts.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pStyle w:val="TextBody"/>
        <w:bidi w:val="0"/>
        <w:spacing w:before="240" w:after="240"/>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 and Education Reconciliation Act (collectively, the “ACA”), which was enacted in March 2010,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and annual fees based on pharmaceutical companies’ share of sales to federal health care programs. There have been executive, judicial and Congressional challenges to certain aspects of the ACA. For example, on June 17, 2021, the United States Supreme Court dismissed a challenge on procedural grounds that argued the ACA is unconstitutional in its entirety because the “individual mandate” was repealed by Congress.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Further, Congress is considering additional health reform measures.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left"/>
        <w:rPr>
          <w:rFonts w:ascii="Times New Roman" w:hAnsi="Times New Roman"/>
          <w:sz w:val="20"/>
        </w:rPr>
      </w:pPr>
      <w:r>
        <w:rPr>
          <w:rFonts w:ascii="Times New Roman" w:hAnsi="Times New Roman"/>
          <w:b/>
          <w:i/>
          <w:color w:val="000000"/>
          <w:sz w:val="20"/>
        </w:rPr>
        <w:t>Data privacy and security obligations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ordinary course of our business, we may collect, receive, process, generate, use, transfer, disclose, make accessible, protect, secure, dispose of, transmit, share and store (“process”) proprietary, confidential and sensitive information, including personal data, intellectual property, trade secret, clinical trial data, and proprietary information owned or controlled by ourselves or third parties (collectively, sensitive data). Our data processing activities may subject us to numerous data privacy and security obligations, including federal, state, local, and foreign laws, regulations, guidance, industry standards, external and internal privacy and security policies, contractual requirements, and other obligations related to data privacy and security. Such obligations may include, without limitation, the Federal Trade Commission Act, the California Consumer Privacy Act of 2018, as amended by the California Privacy Rights Act of 2020 (collectively, “CCPA”), other U.S. state comprehensive privacy laws (such as Virginia, Colorado, Connecticut, and Utah), the European Union’s General Data Protection Regulation 2016/679 (“EU GDPR”) and the United Kingdom’s GDPR (“UK GDPR”). Obligations related to the processing of personal data worldwide is rapidly evolving. The number and scope of data privacy and security laws, regulations and other obligations is changing, subject to differing applications and interpretations, and may be inconsistent among jurisdictions, or in conflict with other data processing obligations. Efforts to ensure that our current and future business operations and arrangements, including our relationship with our CROs or other vendors who process data on our behalf, comply with applicable data privacy and security obligations involve substantial costs.</w:t>
      </w:r>
    </w:p>
    <w:p>
      <w:pPr>
        <w:pStyle w:val="TextBody"/>
        <w:bidi w:val="0"/>
        <w:jc w:val="left"/>
        <w:rPr>
          <w:rFonts w:ascii="Times New Roman" w:hAnsi="Times New Roman"/>
          <w:b/>
          <w:color w:val="000000"/>
          <w:sz w:val="20"/>
        </w:rPr>
      </w:pPr>
      <w:r>
        <w:rPr>
          <w:rFonts w:ascii="Times New Roman" w:hAnsi="Times New Roman"/>
          <w:b/>
          <w:color w:val="000000"/>
          <w:sz w:val="20"/>
        </w:rPr>
        <w:t>Employees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December 31, 2023, we had 140 full-time employees and no part-time employees. The majority of our employees are based at our facilities in San Jose and Milpitas, California, with a contingent of employees based outside of California. None of our employees are represented by a labor union or are a party to a collective bargaining agreement and we believe that we have good relations with our employees.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Organizational Transactions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at such time,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conducts all of Rani LLC’s business.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IPO, we were party to the following organizational transactions (the “Organizational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our certificate of incorporation to provide for the issuance of (i) Class A common stock, each share of which entitles its holders to one vote per share, (ii) Class B common stock, each share of which entitles its holders to ten votes per share on all matters presented to the Company's stockholders, (iii) Class C common stock, which has no voting rights, except as otherwise required by law and (iv) preferred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Class A Units tendered their Class A Units for shares of our Class A common stock. Certain holders of Class A Units continued to hold such Class A Units (“Continuing LLC Owners”) and received shares of our Class B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Continuing LLC Owners are entitled to exchange, subject to the terms of the Rani LLC Agreement, the Class A Units they hold in Rani LLC, together with the shares they hold of our Class B common stock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we, at the election of the Continuing LLC Owners, redeem or exchange such Paired Interest pursuant to the terms of the Rani LLC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Entered into a registration rights agreement and tax receivable agreement (“Tax Receivable Agreement” or “TRA”) with certain of the Continuing LLC Owners.</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40" w:after="240"/>
        <w:jc w:val="left"/>
        <w:rPr>
          <w:rFonts w:ascii="Times New Roman" w:hAnsi="Times New Roman"/>
          <w:sz w:val="20"/>
        </w:rPr>
      </w:pPr>
      <w:r>
        <w:rPr>
          <w:rFonts w:ascii="Times New Roman" w:hAnsi="Times New Roman"/>
          <w:i/>
          <w:color w:val="000000"/>
          <w:sz w:val="20"/>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Operating History, Financial Position and Capital Requirements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commercialization efforts or other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are in early clinical development with certain product candidates and have conducted or are in preclinical development with other product candidates. We intend to advance our product candidates into initial and later stages of clinical development, which requires significant capital. In addition, we are developing the RaniPill HC.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are unable to obtain funding on a timely basis, or to generate sufficient revenues, if at all, from collaboration arrangements, we may be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curtail, delay or discontinue one or more of our research or development programs, the development of our oral delivery technology, including the RaniPill HC, the commercialization of any product candidates or cease operations altogether;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collaborators for one or more of our product candidates at an earlier stage than otherwise would be desirable or on terms that are less favorable than might otherwise be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product candidates that we otherwise would seek to develop or commercialize ourselves;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forego expansion of our operations or refrain from pursuing business opportunities.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in November 2023, we underwent a reduction in our workforce and paused or discontinued certain programs to reduce our expenses and focus our financial resources on key priorities. As a result of any of the foregoing types of actions, our business, financial condition and results of operations could be materially affected.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efforts to raise additional funding may divert our management from their day-to-day activities, which may adversely affect our ability to develop the RaniPill platform, including the RaniPill HC, to progress development of our product candidates or to automate our manufacturing processes.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Moreover, the terms of any financing may adversely affect the holdings or the rights of our stockholders and the issuance of additional securities, whether equity or debt, by us, or the possibility of such issuance, may cause the market price of our Class A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funding requirements and the timing of our need for additional capital are subject to change based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and timing of our preclinical studies and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costs, and results of our research pipeline;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and costs of development of the RaniPill HC device and other improvements or advancements to our delivery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characteristics of product candidates that we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manufacture sufficient quantities of the RaniPill capsule;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manufacturing, and obtaining drug supply for, our product candidates, including for clinical and commercial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securing and establishing commercial infrastructure, including establishing sales, marketing, and distribution capabilities;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engineering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competing drugs and product candidates and other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strategic collaborations;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and cost-containment measures we propose to implement;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effects of disruptions to and volatility in the credit and financial markets in the United States and worldwide from geopolitical conflicts or other such disruptions.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seek additional capital due to favorable market conditions or strategic considerations, even if we believe we have sufficient funds for our current or future operating plans.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Biologics delivery is a highly speculative undertaking and involves a substantial degree of risk. We are an early clinical stage biopharmaceutical company with a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We are in early clinical development with a limited number of product candidates, and are in preclinical development with other product candidates.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oral therapeutic products.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incurred significant operating losses since our formation. Our net loss for the year ended December 31, 2023 was approximately $67.9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are an early clinical stage biopharmaceutical company with no approved products and no historical commercial product revenue, which makes it difficult to assess our future prospects and financial results.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expect that our financial condition and operating results will fluctuate significantly from period to period due to a variety of factors, many of which are beyond our control,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outcomes from the continued development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occurrence of adverse events or serious adverse events in preclinical studies or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side effects of our product candidates, whether caused by the biologic formulation or the RaniPill capsule, that could delay or prevent approval or cause an approved product to be taken off the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obtain, as well as the timeliness of obtaining, additional funding to develop, and potentially manufacture and commercialize our product candidates and develop the RaniPill HC;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to our specifications and in a timely manner to support our preclinical studies and clinical trials, and, if approved,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scale, optimize and expand automation of our manufacturing processes for our product candidates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competition from existing products directed against the same biologic target or therapeutic indications of our product candidates as well as new products that may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regulatory review and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of our product candidates that receive regulatory approval, if any, including perception of the safety and efficacy of the oral delivery of biologics;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collaboration agreements with third parties who may desire to license our oral delivery technology for use with their own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our commercial reach by selectively entering into strategic partnerships on favorable terms or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establish an effective sales and marketing infrastructure directly or through collaborations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patients or healthcare providers to obtain coverage or sufficient reimbursement for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in accordance with current Good Manufacturing Practices,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add infrastructure and adequately manage our future growth;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key personnel with appropriate expertise and experience to manage our business effectively.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pStyle w:val="TextBody"/>
        <w:bidi w:val="0"/>
        <w:spacing w:before="240" w:after="24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product candidates or technologies.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Our existing indebtedness contains restrictions that limit our flexibility in operating our business. In addition, we may be required to make a prepayment or repay our outstanding indebtedness earlier than we expect.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August 2022, we entered into the Loan Agreement with the Lender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Loan Agreement contains various covenants that limit our ability to engage in specified types of transactions. These covenants limit our ability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or assume certain debt;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merge or consolidate or acquire all or substantially all of the capital stock or property of another entity;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enter into any transaction or series of related transactions that would be deemed to result in a change in control of us under the terms of the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 the nature of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 our organizational structure or type;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license, transfer, or dispose of certain assets;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grant certain types of liens on our assets;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make certain investments;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 cash dividends;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enter into material transactions with affiliates.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restrictive covenants in the Loan Agreement could prevent us from pursuing business opportunities that we or our stockholders may consider beneficial.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 could elect to declare all amounts outstanding to be immediately due and payable, proceed against the collateral in which we granted the Lender a security interest under the Loan Agreement, or otherwise exercise the rights of a secured creditor. Amounts outstanding under the Loan Agreement are secured by substantially all of our existing and future assets, including intellectual property.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Loan Agreement also gives us the ability to access an additional $15.0 million, which may be drawn in an additional tranche with the approval of the Lender and subject to the other terms and conditions set forth in the Loan Agreement. If we are unable to satisfy these or other required conditions, or if the Lender does not consent, as applicable, we would not be able to draw down the remaining tranche of financing and may not be able to obtain alternative financing on commercially reasonable terms or at all, which could adversely impact our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Any restructuring actions that we undertake may not deliver the expected results and these actions may adversely affect our business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undertake various restructuring activities in an effort to better align our resources, organizational structure and costs with our strategic priorities, including streamlining of business operations and development program priorities and reduction in force. For example, in November 2023, we committed to a restructuring plan involving the reduction of our workforce by approximately 25%. As a result of the restructuring activities, we estimate we will incur approximately $0.3 million in costs of which nearly all are cash expenditures related to severance and half of which was incurred in the fourth quarter of 2023. The restructuring is expected to be substantially completed by the end of the second quarter of 2024.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 In connection with such activities, and any other future restructuring activities, we may experience a disruption in our ability to perform functions critical to our strategy or business objectives. While we strive to reduce the negative impact of such restructuring actions, such actions could result in significant disruptions to our operations, including adversely affecting our clinical program development, technology platform development, the successful implementation and completion of our strategic objectives and the results of our operations. We expect to continue to actively manage our costs. However, if we do not fully realize or maintain the anticipated benefits of our restructuring plans and cost reduction initiatives, our business could be adversely affected. Restructuring activities may also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results of operations or financial condition.</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the Development and Regulatory Approval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in the early stages of our development efforts and have only a limited number of product candidates in early clinical development. Other product candidates are still in the formulation and preclinical stages. We will need to progress our product candidates through Investigational New Drug (IND)-enabling studies and submit INDs to the FDA or equivalent regulatory filings to foreign regulatory authorities prior to initiating their clinical development. None of our product candidates have advanced into a pivotal study.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enrollment in clinical trials and completion of preclinical studies and clinical trials with favorable results;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acceptance of INDs by the FDA or similar regulatory filings by comparable foreign regulatory authorities for the conduct of clinical trials of our product candidates and our proposed design of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demonstrating safety and efficacy to the satisfaction of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including BLAs or NDAs, from the FDA, and maintaining such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clinical and commercial manufacturing capabilities, and securing adequate supply of drugs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expanding automation of our manufacturing machinery and procedures;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and maintaining multiple suppliers for our critical manufacturing materials;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and maintaining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 acceptable safety profile and shelf life of our products following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class of drugs that are included in our product candidates continuing to represent the standard-of-care for the respective disease target and continuing to have a long-term favorable safety profile;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and growing an organization of people who can develop our products and technology.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or potential collaborators.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pStyle w:val="TextBody"/>
        <w:bidi w:val="0"/>
        <w:spacing w:before="240" w:after="240"/>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business and future profitability is substantially dependent on our ability to successfully develop, obtain regulatory approval for and then successfully commercialize our product candidates.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clinical trials may fail to achieve the level of statistical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submitted in support of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data collected from preclinical studies and clinical trials of our product candidates may not be sufficient to support the submission of a BLA or other regulatory submissions necessary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meet the cGMP and other applicable requirements for manufacturing processes, procedures, documentation and facilities necessary for approval by the FDA or comparable foreign regulatory authorities;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to the approval policies or regulations of the FDA or comparable foreign regulatory authorities with respect to our product candidates may result in our clinical data becoming insufficient for approval.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 </w:t>
      </w:r>
    </w:p>
    <w:p>
      <w:pPr>
        <w:pStyle w:val="TextBody"/>
        <w:bidi w:val="0"/>
        <w:spacing w:before="240" w:after="240"/>
        <w:jc w:val="left"/>
        <w:rPr>
          <w:rFonts w:ascii="Times New Roman" w:hAnsi="Times New Roman"/>
          <w:sz w:val="20"/>
        </w:rPr>
      </w:pPr>
      <w:r>
        <w:rPr>
          <w:rFonts w:ascii="Times New Roman" w:hAnsi="Times New Roman"/>
          <w:b/>
          <w:i/>
          <w:color w:val="000000"/>
          <w:sz w:val="20"/>
        </w:rPr>
        <w:t>Clinical development is a lengthy and expensive process with an uncertain outcome, and results of earlier studies and trials may not be predictive of future trial results. Clinical failure can occur at any stage of clinical development.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ofRT-102 and RT-111 do not ensure that future Phase 2 or later clinical trials of these product candidates will have similar results or be successful. In the Phase 1 clinical trials of RT-102 and RT-111,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additional or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regulatory approvals to commence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fraud or negligence on the part of consultants or contractors;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institutional review board or ethics committee approval at each 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suitable patients to participate in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having patients complete a clinical trial or return for post-treatment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sites deviating from the clinical trial’s protocol or dropping out of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impacts of the conflict between Russia and Ukraine on our ongoing and planned preclinical studies and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adding new clinical trial sites;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our preclinical studies and clinical trials, including product candidates manufactured in accordance with our specifications.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Moreover,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develop microtablets of drugs for use in the RaniPill GO and may need to develop or modify formulations of drugs for use in the RaniPill HC or future versions of the RaniPill capsule.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do not know whether our planned clinical trials will begin on time or be completed on schedule, if at all. The commencement and completion of clinical trials can be delayed for a number of reasons, including delays related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disagreeing with the design or implementation of our clinical trials or the risks and benefits of the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regulatory authorizations to commence a trial, or reaching a consensus with regulatory authorities on trial design;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or delay in reaching an agreement with contract research organizations (“CROs”) and clinical trial sites, the terms of which can be subject to extensive negotiation and may vary significantly among different CROs and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approval from one or more IRBs;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IRBs refusing to approve, suspending or terminating the trial at an investigational site, precluding enrollment of additional volunteers or withdrawing their approval of the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clinical trial protocol;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sufficient quantities of a product candidate or obtaining sufficient quantities of other therapies or active pharmaceutical ingredients for use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failing to enroll or remain in our trial at the rate we expect, or failing to return for post-treatment follow-up;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choosing an alternative treatment for the indication for which we are developing our product candidates, or participating in competing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experiencing severe or unexpected drug-related or device-related adverse effects;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occurrence of serious adverse events in clinical trials of the same class of agents conducted by other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to our manufacturing process or product formulation that may be necessary or desired;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shortages in, or delays in obtaining, raw materials for manufacturing our product candidates or adequately scaling our manufacturing processes and procedures to deliver sufficient quantities for use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protocol or relevant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240" w:after="240"/>
        <w:jc w:val="left"/>
        <w:rPr>
          <w:rFonts w:ascii="Times New Roman" w:hAnsi="Times New Roman"/>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pStyle w:val="TextBody"/>
        <w:bidi w:val="0"/>
        <w:spacing w:before="240" w:after="240"/>
        <w:jc w:val="left"/>
        <w:rPr>
          <w:rFonts w:ascii="Times New Roman" w:hAnsi="Times New Roman"/>
          <w:sz w:val="20"/>
        </w:rPr>
      </w:pPr>
      <w:r>
        <w:rPr>
          <w:rFonts w:ascii="Times New Roman" w:hAnsi="Times New Roman"/>
          <w:b/>
          <w:i/>
          <w:color w:val="000000"/>
          <w:sz w:val="20"/>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example, in our Phase 1 clinical trial of RT-102,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caused by such products, a number of potentially significant negative consequences could result,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such side effects for distribution to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As an organization, we have conducted limited early clinical development, have not submitted an IND to the FDA and we have never conducted later-stage clinical trials or submitted a BLA or NDA, and may be unable to do so for any of our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Phase 1 clinical trials in Australia.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Our product candidates are subject to extensive regulation and compliance, which is costly and time consuming, and such regulation may cause unanticipated delays or prevent the receipt of the required approvals to commercialize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or ambiguous results from our clinical trials or results may not meet the level of statistical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may be experienced by participants in our clinical trials or by individuals using drugs similar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safety in the full population for which we seek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accept clinical data from trials which are conducted at clinical facilities or in countries where the standard of care is potentially different from that of the United States;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our interpretation of data from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regarding the formulation, labeling and/or the specifications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may be granted only for indications that are significantly more limited than what we apply for and/or with other significant restrictions on distribution and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find deficiencies in the manufacturing processes or facilities of our third-party manufacturers with which we contract for clinical and commercial supplies;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regulations of such authorities may significantly change in a manner rendering our or any of our potential future collaborators’ clinical data insufficient for approval;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 </w:t>
      </w:r>
    </w:p>
    <w:p>
      <w:pPr>
        <w:pStyle w:val="TextBody"/>
        <w:bidi w:val="0"/>
        <w:spacing w:before="240" w:after="240"/>
        <w:jc w:val="left"/>
        <w:rPr>
          <w:rFonts w:ascii="Times New Roman" w:hAnsi="Times New Roman"/>
          <w:sz w:val="20"/>
        </w:rPr>
      </w:pPr>
      <w:r>
        <w:rPr>
          <w:rFonts w:ascii="Times New Roman" w:hAnsi="Times New Roman"/>
          <w:b/>
          <w:i/>
          <w:color w:val="000000"/>
          <w:sz w:val="20"/>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 and attention. In addition, we are developing a new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240" w:after="240"/>
        <w:jc w:val="left"/>
        <w:rPr>
          <w:rFonts w:ascii="Times New Roman" w:hAnsi="Times New Roman"/>
          <w:sz w:val="20"/>
        </w:rPr>
      </w:pPr>
      <w:r>
        <w:rPr>
          <w:rFonts w:ascii="Times New Roman" w:hAnsi="Times New Roman"/>
          <w:b/>
          <w:i/>
          <w:color w:val="000000"/>
          <w:sz w:val="20"/>
        </w:rPr>
        <w:t>A breakthrough therapy designation or Fast Track designation by the FDA for a drug may not lead to a faster development or regulatory review or approval process, and it would not increase the likelihood that the drug will receive marketing approval.</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240" w:after="24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developing product candidates based on novel technologies, and we, directly or with potential collaboration partners, intend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The FDA or regulatory authorities outside the U.S. may require more or different data or documentation regarding the RaniPill technology or our product candidates than we generate or anticipate, which could cause delays to planned clinical activities. Delays or failure to obtain regulatory approval of any of the products that we or potential collaboration partners develop using our novel technologies would adversely affect our business.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we are still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pStyle w:val="TextBody"/>
        <w:bidi w:val="0"/>
        <w:spacing w:before="240" w:after="240"/>
        <w:jc w:val="left"/>
        <w:rPr>
          <w:rFonts w:ascii="Times New Roman" w:hAnsi="Times New Roman"/>
          <w:sz w:val="20"/>
        </w:rPr>
      </w:pPr>
      <w:r>
        <w:rPr>
          <w:rFonts w:ascii="Times New Roman" w:hAnsi="Times New Roman"/>
          <w:b/>
          <w:i/>
          <w:color w:val="000000"/>
          <w:sz w:val="20"/>
        </w:rPr>
        <w:t>We have limited clinical data on our product candidates to indicate whether they are safe or effective for long-term use in humans.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trials, we tested the RaniPill capsule in a limited number of healthy volunteers. While we have not observed any serious adverse events as a result of these preclinical studies or our clinical trials, we have not widely tested the RaniPill capsule in humans and cannot be certain how the RaniPill capsule will perform when more widely tested in humans in any later clinical trials.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treatment with any of our product candidates in our ongoing or future clinical trials results in concerns about their safety or efficacy, we and/or any collaboration partners may be unable to successfully develop or commercialize any or all of our product candidates or enter into collaborations with respect to our product candidates.</w:t>
      </w:r>
    </w:p>
    <w:p>
      <w:pPr>
        <w:pStyle w:val="TextBody"/>
        <w:bidi w:val="0"/>
        <w:spacing w:before="240" w:after="240"/>
        <w:jc w:val="left"/>
        <w:rPr>
          <w:rFonts w:ascii="Times New Roman" w:hAnsi="Times New Roman"/>
          <w:sz w:val="20"/>
        </w:rPr>
      </w:pPr>
      <w:r>
        <w:rPr>
          <w:rFonts w:ascii="Times New Roman" w:hAnsi="Times New Roman"/>
          <w:b/>
          <w:i/>
          <w:color w:val="000000"/>
          <w:sz w:val="20"/>
        </w:rPr>
        <w:t>We have conducted and may in the future conduct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conducted and may in the future choose to conduct one or more clinical trials outside the United States. For example, we have conducted our Phase 1 clinical trials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180" w:after="240"/>
        <w:jc w:val="left"/>
        <w:rPr>
          <w:rFonts w:ascii="Times New Roman" w:hAnsi="Times New Roman"/>
          <w:sz w:val="20"/>
        </w:rPr>
      </w:pPr>
      <w:r>
        <w:rPr>
          <w:rFonts w:ascii="Times New Roman" w:hAnsi="Times New Roman"/>
          <w:b/>
          <w:i/>
          <w:color w:val="000000"/>
          <w:sz w:val="20"/>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potential or perceived advantages or disadvantages of the oral delivery of biologics as compared to subcutaneous or IV injections of biologics;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of our product candidates compared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shelf-life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offer our product candidates for sale at competitive prices;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the RaniPill capsule;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class of drugs that are included in our product candidates continuing to represent the standard-of-care for the respective disease target and continuing to have a long-term favorable safety profile;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physicians to prescribe use of the RaniPill capsule and to prescribe biologics that utilize the RaniPill capsule;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the medical community to offer patients our product candidates in addition to or in the place of current subcutaneous and IV injectable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availability of government and third-party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sufficient supply to meet patients’ demand;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restrictions on the use of our product candidates together with other medications or treatments.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 </w:t>
      </w:r>
    </w:p>
    <w:p>
      <w:pPr>
        <w:pStyle w:val="TextBody"/>
        <w:bidi w:val="0"/>
        <w:spacing w:before="0" w:after="240"/>
        <w:jc w:val="left"/>
        <w:rPr>
          <w:rFonts w:ascii="Times New Roman" w:hAnsi="Times New Roman"/>
          <w:sz w:val="20"/>
        </w:rPr>
      </w:pPr>
      <w:r>
        <w:rPr>
          <w:rFonts w:ascii="Times New Roman" w:hAnsi="Times New Roman"/>
          <w:b/>
          <w:i/>
          <w:color w:val="000000"/>
          <w:sz w:val="20"/>
        </w:rPr>
        <w:t>The FDA and comparable foreign regulatory authorities actively enforce the laws and regulations prohibiting the promotion of off-label uses. If we are found or alleged to have improperly promoted off-label uses, we may become subject to significant liability.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 </w:t>
      </w:r>
    </w:p>
    <w:p>
      <w:pPr>
        <w:pStyle w:val="TextBody"/>
        <w:bidi w:val="0"/>
        <w:spacing w:before="240" w:after="240"/>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could limit our ability to generate revenue.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Factors payors consider in determining reimbursement are based on whether the product is: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the principal decisions about reimbursement for new products are typically made by the Centers for Medicare and Medicaid Services,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w:t>
      </w:r>
    </w:p>
    <w:p>
      <w:pPr>
        <w:pStyle w:val="TextBody"/>
        <w:bidi w:val="0"/>
        <w:spacing w:before="240" w:after="240"/>
        <w:jc w:val="left"/>
        <w:rPr>
          <w:rFonts w:ascii="Times New Roman" w:hAnsi="Times New Roman"/>
          <w:sz w:val="20"/>
        </w:rPr>
      </w:pPr>
      <w:r>
        <w:rPr>
          <w:rFonts w:ascii="Times New Roman" w:hAnsi="Times New Roman"/>
          <w:b/>
          <w:i/>
          <w:color w:val="000000"/>
          <w:sz w:val="20"/>
        </w:rPr>
        <w:t>We face significant competition from other biotherapeutics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face competition primarily from current and future (generic and biosimilars) manufacturers of subcutaneous and IV injectable versions of our product candidates, such as AbbVie Inc., Eli Lilly and Company, Janssen Biotech, Inc. and the SOMA and LUMI from the Novo Nordisk-MIT collaboration. Additionally, we face competition from companies that are pursuing the development and manufacture of oral biologics, including Oramed Pharmaceuticals, Inc., Entera Bio Ltd., Protagonist Therapeutics, Inc., Chiesi Farmaceutici SpA, i2O Therapeutics, Biora Therapeutics, Inc., Intract Pharma, and Novo Nordisk A/S. We also face competition from gene and cell therapy companies. Further, our product candidates aim to treat chronic diseases. As a result, we also compete with curative therapies on the basis that they cure the chronic disease we are intending to treat.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believe that our ability to successfully compete will depend on,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of our product candidates, in particular compared to marketed products and products in late-stage development;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it takes for our product candidates to complete clinical development and receive regulatory approval, if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commercialize and market any of our product candidates that receive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 of our products, including in comparison to branded or generic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coverage and adequate levels of reimbursement are available under private and governmental health insurance plans, including Medicare;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protect our intellectual property rights related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avoid infringing on the intellectual property rights of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manufacture and sell commercial quantities of any of our product candidates that receive regulatory approval;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acceptance of any of our product candidates, if approved, by payors, patients, and physicians and other healthcare providers, including perception of the safety and efficacy of the oral delivery of biologics.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 </w:t>
      </w:r>
    </w:p>
    <w:p>
      <w:pPr>
        <w:pStyle w:val="TextBody"/>
        <w:bidi w:val="0"/>
        <w:spacing w:before="240" w:after="240"/>
        <w:jc w:val="left"/>
        <w:rPr>
          <w:rFonts w:ascii="Times New Roman" w:hAnsi="Times New Roman"/>
          <w:sz w:val="20"/>
        </w:rPr>
      </w:pPr>
      <w:r>
        <w:rPr>
          <w:rFonts w:ascii="Times New Roman" w:hAnsi="Times New Roman"/>
          <w:b/>
          <w:i/>
          <w:color w:val="000000"/>
          <w:sz w:val="20"/>
        </w:rPr>
        <w:t>If the market opportunities for any product that we develop are smaller than we believe they are, our commercial revenue may be adversely affected and our business may suffer.</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RT-102, an oral administration of PTH for the treatment of osteoporosis, for which we estimate the patient population is approximately ten million in the United States as of 2018, and RT-111 for the treatment of inflammatory conditions, for which we estimate the patient population to be seven million for psoriasis and three million for Crohn’s disease or ulcerative colitis in the United States as of 2021. These estimates, and estimates for our other product candidates,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pStyle w:val="TextBody"/>
        <w:bidi w:val="0"/>
        <w:spacing w:before="240" w:after="240"/>
        <w:jc w:val="left"/>
        <w:rPr>
          <w:rFonts w:ascii="Times New Roman" w:hAnsi="Times New Roman"/>
          <w:sz w:val="20"/>
        </w:rPr>
      </w:pPr>
      <w:r>
        <w:rPr>
          <w:rFonts w:ascii="Times New Roman" w:hAnsi="Times New Roman"/>
          <w:b/>
          <w:i/>
          <w:color w:val="000000"/>
          <w:sz w:val="20"/>
        </w:rPr>
        <w:t>Additional time may be required to obtain regulatory approval for our product candidates because they are combination products.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left"/>
        <w:rPr>
          <w:rFonts w:ascii="Times New Roman" w:hAnsi="Times New Roman"/>
          <w:sz w:val="20"/>
        </w:rPr>
      </w:pPr>
      <w:r>
        <w:rPr>
          <w:rFonts w:ascii="Times New Roman" w:hAnsi="Times New Roman"/>
          <w:b/>
          <w:i/>
          <w:color w:val="000000"/>
          <w:sz w:val="20"/>
        </w:rPr>
        <w:t>Even if we obtain and maintain approval for any of our product candidates from the FDA, we may never obtain approval for our product candidates outside of the United States, which would limit our market opportunities and adversely affect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past, we have entered into evaluation agreements with Takeda and certain other pharmaceutical companies concerning the formulation and manufacture of oral versions of Factor VIII and other molecules. In January 2023, we entered into a License and Supply Agreement with Celltrion, under which we receive supply of ustekinumab biosimilar from Celltrion for RT-111 and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We believe the Phase 1 clinical trial that we completed with RT-111, the topline data of which we announced in February 2024, satisfies the requirements for triggering Celltrion’s right of first negotiation with respect to that program. If the parties enter into an agreement granting Celltrion development and commercialization rights for RT-111 or RT-105, we may be reliant on Celltrion to develop and commercialize the applicable product(s) in certain countries or worldwide.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reductions in the payment of royalties or other payments we believe are due pursuant to the applicable collaboration arrangement;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actions taken by a partner inside or outside our collaboration which could negatively impact our rights or benefits under our collaboration;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unwillingness on the part of a partner to keep us informed regarding the progress of its development and commercialization activities or to permit public disclosure of the results of those activities.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pStyle w:val="TextBody"/>
        <w:bidi w:val="0"/>
        <w:spacing w:before="240" w:after="240"/>
        <w:jc w:val="left"/>
        <w:rPr>
          <w:rFonts w:ascii="Times New Roman" w:hAnsi="Times New Roman"/>
          <w:sz w:val="20"/>
        </w:rPr>
      </w:pPr>
      <w:r>
        <w:rPr>
          <w:rFonts w:ascii="Times New Roman" w:hAnsi="Times New Roman"/>
          <w:b/>
          <w:i/>
          <w:color w:val="000000"/>
          <w:sz w:val="20"/>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 </w:t>
      </w:r>
    </w:p>
    <w:p>
      <w:pPr>
        <w:pStyle w:val="TextBody"/>
        <w:bidi w:val="0"/>
        <w:jc w:val="left"/>
        <w:rPr>
          <w:rFonts w:ascii="Times New Roman" w:hAnsi="Times New Roman"/>
          <w:sz w:val="20"/>
        </w:rPr>
      </w:pPr>
      <w:r>
        <w:rPr>
          <w:rFonts w:ascii="Times New Roman" w:hAnsi="Times New Roman"/>
          <w:b/>
          <w:i/>
          <w:color w:val="000000"/>
          <w:sz w:val="20"/>
        </w:rPr>
        <w:t>We depend on third-party suppliers for key materials used in our manufacturing processes as well as for the manufacturing of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seek to enter into collaborations, licenses and other similar arrangements and may not be successful in doing so, and even if we are, we may not realize the benefits of such relationships.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In addition, we may seek to enter into collaborations, joint ventures, licenses and other similar arrangements with third party biopharmaceutical companies for use of the RaniPill technology in developing and commercializing their own molecules. We may not be successful in our efforts to establish or maintain such collaborations because our research and development pipeline may be insufficient, our product candidates or technology may be deemed to be at too early of a stage of development for collaborative effort or third parties may not view our product candidates or technology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January 2023, we entered into a License and Supply Agreement with Celltrion, under which Celltrion has a right of first negotiation to obtain development and commercialization rights for RT-111 after completion of a Phase 1 clinical trial that meets its primary endpoint(s). In June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We believe the Phase 1 clinical trial that we completed with RT-111, the topline data of which we announced in February 2024, satisfies the requirements for triggering Celltrion’s right of first negotiation. However, even if we complete the requisite clinical trial for RT-111 or RT-105, Celltrion has no obligation to exercise its right of first negotiation, and if it does exercise such right we may not be able to agree on terms favorable to us or acceptable to us or Celltrion. Accordingly, there can be no assurance that the parties will enter into an agreement granting Celltrion development and commercialization rights for the applicable product following completion of a Phase 1 trial that meets its primary endpoint(s) or any exercise of the right of first negotiation. In November 2023, we announced that we have paused the RT-105 program until we have appropriate resources to continue the development. While the License and Supply Agreement with Celltrion regarding adalimumab biosimilar for RT-105 remains in place, if we do not initiate a Phase 1 trial with RT-105 within a certain time period specified in the agreement or fail to deliver Phase 1 data to Celltrion within a later timepoint specified in the agreement, Celltrion will have a right to terminate that License and Supply Agreement. In addition, as a result of a pausing of the RT-105 program, Celltrion’s interest in exercising its right of first negotiation with respect to that program or negotiating a collaboration for that program could diminish.</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our product candidates,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degree of success and cost of, and level of investment in, research, development, regulatory approval and commercialization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our product candidates, if approved, and potential future drugs that compete with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manufacturing our product candidates, which may vary depending on the quantity of production;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demand for any approved products,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success or failure of preclinical studies or clinical trials for our product candidates or competing product candidates, or any other change in the competitive landscape of our industry, including consolidation among our competitors or partners.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heavily dependent on the success of our product candidates in our core programs, and if any of these product candidates fail to enter clinical trials, receive regulatory approval or are not successfully commercialized, our business would be adversely affected.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our product candidates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demonstrate that any of our product candidates is safe and effective to the satisfaction of the FDA or comparable foreign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prior to granting approval, which would increase our costs and extend the pre-approval development process;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our clinical trials may not meet the level of statistical or clinical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number, design, size, conduct or statistical analysis of one or more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or not accept, our interpretation of data from our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identify deficiencies in our manufacturing processes or facilities which would be required to be corrected prior to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or further approval of competitor products approved in indications in which we undertake development of our product candidates may change the standard of care or change the standard for approval of our product candidate in our proposed indications;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change their approval policies or adopt new regulations.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our product candidates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proprietary RaniPill platform to build a pipeline of product candidates and partnered programs.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key element of our strategy is to leverage the RaniPill platform to expand our pipeline of product candidates and to enter into collaborations, licenses or similar arrangements with third party biopharmaceutical companies to use the RaniPill technology in developing and commercializing the third party’s molecules.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(alone or with partners), we may not prove to be successful at doing so. Potential partners may not see the opportunities created by the RaniPill platform the same way we do, or at all, and even if they do we may not be able to negotiate and enter into licensing or other transactions with potential partners on favorable terms, or at all. Even if we are successful in continuing to build our pipeline or establishing licensing arrangements with third parties regarding use of our platform for their molecules, the potential product candidates that we or they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or potential partners cannot successfully develop or commercialize products using the RaniPill technology, or if serious adverse events are discovered after commercialization, we will not be able to generate any product revenue, which would adversely affect business.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impact the costs, timing or successful completion of a clinical trial.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Most of our product candidates are in research or preclinical development and have not entered into clinical trials. If we are unable to develop, test and commercialize our product candidates, our business will be adversely affected.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financial and internal resources are insufficient;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methodology used may not be successful in identifying potential product candidates;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uncompetitive;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be shown to have harmful side effects or other characteristics that indicate such product candidate is unlikely to be effective or otherwise unlikely to achieve applicable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be capable of being produced in commercial quantities at an acceptable cost, or at all;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accepted by patients, the medical community, healthcare providers or third-party payors. </w:t>
      </w:r>
    </w:p>
    <w:p>
      <w:pPr>
        <w:pStyle w:val="TextBody"/>
        <w:bidi w:val="0"/>
        <w:spacing w:before="240" w:after="240"/>
        <w:jc w:val="left"/>
        <w:rPr>
          <w:rFonts w:ascii="Times New Roman" w:hAnsi="Times New Roman"/>
          <w:sz w:val="20"/>
        </w:rPr>
      </w:pPr>
      <w:r>
        <w:rPr>
          <w:rFonts w:ascii="Times New Roman" w:hAnsi="Times New Roman"/>
          <w:b/>
          <w:i/>
          <w:color w:val="000000"/>
          <w:sz w:val="20"/>
        </w:rPr>
        <w:t>Our proprietary RaniPill platform may not result in any products of commercial value.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developed a proprietary platform designed to enable the administration of biologics previously only administrable by subcutaneous or IV injection, and this approach forms the basis of our overall development strategy for all of our product candidates.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multiple reasons, the RaniPill platform may not ultimately be commercially valuable,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RaniPill platform may not work in conjunction with our targeted biologic indications or future indications to yield product candidates that can enter clinical development;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successful in our efforts to expand the applicability of the RaniPill platform beyond our current product pipeline;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enter into licensing or partnership agreements on suitable terms to obtain and develop oral versions of biologics;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medical community may not accept the RaniPill platform and physicians may not prescribe our products to patients, if approved.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Furthermore, certain of the product candidates contemplated by our current product pipeline may require use of the RaniPill HC, which is in preclinical testing and has not been tested clinically. There is no guarantee that we will be able to complete development of the RaniPill HC or that it will be compatible for use with product candidates or that it will achieve test results sufficient to advance it or our product candidates to later stages of development and/or commercialization,, any of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a result of a failure in any one of these factors, our business, financial condition and results of operations could be adversely affected.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Our high-capacity oral delivery device, RaniPill HC, is in early stages of development, and it is subject to the inherent risks and uncertainties of developing a novel, innovative technology. Our efforts to develop RaniPill HC may not be successful.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 use common components or processes between the RaniPill GO and RaniPill HC. Any of the foregoing factors or circumstances may adversely affect our business prospects, our attractiveness as a business partner or collaborator, our ability to raise additional capital, and our financial results.</w:t>
      </w:r>
    </w:p>
    <w:p>
      <w:pPr>
        <w:pStyle w:val="TextBody"/>
        <w:bidi w:val="0"/>
        <w:spacing w:before="240" w:after="24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of our product candidates, if approved.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 or termination of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decreased demand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of revenue from product sales;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240" w:after="240"/>
        <w:jc w:val="left"/>
        <w:rPr>
          <w:rFonts w:ascii="Times New Roman" w:hAnsi="Times New Roman"/>
          <w:sz w:val="20"/>
        </w:rPr>
      </w:pPr>
      <w:r>
        <w:rPr>
          <w:rFonts w:ascii="Times New Roman" w:hAnsi="Times New Roman"/>
          <w:b/>
          <w:i/>
          <w:color w:val="000000"/>
          <w:sz w:val="20"/>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ingredients or drug substances for the biologics of our product candidates.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third-party manufacturer could negatively affect our ability to develop product candidates or commercialize our products in a timely manner or within budget. This review may be costly and time consuming and could delay or prevent the launch of a product.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 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As a vertically-integrated manufacturer of a novel oral delivery technology, we may require significant time to develop manufacturing operations and processes capable of producing safe and reliable product at sufficient scale to meet business needs, if we are able to do so at all.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Since our RaniPill capsule employs novel technologies, we manufacture many of the components and have customized equipment needed for manufacturing the RaniPill capsule and we are required to develop novel manufacturing processes. This requires the development of new methods and know-how, as well as specifications and testing appropriate for manufacture of the RaniPill capsule. It may take significant time to develop manufacturing operations and processes capable of producing safe and reliable product at sufficient scale to meet business needs, if we are able to do so at all. We may find that certain materials used for the RaniPill capsule are not suitable for use with some or any product candidates, that certain processes as designed do not perform as intended and must be re-designed, or that certain operations as currently performed cannot be scaled up or automated as planned or at all. Even if we are able to develop manufacturing operations and processes that perform as we intend, the FDA, EMA or other regulatory authorities or potential collaboration partners may not deem such operations or processes to be acceptable, in which event we may need to change such operations, processes, specifications or testing or develop new operations, processes, specifications or testing, which may result in delays in or adversely affect the development or potential approval of product candidates or the negotiation or completion of third party collaboration arrangements, or require us to divert resources and attention from our product candidates or other business opportunities. Any such event could have a material adverse impact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data privacy and security of health information in some circumstances, many of which differ from each other in significant ways and often are not preempted by HIPAA, thus complicating compliance efforts.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obtain marketing approval of and commercialize our product candidates and affect the prices we may obtain.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Further, Congress is considering additional health reform measures.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The implementation of cost containment measures or other healthcare reforms may prevent us from being able to generate revenue, attain profitability, or commercialize our product candidates, if approved.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0" w:after="240"/>
        <w:jc w:val="left"/>
        <w:rPr>
          <w:rFonts w:ascii="Times New Roman" w:hAnsi="Times New Roman"/>
          <w:sz w:val="20"/>
        </w:rPr>
      </w:pPr>
      <w:r>
        <w:rPr>
          <w:rFonts w:ascii="Times New Roman" w:hAnsi="Times New Roman"/>
          <w:b/>
          <w:i/>
          <w:color w:val="000000"/>
          <w:sz w:val="20"/>
        </w:rPr>
        <w:t>Governments outside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 </w:t>
      </w:r>
    </w:p>
    <w:p>
      <w:pPr>
        <w:pStyle w:val="TextBody"/>
        <w:bidi w:val="0"/>
        <w:spacing w:before="240" w:after="240"/>
        <w:jc w:val="left"/>
        <w:rPr>
          <w:rFonts w:ascii="Times New Roman" w:hAnsi="Times New Roman"/>
          <w:sz w:val="20"/>
        </w:rPr>
      </w:pPr>
      <w:r>
        <w:rPr>
          <w:rFonts w:ascii="Times New Roman" w:hAnsi="Times New Roman"/>
          <w:b/>
          <w:i/>
          <w:color w:val="000000"/>
          <w:sz w:val="20"/>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will need to expand the size of our organization, and we may experience difficulties in managing this growth.</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designing and managing our clinical trials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recruiting, maintaining, motivating and integrating additional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managing our manufacturing and development efforts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improving our managerial, development, operational and financial systems and controls;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expanding our facilities.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Although in November 2023 we underwent a reduction in our workforce and paused or discontinued certain programs, we are continuing development of other programs and expanding our manufacturing footprint to support scale-up and automation. At such time 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pStyle w:val="TextBody"/>
        <w:bidi w:val="0"/>
        <w:spacing w:before="240" w:after="240"/>
        <w:jc w:val="left"/>
        <w:rPr>
          <w:rFonts w:ascii="Times New Roman" w:hAnsi="Times New Roman"/>
          <w:sz w:val="20"/>
        </w:rPr>
      </w:pPr>
      <w:r>
        <w:rPr>
          <w:rFonts w:ascii="Times New Roman" w:hAnsi="Times New Roman"/>
          <w:b/>
          <w:i/>
          <w:color w:val="000000"/>
          <w:sz w:val="20"/>
        </w:rPr>
        <w:t>If we do not achieve our projected development and commercialization goals in the timeframes we announce and expect, the commercialization of our product candidates may be delayed, and our business will be harmed.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available capital resources or capital constraints we experience;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receipt of approvals by the FDA and comparable foreign regulatory authorities and the timing thereof;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actions, decisions or rules issued by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access sufficient, reliable and affordable supplies of compounds used in the manufacture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our suppliers to reliably provide the quantity of materials needed to manufacture and commercialize our products;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non-occurrence of adverse events or serious adverse events in preclinical studies or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efforts of our collaborators and the success of our own efforts with respect to the commercialization of our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securing of, costs related to, and timing issues associated with, product manufacturing, including scale and automation processes, as well as sales and marketing activities.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fail to achieve announced milestones in the timeframes we announce and expect, our stock price may decrease, the commercialization of our product candidates may be delayed and our business and results of operations may be harmed.</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 </w:t>
      </w:r>
    </w:p>
    <w:p>
      <w:pPr>
        <w:pStyle w:val="TextBody"/>
        <w:bidi w:val="0"/>
        <w:spacing w:before="240" w:after="240"/>
        <w:jc w:val="left"/>
        <w:rPr>
          <w:rFonts w:ascii="Times New Roman" w:hAnsi="Times New Roman"/>
          <w:sz w:val="20"/>
        </w:rPr>
      </w:pPr>
      <w:r>
        <w:rPr>
          <w:rFonts w:ascii="Times New Roman" w:hAnsi="Times New Roman"/>
          <w:b/>
          <w:i/>
          <w:color w:val="000000"/>
          <w:sz w:val="20"/>
        </w:rPr>
        <w:t>Our insurance policies are expensive and only protect us from some business risks, which will leave us exposed to significant uninsured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 </w:t>
      </w:r>
    </w:p>
    <w:p>
      <w:pPr>
        <w:pStyle w:val="TextBody"/>
        <w:bidi w:val="0"/>
        <w:spacing w:before="240" w:after="240"/>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 </w:t>
      </w:r>
    </w:p>
    <w:p>
      <w:pPr>
        <w:pStyle w:val="TextBody"/>
        <w:bidi w:val="0"/>
        <w:spacing w:before="240" w:after="240"/>
        <w:jc w:val="left"/>
        <w:rPr>
          <w:rFonts w:ascii="Times New Roman" w:hAnsi="Times New Roman"/>
          <w:sz w:val="20"/>
        </w:rPr>
      </w:pPr>
      <w:r>
        <w:rPr>
          <w:rFonts w:ascii="Times New Roman" w:hAnsi="Times New Roman"/>
          <w:b/>
          <w:i/>
          <w:color w:val="000000"/>
          <w:sz w:val="20"/>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California, which in the past has experienced severe earthquakes and fires.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do not carry earthquake insurance. Earthquakes or other natural disasters could severely disrupt our operations, and have a material adverse effect on our business, results of operations, financial condition and prospects.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 public health crisis could adversely impact our business including our ongoing and planned preclinical studies and clinical trials.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public health crisis may cause delays in our preclinical and planned clinical development activities and may impact our third-party manufacturers and suppliers, which could disrupt its supply chain or the availability or cost of materials. If governmental authorities reinstate or issue new public health directives as a result of a public health crisis, these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our ability to obtain financing. Such disruptions could severely impact our business, current and planned clinical trials and preclinical studies, including as a result 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inability of our management to travel in connection with establishing partnerships and collaborations;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receiving the supplies, materials and services needed to conduct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 of our access to capital in the global financial markets;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difficulties in enrolling patients in future planned clinical trials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or difficulties in clinical site initiation, including difficulties in recruiting clinical site investigators and clinical site staff;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interruptions or delays in the operations of the FDA or comparable foreign regulatory authorities, which may impact review and approval timelines;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regulations as part of a response to a public health crisis or other such disruptions which may require us to change the ways in which our clinical trials are conducted, which may result in unexpected costs or require us to discontinue clinical trials altogether;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interruptions or delays to our pipeline and research programs;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necessary interactions with regulators, ethics committees and other important agencies and contractors due to limitations in employee resources or furlough of government or contractor personnel.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as a result of a public health crisis, we may be required to develop and implement additional clinical trial policies and procedures designed to help protect trial participants, which may include using telemedicine visits, remote monitoring of patients and clinical sites, and measures to ensure that data from clinical trials that may be disrupted as a result of the crisis are collected pursuant to the trial protocol and consistent with GCPs, with any material protocol deviation reviewed and approved by the site IRB. In addition, potential patients in our planned clinical trials may choose to not enroll, not participate in follow-up clinical visits, or drop out of the trial as a precaution during any such crisis.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governmental and medical resources and attention may be focused on the applicable crisis, which may make it more difficult to obtain required reviews or approvals, necessary materials, or clinical or preclinical sites or slots, or manufacturing slots for the products needed for our planned clinical trials, which could lead to delays in these trials.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continued and prolonged public health crisis could have a material negative impact on our business, financial condition, and operating results. It could also have the effect of heightening many of the other risks described in this “Risk Factors” section.</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ordinary course of business, we process personal data and other sensitive data, including proprietary and confidential business data, trade secrets, intellectual property, and data we collect about trial participants in connection with clinical trials (collectively, sensitive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state laws allow for statutory fines for noncompliance. For example, the California Consumer Privacy Act of 2018, as amended by the California Privacy Rights Act of 2020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and increase legal risk and compliance costs for us and the third parties on which we rely.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For example, the EU GDPR, the UK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We conduct clinical trials in Australia, may conduct clinical studies in the EU and other countries and may be subject to EU GDPR, UK GDPR or other data privacy regulations, and we work with companies and vendors in Asia and may be subject to new and emerging data privacy regimes in Asia, including China’s PIPL, Japan’s Act on the Protection of Personal Information, and Singapore’s Personal Data Protection Act.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a privacy policy on our website. If this policy or other privacy or security-related statements or materials we may publish is found to be deficient, lacking in transparency, deceptive, unfair, or misrepresentative of our practices, we may be subject to investigation, enforcement actions by regulators, or other adverse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and imprisonment of company officials.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face a variety of evolving threats that could cause security incidents.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develop, test and distribute our capsules, product candidates, and other goods and services.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regularly have employees that work remotely. 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our reliance on third-party collaborators, consultants, contractors, suppliers, and service providers could introduce new cybersecurity risks and vulnerabilities, including supply-chain attacks, and other threats to our business operations. We rely on third parties and technologies to operate critical business systems to process sensitive data in a variety of contexts, including, without limitation, contract research organizations, employee email, and other functions. We also rely on third parties to provide other products, services, parts, or otherwise to operate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ability to monitor these third parties’ information security practices is limited, and these third parties may not have adequate information security measures in place. If our third parties experience a security incident or other interruption, we could experience adverse consequences. While we may be entitled to damages if the third parties 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on which we rely. A security incident or other interruption could disrupt our ability (and that of third parties on which we rely) to provide our products.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(or a third party on which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such coverage will continue to be available on commercially reasonable terms or at all, or that such coverage will pay future claims.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Our commercial success may depend in part on our ability to build and maintain our intellectual property portfolio.</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Where our intellectual property rights are insufficient to prevent or limit commercialization of competitive products in a jurisdiction, potential competitors might be able to enter or expand in a market more easily, which could have a material adverse effect on our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ways in which our intellectual property portfolio may be limited represent risks to our capability to reduce competition and thus risks to our business.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not be able to obtain sufficient patent coverage.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also inadvertently lose patent assets by failing to follow agency procedures. The U.S. Patent and Trademark Office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not be able to obtain sufficient brand protection.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our competitors may infringe or otherwise violate our trademarks and we may not have adequate resources to enforce our trademarks.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Trademarks and domain names are intended, and in some cases required, to be used by their owners. In the absence of meaningful use, we may be forced to forfeit various ones of our trademarks and domain names.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Intellectual property law and regulation could affect the value of our intellectual property portfolio.</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cannot predict interpretations of existing laws and regulations, future changes to laws or regulations, or changes in the interpretation of laws or regulations. Such changes could increase uncertainty with respect to the value of patents and trademarks once obtained. </w:t>
      </w:r>
    </w:p>
    <w:p>
      <w:pPr>
        <w:pStyle w:val="TextBody"/>
        <w:bidi w:val="0"/>
        <w:spacing w:before="240" w:after="240"/>
        <w:jc w:val="left"/>
        <w:rPr>
          <w:rFonts w:ascii="Times New Roman" w:hAnsi="Times New Roman"/>
          <w:sz w:val="20"/>
        </w:rPr>
      </w:pPr>
      <w:r>
        <w:rPr>
          <w:rFonts w:ascii="Times New Roman" w:hAnsi="Times New Roman"/>
          <w:b/>
          <w:i/>
          <w:color w:val="000000"/>
          <w:sz w:val="20"/>
        </w:rPr>
        <w:t>Intellectual property rights do not provide complete protection for our business activities.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not be able to successfully commercialize our products prior to patent expiration.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 </w:t>
      </w:r>
    </w:p>
    <w:p>
      <w:pPr>
        <w:pStyle w:val="TextBody"/>
        <w:bidi w:val="0"/>
        <w:spacing w:before="0" w:after="240"/>
        <w:jc w:val="left"/>
        <w:rPr>
          <w:rFonts w:ascii="Times New Roman" w:hAnsi="Times New Roman"/>
          <w:sz w:val="20"/>
        </w:rPr>
      </w:pPr>
      <w:r>
        <w:rPr>
          <w:rFonts w:ascii="Times New Roman" w:hAnsi="Times New Roman"/>
          <w:b/>
          <w:i/>
          <w:color w:val="000000"/>
          <w:sz w:val="20"/>
        </w:rPr>
        <w:t>Our intellectual property rights may not be effective against certain competitive products.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240"/>
        <w:jc w:val="left"/>
        <w:rPr>
          <w:rFonts w:ascii="Times New Roman" w:hAnsi="Times New Roman"/>
          <w:sz w:val="20"/>
        </w:rPr>
      </w:pPr>
      <w:r>
        <w:rPr>
          <w:rFonts w:ascii="Times New Roman" w:hAnsi="Times New Roman"/>
          <w:b/>
          <w:i/>
          <w:color w:val="000000"/>
          <w:sz w:val="20"/>
        </w:rPr>
        <w:t>Third parties may hold intellectual property rights that cover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presently reliant upon an in-license with InCube Labs, LLC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Further, we are presently party to a Service Agreement with ICL effective January 1, 2021, as amended in March 2022 and March 2024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 </w:t>
      </w:r>
    </w:p>
    <w:p>
      <w:pPr>
        <w:pStyle w:val="TextBody"/>
        <w:bidi w:val="0"/>
        <w:spacing w:before="240" w:after="240"/>
        <w:jc w:val="left"/>
        <w:rPr>
          <w:rFonts w:ascii="Times New Roman" w:hAnsi="Times New Roman"/>
          <w:sz w:val="20"/>
        </w:rPr>
      </w:pPr>
      <w:r>
        <w:rPr>
          <w:rFonts w:ascii="Times New Roman" w:hAnsi="Times New Roman"/>
          <w:b/>
          <w:i/>
          <w:color w:val="000000"/>
          <w:sz w:val="20"/>
        </w:rPr>
        <w:t>Legal or administrative proceedings related to intellectual property could materially adversely affect our ability to commercialize our products and could result in significant expenditures of resources.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 </w:t>
      </w:r>
    </w:p>
    <w:p>
      <w:pPr>
        <w:pStyle w:val="TextBody"/>
        <w:bidi w:val="0"/>
        <w:spacing w:before="240" w:after="240"/>
        <w:jc w:val="left"/>
        <w:rPr>
          <w:rFonts w:ascii="Times New Roman" w:hAnsi="Times New Roman"/>
          <w:sz w:val="20"/>
        </w:rPr>
      </w:pPr>
      <w:r>
        <w:rPr>
          <w:rFonts w:ascii="Times New Roman" w:hAnsi="Times New Roman"/>
          <w:b/>
          <w:i/>
          <w:color w:val="000000"/>
          <w:sz w:val="20"/>
        </w:rPr>
        <w:t>Others may challenge our intellectual property in administrative proceedings.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Our European patents are presently being challenged in Europe, and if one or more of such challenges is successful it could encourage such party or other parties to challenge additional patents of ours in Europe or other jurisdictions.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first opposition proceeding involves European Patent No. 2515992, which is generally directed to an ingestible device. In July 2021, the EPO Opposition Division issued a decision resulting in an amendment to the claims of the patent. Both parties subsequently filed a notice of appeal with the EPO Appeal Board and we are awaiting a final decision.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second opposition proceeding involves European Patent No. 2544668, which is generally directed to a therapeutic agent preparation. In December 2021, the EPO Opposition Division issued a decision resulting in revocation of the patent. Both parties subsequently filed a notice of appeal with the EPO Appeal Board and we are awaiting a final decision.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third opposition proceeding involves European Patent No. 3461478, which is in the same family as European Patent No. 2515992 noted above. In April 2022, the EPO Opposition Division issued a decision resulting in an amendment to the claims of the patent. Both parties subsequently filed a notice of appeal with the EPO Appeal Board and we are awaiting a final decision.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fourth opposition proceeding involves European Patent No. 3653223, which is generally directed to a swallowable device. In October 2023, the EPO Opposition Division issued a decision resulting in an amendment to the claims of the patent. Both parties subsequently filed a notice of appeal with the EPO Appeal Board and we are awaiting a final decision.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any of the current oppositions results in a revocation or reduction in our patent protection, it could encourage Novo Nordisk A/S or other parties to seek to invalidate or reduce additional patents in Europe or other jurisdictions. If current or future opposition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is a risk that we may face additional oppositions in Europe as additional European patents are granted.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assert challenges against others of infringement of our intellectual property.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that may be required in connection with intellectual property litigation, there is a risk that some of our proprietary information could be compromised by disclosure during litigation.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if securities analysts or investors perceive these results to be negative, it could have a material adverse effect on the price of our stock.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be subject to challenges asserting infringement of intellectual property of a third party.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manufacture, market and sell our products and use our proprietary technologies without infringing the intellectual property rights of third parties.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 party’s patent or trademark or of misappropriating a third party’s trade secret.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be subject to challenges asserting misappropriation of intellectual property of a third party.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be subject to challenges to the inventorship or ownership of our intellectual property.</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Third parties may obtain our proprietary information, which could harm our business and competitive position.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Organizational Structure</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distributions we receive from Rani LLC. Rani LLC may not generate sufficient cash flow to distribute funds to us and applicable state law and contractual restrictions, including negative covenants in our debt instruments, may not permit such distributions. In August 2021, in connection with the IPO and Organizational Transactions, we entered into a Tax Receivable Agreement with certain of the Continuing LLC Owners. See the risk factor below entitled “The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LLC does not have sufficient funds to make distributions, our ability to declare and pay cash dividends will also be restricted or impaired. </w:t>
      </w:r>
    </w:p>
    <w:p>
      <w:pPr>
        <w:pStyle w:val="TextBody"/>
        <w:bidi w:val="0"/>
        <w:spacing w:before="0" w:after="240"/>
        <w:jc w:val="left"/>
        <w:rPr>
          <w:rFonts w:ascii="Times New Roman" w:hAnsi="Times New Roman"/>
          <w:sz w:val="20"/>
        </w:rPr>
      </w:pPr>
      <w:r>
        <w:rPr>
          <w:rFonts w:ascii="Times New Roman" w:hAnsi="Times New Roman"/>
          <w:b/>
          <w:i/>
          <w:color w:val="000000"/>
          <w:sz w:val="20"/>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w:t>
      </w:r>
    </w:p>
    <w:p>
      <w:pPr>
        <w:pStyle w:val="TextBody"/>
        <w:bidi w:val="0"/>
        <w:spacing w:before="240" w:after="240"/>
        <w:jc w:val="left"/>
        <w:rPr>
          <w:rFonts w:ascii="Times New Roman" w:hAnsi="Times New Roman"/>
          <w:sz w:val="20"/>
        </w:rPr>
      </w:pPr>
      <w:r>
        <w:rPr>
          <w:rFonts w:ascii="Times New Roman" w:hAnsi="Times New Roman"/>
          <w:b/>
          <w:i/>
          <w:color w:val="000000"/>
          <w:sz w:val="20"/>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20"/>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certain of the Continuing LLC Owners could be significant. See the section titled “</w:t>
      </w:r>
      <w:r>
        <w:rPr>
          <w:rFonts w:ascii="Times New Roman" w:hAnsi="Times New Roman"/>
          <w:i/>
          <w:color w:val="000000"/>
          <w:sz w:val="20"/>
        </w:rPr>
        <w:t>Management’s Discussion and Analysis of Financial Condition and Results of Operations—Liquidity and Capital Resources—Source of Liquidity</w:t>
      </w:r>
      <w:r>
        <w:rPr>
          <w:rFonts w:ascii="Times New Roman" w:hAnsi="Times New Roman"/>
          <w:color w:val="000000"/>
          <w:sz w:val="20"/>
        </w:rPr>
        <w:t xml:space="preserve">” for further information.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Payments under the Tax Receivable Agreement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 </w:t>
      </w:r>
    </w:p>
    <w:p>
      <w:pPr>
        <w:pStyle w:val="TextBody"/>
        <w:bidi w:val="0"/>
        <w:spacing w:before="240" w:after="240"/>
        <w:jc w:val="left"/>
        <w:rPr>
          <w:rFonts w:ascii="Times New Roman" w:hAnsi="Times New Roman"/>
          <w:sz w:val="20"/>
        </w:rPr>
      </w:pPr>
      <w:r>
        <w:rPr>
          <w:rFonts w:ascii="Times New Roman" w:hAnsi="Times New Roman"/>
          <w:b/>
          <w:i/>
          <w:color w:val="000000"/>
          <w:sz w:val="20"/>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 </w:t>
      </w:r>
    </w:p>
    <w:p>
      <w:pPr>
        <w:pStyle w:val="TextBody"/>
        <w:bidi w:val="0"/>
        <w:jc w:val="left"/>
        <w:rPr>
          <w:rFonts w:ascii="Times New Roman" w:hAnsi="Times New Roman"/>
          <w:sz w:val="20"/>
        </w:rPr>
      </w:pPr>
      <w:r>
        <w:rPr>
          <w:rFonts w:ascii="Times New Roman" w:hAnsi="Times New Roman"/>
          <w:b/>
          <w:i/>
          <w:color w:val="000000"/>
          <w:sz w:val="20"/>
        </w:rPr>
        <w:t>ICL currently supports certain of our general and administrative corporate functions and we occupy space within facilities owned or leased by ICL pursuant to service agreements. If we were required to replicate or replace these services sooner than planned or if one or both of the service agreements is terminated, our operations could be adversely affected.</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Rani LLC-ICL Service Agreement, ICL provides us certain general and administrative corporate support services. In addition, pursuant to the Rani LLC-ICL Service Agreement and a separate service agreement dated January 1, 2021 originally between RMS and ICL but which was assigned by RMS to Rani LLC in April 2022 and amended in March 2024 (the “RMS-ICL Service Agreement”), we sublease from ICL the office, laboratory and manufacturing space used for our operations (“Occupancy Services”). In March 2024, we entered into an amendment to the RMS-ICL Service Agreement to increase the Occupancy Services from 23,000 square feet to 24,000 square feet. In March 2024, we also entered into an amendment to the Rani LLC-ICL Service Agreement to extend the term of the Occupancy Services in Milpitas, California from February 2024 to August 2024 and to increase the payment for such Occupancy Services during the extension period.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Pursuant to the Rani LLC-ICL Service Agreement, we will wholly own intellectual property resulting from ICL’s development work that relates only to the oral delivery of sensors, small molecule drugs or biologic drugs and was developed by our team and using our resources. ICL has agreed to exclusively license certain intellectual property to us for use solely within the field of oral delivery of sensors, small molecule drugs and biologic drugs, but we may not obtain a license on favorable terms.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Rani LLC-ICL Service Agreement will automatically renew for successive one-year terms unless sooner terminated by either party. Termination of individual services under the Rani LLC-ICL Service Agreement or RMS-ICL Service Agreement requires 60 days’ notice, and termination of Occupancy Services under the Rani LLC-ICL Service Agreement or RMS-ICL Service Agreement requires six months’ notice; except that the Occupancy Services in Milpitas, California will expire in August 2024, following the amendment entered into in March 2024. In the event the Rani LLC-ICL Service Agreement or RMS-ICL Service Agreement is terminated by us or ICL, we will need to replicate or replace certain functions, systems, equipment or facilities to which we will no longer have the same access. Such changes may be costly to implement and disruptive to our business. In February 2024, we began to occupy a facility in Fremont, California. We intend to transition certain of our operations to that facility so that we will no longer need the Occupancy Services in Milpitas, California.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we may not be able to replace these services, systems, equipment or facilities or enter into appropriate third-party agreements therefor on terms and conditions, including cost, comparable to those that we receive from ICL under the Rani LLC-ICL Service Agreement or RMS-ICL Service Agreement, or in a time period that minimizes disruption to our operations. The loss of services or the use of systems, equipment or facilities under the Rani LLC-ICL Service Agreement or RMS-ICL Service Agreement or our inability to replace such services, systems, equipment or facilities in a timely or cost-effective manner could have an adverse effect on our operations and financial results.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controlled by certain of the Continuing LLC Owners, whose interests may differ from those of our public stockholders.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of March 10, 2024, certain of the Continuing LLC Owners controlled more than 80%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 </w:t>
      </w:r>
    </w:p>
    <w:p>
      <w:pPr>
        <w:pStyle w:val="TextBody"/>
        <w:bidi w:val="0"/>
        <w:spacing w:before="240" w:after="240"/>
        <w:jc w:val="left"/>
        <w:rPr>
          <w:rFonts w:ascii="Times New Roman" w:hAnsi="Times New Roman"/>
          <w:sz w:val="20"/>
        </w:rPr>
      </w:pPr>
      <w:r>
        <w:rPr>
          <w:rFonts w:ascii="Times New Roman" w:hAnsi="Times New Roman"/>
          <w:b/>
          <w:i/>
          <w:color w:val="000000"/>
          <w:sz w:val="20"/>
        </w:rPr>
        <w:t>The multi-class structure of our common stock may adversely affect the trading price or liquidity of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The multi-class structure of our common stock has the effect of concentrating voting control which will limit your ability to influence the outcome of important transactions, including a change in control.</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Class B common stock has ten votes per share, our Class A common stock has one vote per share and Class C common stock has no voting rights, except as required by law. As of March 10, 2024, holders of our outstanding Class B common stock collectively held more than 80%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We do not know whether an active, liquid and orderly trading market will develop for our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 </w:t>
      </w:r>
    </w:p>
    <w:p>
      <w:pPr>
        <w:pStyle w:val="TextBody"/>
        <w:bidi w:val="0"/>
        <w:spacing w:before="240" w:after="240"/>
        <w:jc w:val="left"/>
        <w:rPr>
          <w:rFonts w:ascii="Times New Roman" w:hAnsi="Times New Roman"/>
          <w:sz w:val="20"/>
        </w:rPr>
      </w:pPr>
      <w:r>
        <w:rPr>
          <w:rFonts w:ascii="Times New Roman" w:hAnsi="Times New Roman"/>
          <w:b/>
          <w:i/>
          <w:color w:val="000000"/>
          <w:sz w:val="20"/>
        </w:rPr>
        <w:t>Our stock price may be volatile and the value of our Class A common stock may decline.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approvals for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laws or regulations applicable to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adverse developments concerning any of our third-party collaborators and suppliers;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and rate of physician and market adoption of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new technologies, acquisitions, or new offerings;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publicity associated with issues related to our technology or our product candidates;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sales of our Class A common stock or other securities, by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senior management or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volume of our Class A common stock;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or news releases by other companies in our industry including about adverse developments related to safety, effectiveness, accuracy and usability of their products, reputational concerns, reimbursement coverage, regulatory compliance, and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economic, regulatory and market conditions, including economic recessions or slowdowns;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variance in our financial performance from expectations of securities analysts or investors;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projected operating and financial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political and economic conditions, including war, terrorism and other international conflicts, such as the conflict between Ukraine and Russia, and public health issues including health epidemics or pandemics;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of March 10, 2024, our Chairman, Mir Imran beneficially owned more than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board that is composed of a majority of “independent directors,” as defined under the Nasdaq rules;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compensation committee that is composed entirely of independent directors;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director nominations be made, or recommended to the full board of directors, by its independent directors, or by a nominations/governance committee that is composed entirely of independent directors.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 </w:t>
      </w:r>
    </w:p>
    <w:p>
      <w:pPr>
        <w:pStyle w:val="TextBody"/>
        <w:bidi w:val="0"/>
        <w:spacing w:before="0" w:after="240"/>
        <w:jc w:val="left"/>
        <w:rPr>
          <w:rFonts w:ascii="Times New Roman" w:hAnsi="Times New Roman"/>
          <w:sz w:val="20"/>
        </w:rPr>
      </w:pPr>
      <w:r>
        <w:rPr>
          <w:rFonts w:ascii="Times New Roman" w:hAnsi="Times New Roman"/>
          <w:b/>
          <w:i/>
          <w:color w:val="000000"/>
          <w:sz w:val="20"/>
        </w:rPr>
        <w:t>We may in the future engage in acquisitions, collaborations, or strategic partnerships, which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volatility with respect to the financial reporting related to such arrangements;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assumption of indebtedness or contingent liabilities;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issuance of our equity securities which would result in dilution to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diversion of our management’s attention from our existing product programs and initiatives in pursuing such an acquisition or strategic partnership;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if we undertake such a transaction, we may issue dilutive securities, assume or incur debt obligations, incur large one-time expenses, and acquire intangible assets that could result in significant future amortization expense. </w:t>
      </w:r>
    </w:p>
    <w:p>
      <w:pPr>
        <w:pStyle w:val="TextBody"/>
        <w:bidi w:val="0"/>
        <w:spacing w:before="240" w:after="240"/>
        <w:jc w:val="left"/>
        <w:rPr>
          <w:rFonts w:ascii="Times New Roman" w:hAnsi="Times New Roman"/>
          <w:sz w:val="20"/>
        </w:rPr>
      </w:pPr>
      <w:r>
        <w:rPr>
          <w:rFonts w:ascii="Times New Roman" w:hAnsi="Times New Roman"/>
          <w:b/>
          <w:i/>
          <w:color w:val="000000"/>
          <w:sz w:val="20"/>
        </w:rPr>
        <w:t>Future sales and issuances of our Class A common stock in the public market could cause the market price of our Class A common stock to decline.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Continuing LLC Owners are entitled to rights with respect to the registration of their shares under the Securities Act. Registration of these shares under the Securities Act would result in the shares becoming freely tradable without restriction under the Securities Act. As a result of certain stockholders requesting such registration, in December 2022 we filed a registration statement on Form S-3 to register 6,009,542 shares of our Class A common stock held by certain of our stockholders. Accordingly, these shares are freely tradeable without restriction under the Securities Act.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Any sales of securities by the foregoing or other stockholders could have a material adverse effect on the trading price of our Class A common stock.</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of March 10, 2024, our named executive officers, directors, holders of 5% or more of our capital stock and their respective affiliates beneficially held outstanding stock representing over 80%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w:t>
      </w:r>
    </w:p>
    <w:p>
      <w:pPr>
        <w:pStyle w:val="TextBody"/>
        <w:bidi w:val="0"/>
        <w:spacing w:before="240" w:after="240"/>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 </w:t>
      </w:r>
    </w:p>
    <w:p>
      <w:pPr>
        <w:pStyle w:val="TextBody"/>
        <w:bidi w:val="0"/>
        <w:spacing w:before="240" w:after="240"/>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may need to hire additional accounting and financial staff with appropriate public company reporting experience and technical accounting knowledge. Moreover, the reporting requirements, rules and regulations increase our legal and financial compliance costs and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Provisions under Delaware law and California law could make an acquisition of our company more difficult, limit attempts by our stockholders to replace or remove our current management and limit the market price of our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 </w:t>
      </w:r>
    </w:p>
    <w:p>
      <w:pPr>
        <w:pStyle w:val="TextBody"/>
        <w:bidi w:val="0"/>
        <w:spacing w:before="240" w:after="240"/>
        <w:jc w:val="left"/>
        <w:rPr>
          <w:rFonts w:ascii="Times New Roman" w:hAnsi="Times New Roman"/>
          <w:sz w:val="20"/>
        </w:rPr>
      </w:pPr>
      <w:r>
        <w:rPr>
          <w:rFonts w:ascii="Times New Roman" w:hAnsi="Times New Roman"/>
          <w:b/>
          <w:i/>
          <w:color w:val="000000"/>
          <w:sz w:val="20"/>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authority of the board of directors to issue preferred stock on terms determined by the board of directors without stockholder approval and which preferred stock may include rights superior to the rights of the holders of Class A common stock;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authorization of three classes of common stock as described above.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 </w:t>
      </w:r>
    </w:p>
    <w:p>
      <w:pPr>
        <w:pStyle w:val="TextBody"/>
        <w:bidi w:val="0"/>
        <w:spacing w:before="240" w:after="24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of 2002, to furnish a report by management on, among other things, the effectiveness of our internal control over financial reporting on an annual basis.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become an accelerated filer.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 </w:t>
      </w:r>
    </w:p>
    <w:p>
      <w:pPr>
        <w:pStyle w:val="TextBody"/>
        <w:bidi w:val="0"/>
        <w:spacing w:before="240" w:after="240"/>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 </w:t>
      </w:r>
    </w:p>
    <w:p>
      <w:pPr>
        <w:pStyle w:val="TextBody"/>
        <w:bidi w:val="0"/>
        <w:spacing w:before="240" w:after="240"/>
        <w:jc w:val="left"/>
        <w:rPr>
          <w:rFonts w:ascii="Times New Roman" w:hAnsi="Times New Roman"/>
          <w:sz w:val="20"/>
        </w:rPr>
      </w:pPr>
      <w:r>
        <w:rPr>
          <w:rFonts w:ascii="Times New Roman" w:hAnsi="Times New Roman"/>
          <w:b/>
          <w:i/>
          <w:color w:val="000000"/>
          <w:sz w:val="20"/>
        </w:rPr>
        <w:t>Business disruptions could seriously harm our business, financial condition, and results of operations.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operations, and those of our CROs, suppliers and other contractors and consultants, could be subject to earthquakes, power shortages, telecommunications failures, water shortages, floods, hurricanes, typhoons, fires, extreme weather conditions, public health pandemics or epidemics, geopolitical events, including civil or political unrest (such as the ongoing conflict between Ukraine and Russia), terrorism, insurrection or war, recent and potential future disruptions in access to bank deposits or lending commitments due to bank failures, and other natural or man-made disasters or business interruptions, for which we are predominantly self-insured. The occurrence of any of these business disruptions could seriously harm our operations and financial condition and increase our costs and expenses.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or disruptions to bank deposits and lending commitments due to bank failures, could impact economies and financial markets, resulting in economic worsening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Unanticipated changes in effective tax rates or adverse outcomes resulting from examination of our income or other tax returns could adversely affect our results of operations and financial condition</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valuation of our deferred tax assets and liabilities;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expected timing and amount of the release of any tax valuation allowances;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 effects of stock-based compensation;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tax laws, regulations or interpretations thereof;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earnings being lower than anticipated in countries where we have lower statutory tax rates and higher than anticipated earnings in countries where we have higher statutory tax rates.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we may be subject to audits of our income, sales and other transaction taxes by U.S. federal, state, local and foreign taxing authorities. Outcomes from these audits could adversely affect our business, results of operations and financial condition. </w:t>
      </w:r>
    </w:p>
    <w:p>
      <w:pPr>
        <w:pStyle w:val="TextBody"/>
        <w:bidi w:val="0"/>
        <w:spacing w:before="240" w:after="240"/>
        <w:jc w:val="left"/>
        <w:rPr>
          <w:rFonts w:ascii="Times New Roman" w:hAnsi="Times New Roman"/>
          <w:sz w:val="20"/>
        </w:rPr>
      </w:pPr>
      <w:r>
        <w:rPr>
          <w:rFonts w:ascii="Times New Roman" w:hAnsi="Times New Roman"/>
          <w:b/>
          <w:i/>
          <w:color w:val="000000"/>
          <w:sz w:val="20"/>
        </w:rPr>
        <w:t>Our failure to meet Nasdaq’s continued listing requirements could result in a delisting of our Class A common stock.</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 </w:t>
      </w:r>
    </w:p>
    <w:p>
      <w:pPr>
        <w:pStyle w:val="TextBody"/>
        <w:bidi w:val="0"/>
        <w:spacing w:before="240" w:after="240"/>
        <w:jc w:val="left"/>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our Class A common stock price and trading volume could decline.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 </w:t>
      </w:r>
    </w:p>
    <w:p>
      <w:pPr>
        <w:pStyle w:val="TextBody"/>
        <w:bidi w:val="0"/>
        <w:spacing w:before="24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and other trial participant data (“Information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head of our information security team (Svai Sanford, Chief Financial Officer (“CFO”)), our information security team and our legal team help identify, assess and manage our cybersecurity threats and risks. This group works to identify and assess risks from cybersecurity threats by monitoring and evaluating our threat environment using various methods including, for example deploying certain automated tools, subscribing to reports and services that identify certain cybersecurity threats, conducting scans of certain threat environments, evaluating certain threats reported to us, using external intelligence feeds, and conducting vulnerability assessments in certain environments and systems to identify vulnerabilities.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environment and system, we implement and maintain various technical, physical, and organizational measures, and processes designed to manage and mitigate material risks from cybersecurity threats to our Information Systems and Data, including, for example: incident detection and response processes, disaster recovery and business continuity plans, encryption of certain data, network security controls and access controls in certain environments and systems, monitoring certain systems, physical security of certain assets, asset management, employee training, and cybersecurity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our overall risk management processes. For example, the information security team works with management to prioritize our risk management processes and mitigate cybersecurity threats that are more likely to lead to a material impact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threat intelligence service providers and dark web monitoring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application providers, hosting companies, and clinical data management and processing service providers. We have a vendor management program to manage cybersecurity risks associated with our use of certain of these providers. The program includes a review of certain information security measures of certain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in this Annual Report on Form 10-K, including “If our internal technology systems or sensitive information, or those used by our third-party collaborators, vendors,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addresses our cybersecurity risk management as part of its general oversight function. The board of directors’ is responsible for overseeing our cybersecurity risk management processes, including oversight of mitigation of risks from cybersecurity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certain of our management, including our CFO, who oversees our information security team and has over 2 years of experience overseeing such function.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CFO is responsible for hiring appropriate personnel, helping to integrate cybersecurity risk considerations into our overall risk management strategy, and communicating key priorities to relevant personnel. Our CFO is also responsible for approving budgets, helping prepare for cybersecurity incidents, approving cybersecurity processes, and reviewing security assessments and other security-related reports. Our cybersecurity incident response processes are designed to escalate certain cybersecurity incidents to members of management depending on the circumstances. The incident management team helps us mitigate and remediate cybersecurity incidents of which they are notified. In addition, our incident response processes include reporting to the board of directors for certain cybersecurity incidents. The board receives periodic reports from management concerning the Company’s significant cybersecurity threats and risk and the processes the Company has implemented to address them. The board also receives various reports, summaries or presentations related to cybersecurity threats, risk and mitigation.</w:t>
      </w:r>
    </w:p>
    <w:p>
      <w:pPr>
        <w:pStyle w:val="TextBody"/>
        <w:bidi w:val="0"/>
        <w:spacing w:before="24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headquarters are currently located in San Jose, California. We lease approximately 88,000 square feet of office, research and development, production and manufacturing, and laboratory space for our business. In February 2024, we began occupying approximately 33,000 square feet in Fremont, California under a lease with a third party. The term of the lease is 63 months. Subject to certain conditions, we have an option to renew the lease for one additional 5-year term at the then-prevailing market rate. We also lease approximately 55,0000 square feet in San Jose and Milpitas, California and San Antonio, Texas, pursuant to service agreements with ICL, a related party. The lease for the San Jose facility has a twelve month term that renews automatically on January 1st of each year for a successive twelve month period, subject to termination by either party upon a six months’ notice. In March 2024, we amended our lease for the San Jose facility to increase our use from 23,000 square feet to 24,000 square feet. In March 2024, we also extended the term of our lease for the Milpitas facility from February 2024 to August 2024. We intend to transition certain of our operations to the Fremont facility so that we will no longer need the space in Milpitas, California. Our San Antonio lease will continue until terminated by either party upon six months’ notice. We provided to ICL notice of termination of the San Antonio lease in December 2023. The lease will terminate in June 2024. If required, we believe that suitable additional or alternative space would be available in the future on commercially reasonable terms.</w:t>
      </w:r>
    </w:p>
    <w:p>
      <w:pPr>
        <w:pStyle w:val="TextBody"/>
        <w:bidi w:val="0"/>
        <w:spacing w:before="24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0" w:name="item_5"/>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common stock is traded on the Nasdaq Stock Market LLC under the symbol “RANI.”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is limited by the terms of the Loan Agreement and may also be limited by the terms of any future debt or preferred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14, 2024, we had 140 holders of record of our Class A common stock and 18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1" w:name="item_6"/>
      <w:bookmarkEnd w:id="11"/>
      <w:r>
        <w:rPr>
          <w:rFonts w:ascii="Times New Roman" w:hAnsi="Times New Roman"/>
          <w:b/>
          <w:color w:val="000000"/>
          <w:sz w:val="20"/>
        </w:rPr>
        <w:t>Item 6. [Reserved]</w:t>
      </w:r>
    </w:p>
    <w:p>
      <w:pPr>
        <w:pStyle w:val="TextBody"/>
        <w:bidi w:val="0"/>
        <w:spacing w:before="40" w:after="283"/>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7_managements_discussion"/>
      <w:bookmarkEnd w:id="12"/>
      <w:r>
        <w:rPr>
          <w:rFonts w:ascii="Times New Roman" w:hAnsi="Times New Roman"/>
          <w:b/>
          <w:color w:val="000000"/>
          <w:sz w:val="20"/>
        </w:rPr>
        <w:t>Item 7. Management’s Discussion</w:t>
      </w:r>
      <w:r>
        <w:rPr>
          <w:rFonts w:ascii="Times New Roman" w:hAnsi="Times New Roman"/>
          <w:color w:val="000000"/>
          <w:sz w:val="20"/>
        </w:rPr>
        <w:t xml:space="preserve"> </w:t>
      </w:r>
      <w:r>
        <w:rPr>
          <w:rFonts w:ascii="Times New Roman" w:hAnsi="Times New Roman"/>
          <w:b/>
          <w:color w:val="000000"/>
          <w:sz w:val="20"/>
        </w:rPr>
        <w:t>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we state otherwise or the context otherwise requires, the terms “we,” “us,” “our,” and “Rani” and similar references refer to Rani Therapeutics Holdings, Inc. and its consolidated subsidiaries.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that, together, the RaniPill GO and RaniPill HC could enable us to deliver most biologics currently on the market with convenient, oral dosing.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November 2023, we underwent a reduction in our workforce and paused or discontinued certain programs to reduce our expenses and focus our financial resources on key priorities. If we are unable to obtain funding on a timely basis, or to generate sufficient revenues, if at all, from collaboration arrangements or product sales, we may be required to significantly curtail, delay or discontinue one or more of our research or development programs, the development of our oral delivery technology, including the RaniPill HC, the commercialization of any product candidates or cease operations altogether, seek collaborators for one or more of our product candidates at an earlier stage than otherwise would be desirable or on terms that are less favorable than might otherwise be available; relinquish or license on unfavorable terms our rights to technologies or product candidates that we otherwise would seek to develop or commercialize ourselves; or forego expansion of our operations or refrain from pursuing business opportunities; any of which could have a material adverse effect on our business, financial condition and results of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Update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announced a strategic program prioritization, expansion of manufacturing and plans to streamline business operations to support near-term value drivers and long-term growth of the RaniPill technology platform. The plans include strategic prioritization of its key development programs, RT-102, RT-111 and the RaniPill HC and expansion of its manufacturing footprint to support increased scale and partnerships, and cost reduction initiatives that align with our near-term goals, including a reduction in our workforce by approximately 25%. As part of the strategic focusing of the business, we have paused work on our RT-105 and RT-110 programs and we terminated our RT-101 program, which was the RaniPill capsule containing octreotide. Cost savings are expected to support our operating plans into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Program Updates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 There was no meaningful difference in incidence of anti-drug antibodies in the groups receiving RT-111 compared to the group that received STELARA® (ustekinumab) via subcutaneous injection.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we announced entering into a License and Supply Agreement with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We believe the Phase 1 clinical trial that we completed with RT-111, the topline data of which we announced in February 2024, satisfies the requirements for triggering Celltrion’s right of first negotiation.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RaniPill HC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develop the RaniPill HC, a high-capacity RaniPill capsule designed to deliver drug payloads up to 200µL, 500%-plus higher than the payload capacity of the RaniPill GO. In September 2023, we announced three positive preclinical studies which support the development of the RaniPill HC device.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and November 2023, we announced the completion of two preclinical studies of the RaniPill HC with antibodies, adalimumab and an undisclosed anti-interleukin antibody (“Undisclosed 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the Undisclosed MAB, following the oral administration of the enteric-coated RaniPill HC capsule containing 16.5mg of Undisclosed MAB to six canine models. In both studies, the RaniPill HC was well tolerated, all animals remained healthy throughout the study period with no clinical findings or adverse events, and all device remnants were excreted normally without sequelae.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Preliminary preclinical testing supports the potential for RaniPill HC to have high reliability, and initial analysis of drug delivery via the RaniPill HC shows a potential for mimicking parenteral (subcutaneous) administration. We intend for the RaniPill HC to be ready for potential Phase 1 clinical trials in the second half of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we announced that we completed a pre-IND meeting with the FDA with respect to RT-102. Following feedback from the meeting, we believe that a 505(b)(2) pathway is suitable for the development of RT-102 in the U.S. In addition, we obtained guidance from the FDA on its preclinical and clinical development plans for RT-102. We intend to initiate a Phase 2 clinical trial of RT-102 in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we entered into a License and Supply Agreement with Celltrion under which we receive an exclusive license and supply of Celltrion’s adalimumab biosimilar for development and commercialization of RT-105 worldwide, subject to a right of first negotiation for Celltrion following completion of a Phase 1 clinical trial that meets its primary endpoint(s). RT-105 is the RaniPill capsule containing an adalimumab biosimilar, which is intended for the treatment of inflammatory conditions. In November 2023, we announced the pausing of development of RT-105 as part of a strategic focusing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60-Day GLP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we announced preclinical data from a 60-day repeat oral administration study of the RaniPill capsule in healthy animals. The preclinical GLP study evaluated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Financial Update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entered into the Loan Agreement with the Lender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2023, we were in compliance with all applicable debt covenants under the Loan Agreement and had cash, cash equivalents, and marketable securities totaling $48.5 million.</w:t>
      </w:r>
    </w:p>
    <w:p>
      <w:pPr>
        <w:pStyle w:val="TextBody"/>
        <w:bidi w:val="0"/>
        <w:spacing w:before="240" w:after="283"/>
        <w:jc w:val="left"/>
        <w:rPr>
          <w:rFonts w:ascii="Times New Roman" w:hAnsi="Times New Roman"/>
          <w:sz w:val="20"/>
        </w:rPr>
      </w:pPr>
      <w:r>
        <w:rPr>
          <w:rFonts w:ascii="Times New Roman" w:hAnsi="Times New Roman"/>
          <w:color w:val="000000"/>
          <w:sz w:val="20"/>
        </w:rPr>
        <w:t>In addition, in August 2022, we entered into a Controlled Equity</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As of December 31, 2023, we had not delivered any placement notices to either of the Agents and there had been no ATM Sales.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Reduction in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committed to a plan for strategic prioritization of our programs, expansion of our manufacturing and streamlining of our business operations to support potential near-term value drivers and long-term growth (the “Restructuring”). The Restructuring includes a reduction of our workforce by approximately 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Restructuring, we estimate that we will incur approximately $0.3 million in costs of which nearly all are cash expenditures related to severance and half of which was incurred in the fourth quarter of 2023. We expect the Restructuring to be substantially completed by the end of the second quarter of 2024.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CEO Compensation Reduction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we are leasing 33,340 square feet of space in Fremont, California, which is part of a two-building project (the “Project”).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term of the Lease commenced in February 2024, and the duration of the initial term is 63 months. Subject to certain conditions, we have an option to renew the Lease for one additional 5-year term at the then-prevailing market rate. The monthly base rent for the initial term of the Lease is approximately $95,000 per month, subject to a 4% increase each year. We are also responsible for the payment of additional rent to cover our share of common area operating expenses, including taxes, insurance, utilities, and repair and maintenance of the premises and common areas of the Project.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Organizational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incorporated in April 2021 and formed for the purpose of facilitating an IPO of its Class A common stock, and to facilitate certain organizational transactions (“Organizational Transactions”) and to operate the business of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RMS (prior to December 15, 2022) are included in the consolidated financial statements of the Company. RMS was dissolved as of December 15,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1,345,067 shares of the Company’s Class A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operating expenses consisted of research and development and general and administrative activities.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 consists primarily of direct and indirect costs incurred in connection with our research and development activities to develop the RaniPill platform. These expenses include: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consisting of: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associated with contract research organizations ("CROs,"), for managing and conducting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expenses associated with laboratory supplies, drug material for clinical trials, developing and manufacturing of the RaniPill GO, RaniPill HC and other materials;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expenses associated with preclinical studies performed by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associated with consulting, advisors, and other external services;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research and development costs related to compliance with quality and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consisting of: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expenses including salaries, bonuses, stock-based compensation and benefits for personnel engaged in the research and development functions;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associated with equipment depreciation and allocated facility costs for 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of property and equipment related to scaling-up our manufacturing capacity for clinical trials and to support commercialization are capitalized as property and equipment unless the related asset does not have an alternative future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 focus of our research and development has been on the RaniPill delivery platform and not tracked costs on a project-by-project basis associated with different drug compounds.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for the foreseeable 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platform and our product candidates is highly uncertain, and we may never succeed in successfully developing the RaniPill GO and/or RaniPill HC or achieve the development of, and regulatory approval for, our product candidates.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bonuses, stock-based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primarily consists of interest income earned on our cash equivalents and marketable securities and interest expense from our long-term debt and amortization of debt discount and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Non-controlling interest ("NCI") represents the portion of income or loss, net assets and comprehensive loss of our consolidated subsidiary that is not allocable to the Company based on its percentage of ownership of Rani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based on the Organizational Transactions, the Company became the sole managing member of Rani LLC. As of December 31, 2023, the Company held approximately 51% of the Class A Units of Rani LLC, and approximately 49% of the outstanding Class A Units of Rani LLC are held by the Continuing LLC Owners. Therefore, we report NCI based on the Class A Units of Rani LLC held by the Continuing LLC Owners on our consolidated balance sheet as of December 31, 2023. Income or loss attributed to the NCI in Rani LLC is based on the Class A Units outstanding during the period for which the income or loss is generated and is presented on the consolidated statements of operations and comprehensive income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2023, there were 5,173,947 exchanges of Paired Interests and 200,455 exchanges of non-corresponding Class A Units of Rani LLC for an equal number of shares of our Class A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Rani LLC entered into a service agreement with InCube Labs, LLC (“ICL”) effective retrospectively to January 1, 2021, and subsequently amended such agreement in March 2022 and March 2024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In March 2024, Rani LLC entered into an amendment to extend the term of the Occupancy Services in Milpitas, California from February 2024 to August 2024 and to increase the payment for such Occupancy Services during the extension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Rani LLC-ICL Service Agreement has a twelve-month term and will automatically renew for a successive twelve-month periods unless terminated; except that the Occupancy Services in Milpitas, California have a term until August 2024,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we provided to ICL notice of termination of the Occupancy Services in San Antonio, which termination will take effect in June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RMS entered into a service agreement with ICL effective retrospectively to January 1, 2021. In April 2022, RMS assigned the RMS-ICL Service Agreement to Rani LLC. In March 2024, Rani LLC entered into an amendment to increase the Occupancy Services from 23,000 square feet to 24,000 square feet (such agreement, as assigned and amended, the “RMS-ICL Service Agreement”). Pursuant to the RMS-ICL Service Agreement, ICL agreed to rent a specified portion of its facility in San Jose, California to RMS. Additionally, RMS and ICL agreed to provide personnel services to the other upon requests based on rates specified in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details the amounts charged by ICL for services and rent, net of the amount charged to ICL under the RMS-ICL Service Agreement, which is included in the consolidated statements of operations and comprehensive loss (in thousands):</w:t>
      </w:r>
    </w:p>
    <w:p>
      <w:pPr>
        <w:pStyle w:val="TextBody"/>
        <w:bidi w:val="0"/>
        <w:jc w:val="left"/>
        <w:rPr/>
      </w:pPr>
      <w:r>
        <w:rPr/>
        <w:t> </w:t>
      </w:r>
    </w:p>
    <w:tbl>
      <w:tblPr>
        <w:tblW w:w="4642" w:type="dxa"/>
        <w:jc w:val="left"/>
        <w:tblInd w:w="0" w:type="dxa"/>
        <w:tblLayout w:type="fixed"/>
        <w:tblCellMar>
          <w:top w:w="28" w:type="dxa"/>
          <w:left w:w="28" w:type="dxa"/>
          <w:bottom w:w="28" w:type="dxa"/>
          <w:right w:w="28" w:type="dxa"/>
        </w:tblCellMar>
      </w:tblPr>
      <w:tblGrid>
        <w:gridCol w:w="2311"/>
        <w:gridCol w:w="146"/>
        <w:gridCol w:w="226"/>
        <w:gridCol w:w="614"/>
        <w:gridCol w:w="157"/>
        <w:gridCol w:w="157"/>
        <w:gridCol w:w="226"/>
        <w:gridCol w:w="61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all of our facilities are owned or leased by an entity affiliated with our Chairman. Rani LLC pays for the use of these facilities through our services agreements with ICL.</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Exclusive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 </w:t>
      </w:r>
    </w:p>
    <w:p>
      <w:pPr>
        <w:pStyle w:val="TextBody"/>
        <w:bidi w:val="0"/>
        <w:spacing w:before="240" w:after="283"/>
        <w:jc w:val="left"/>
        <w:rPr>
          <w:rFonts w:ascii="Times New Roman" w:hAnsi="Times New Roman"/>
          <w:sz w:val="20"/>
        </w:rPr>
      </w:pPr>
      <w:r>
        <w:rPr>
          <w:rFonts w:ascii="Times New Roman" w:hAnsi="Times New Roman"/>
          <w:b/>
          <w:i/>
          <w:color w:val="000000"/>
          <w:sz w:val="20"/>
        </w:rPr>
        <w:t>Non-Exclusive License Agreement between Rani and ICL (“Non-Exclusive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Agreement with Mir Imran (the “Mir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ICL is party to the TRA, entered into in August 2021 pursuant to the IPO and Organizational Transactions. The TRA provides that we pay to ICL and the other Continuing LLC Owners 85% of the amount of tax benefits, if any, it is deemed to realize from exchanges of Paired Interests. During the years ended December 31, 2023 and 2022, these parties to the TRA exchanged zero and 2,317,184 Paired Interests, respectively, that resulted in tax benefits subject to the TRA.</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these related parties that are party to the Rani LLC Agreement exchanged zero and 2,317,184 Paired Interests, respectively, for the Company's Class A common stock.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operations presented below should be reviewed in conjunction with the consolidated financial statements and notes included elsewhere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tbl>
      <w:tblPr>
        <w:tblW w:w="914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571"/>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1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ind w:left="0" w:right="0" w:firstLine="200"/>
              <w:jc w:val="left"/>
              <w:rPr/>
            </w:pPr>
            <w:r>
              <w:rPr/>
              <w:t> </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meaningful</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4576"/>
        <w:gridCol w:w="146"/>
        <w:gridCol w:w="211"/>
        <w:gridCol w:w="676"/>
        <w:gridCol w:w="146"/>
        <w:gridCol w:w="146"/>
        <w:gridCol w:w="211"/>
        <w:gridCol w:w="676"/>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3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$3.0 million in research and development expenses was primarily attributed to higher compensation costs of $1.4 million, an increase of $1.2 million in third-party services and an increase of $0.6 million in facilities, materials and supplies expense related to preclinical and clinical development activities, offset by a decrease in other costs of $0.2 million.</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of $0.3 million in general and administrative expenses was primarily attributed to lower third-party services of $1.8 million related to support for compliance with public company requirements and lower facilities, material and supplies and other costs of $0.3 million, offset by higher compensation costs of $1.8 million.</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$1.9 million in other expense, net, was primarily attributed to an increase in interest expense of $4.0 million from our debt, partially offset by an increase in interest income of $2.1 million from our investment in marketable securities.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underwent a reduction in our workforce and paused or discontinued certain programs to reduce our expenses and focus our financial resources on key priorities. If we are unable to obtain funding on a timely basis, or to generate sufficient revenues, if at all, from collaboration arrangements or product sales, we may be required to significantly curtail, delay or discontinue one or more of our research or development programs, the development of our oral delivery technology, including the RaniPill HC, the commercialization of any product candidates or cease operations altogether, seek collaborators for one or more of our product candidates at an earlier stage than otherwise would be desirable or on terms that are less favorable than might otherwise be available; relinquish or license on unfavorable terms our rights to technologies or product candidates that we otherwise would seek to develop or commercialize ourselves; or forego expansion of our operations or refrain from pursuing business opportunities; any of which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terms of any financing may adversely affect the holdings or the rights of our stockholders and the issuance of additional securities, whether equity or debt, by us, or the possibility of such issuance, may cause the market price of our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2023, we were in compliance with all applicable debt covenants under the Loan Agreement and had cash, cash equivalents and marketable securities totaling $48.5 million.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entered into the Sales Agreement with the Agents, pursuant to which we may offer and sell from time to time through the Agents up to $150.0 million of shares of our Class A common stock in ATM Sales. As of December 31, 2023, we had not delivered any placement notices to either of the Agents and there had been no ATM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incurred significant losses and negative cash flows from operations. Our net losses were $67.9 million and $63.3 million for the year ended December 31, 2023 and 2022, respectively. As of December 31, 2023, we had an accumulated deficit of $72.9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which may include ATM Sales, or other capital sources, which may include strategic collaborations or other arrangements with third parties. We may be unable to raise additional funds or to enter into such agreements or arrangements on favorable terms,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Tax Receivable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 and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fund our projected operating requirements for a twelve-month period and will not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progress, costs, trial design, results of and timing of our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progress, costs, and results of our research pipeline;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costs, and timing of seeking and obtaining FDA, and any other regulatory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sufficient quantities of the RaniPill capsules;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manufacturing our product candidates, including establishing commercial supplies and sales, marketing, and distribution capabilities;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securing and establishing commercial infrastructure;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and ability to retain key management and hire scientific, technical, business, and engineering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competing drugs and product candidates and other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have implemented or additional measures we may implement;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cash equivalents, and marketable securities:</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4601"/>
        <w:gridCol w:w="146"/>
        <w:gridCol w:w="211"/>
        <w:gridCol w:w="676"/>
        <w:gridCol w:w="146"/>
        <w:gridCol w:w="146"/>
        <w:gridCol w:w="211"/>
        <w:gridCol w:w="676"/>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w:t>
            </w:r>
          </w:p>
        </w:tc>
        <w:tc>
          <w:tcPr>
            <w:tcW w:w="291" w:type="dxa"/>
            <w:tcBorders/>
            <w:shd w:fill="CFF0FC" w:val="clear"/>
            <w:vAlign w:val="center"/>
          </w:tcPr>
          <w:p>
            <w:pPr>
              <w:pStyle w:val="TableContents"/>
              <w:bidi w:val="0"/>
              <w:spacing w:before="0" w:after="283"/>
              <w:jc w:val="left"/>
              <w:rPr/>
            </w:pPr>
            <w:r>
              <w:rPr/>
              <w:t> </w:t>
            </w:r>
          </w:p>
        </w:tc>
      </w:tr>
      <w:tr>
        <w:trPr/>
        <w:tc>
          <w:tcPr>
            <w:tcW w:w="4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cash and cash equivalents and marketable securities of $48.5 million, compared to $98.5 million as of December 31, 2022.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fund our projected operating requirements for a twelve-month period from the issuance of our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8294" w:type="dxa"/>
        <w:jc w:val="left"/>
        <w:tblInd w:w="0" w:type="dxa"/>
        <w:tblLayout w:type="fixed"/>
        <w:tblCellMar>
          <w:top w:w="28" w:type="dxa"/>
          <w:left w:w="28" w:type="dxa"/>
          <w:bottom w:w="28" w:type="dxa"/>
          <w:right w:w="28" w:type="dxa"/>
        </w:tblCellMar>
      </w:tblPr>
      <w:tblGrid>
        <w:gridCol w:w="5731"/>
        <w:gridCol w:w="146"/>
        <w:gridCol w:w="211"/>
        <w:gridCol w:w="736"/>
        <w:gridCol w:w="166"/>
        <w:gridCol w:w="146"/>
        <w:gridCol w:w="211"/>
        <w:gridCol w:w="736"/>
        <w:gridCol w:w="2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2023 was $51.2 million, which was primarily attributable to a net loss of $67.9 million and net accretion and amortization of investments in marketable securities of $2.3 million, partially offset by the stock-based compensation expense of $19.0 million and depreciation and amortization expense of $0.8 million Additionally, there was a combined decrease in accounts payable and accrued expenses and other current liabilities of $1.1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2022 was $46.5 million, which was primarily attributable to a net loss of $63.3 million and net accretion and amortization of investments in marketable securities of $0.9 million, partially offset by the equity-based compensation expense of $15.8 million and depreciation and amortization expense of $0.5 million. Additionally, there was a decrease in prepaid expenses and other current assets of $0.5 million and an increase in accrued expenses of $0.7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2023, net cash provided by investing activities was $29.9 million consisting of $104.4 million in proceeds from maturities of marketable securities partially offset by $73.3 million and $1.2 million in purchases of marketable securities and property and equipment,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2022, net cash used in investing activities was $72.4 million consisting of $73.8 million in purchases of marketable securities, $3.0 million in proceeds from maturities of marketable securities and $1.6 million in purchases of property and equipment.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2023, there were no significant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2022, net cash provided by financing activities was $29.0 million, which was primarily attributable to proceeds from the issuance of long-term debt and warrants, net of issuance costs of $29.6 million. These items were partially offset by a $0.6 million decrease for employee taxes paid on net share settlement on the vesting of restricted stock units and payment of deferred financing costs of $0.3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contractual obligations and commitments as of December 31, 2023 (in thousands):</w:t>
      </w:r>
    </w:p>
    <w:p>
      <w:pPr>
        <w:pStyle w:val="TextBody"/>
        <w:bidi w:val="0"/>
        <w:jc w:val="left"/>
        <w:rPr/>
      </w:pPr>
      <w:r>
        <w:rPr/>
        <w:t> </w:t>
      </w:r>
    </w:p>
    <w:tbl>
      <w:tblPr>
        <w:tblW w:w="5507" w:type="dxa"/>
        <w:jc w:val="left"/>
        <w:tblInd w:w="0" w:type="dxa"/>
        <w:tblLayout w:type="fixed"/>
        <w:tblCellMar>
          <w:top w:w="28" w:type="dxa"/>
          <w:left w:w="28" w:type="dxa"/>
          <w:bottom w:w="28" w:type="dxa"/>
          <w:right w:w="28" w:type="dxa"/>
        </w:tblCellMar>
      </w:tblPr>
      <w:tblGrid>
        <w:gridCol w:w="1696"/>
        <w:gridCol w:w="146"/>
        <w:gridCol w:w="211"/>
        <w:gridCol w:w="676"/>
        <w:gridCol w:w="146"/>
        <w:gridCol w:w="146"/>
        <w:gridCol w:w="247"/>
        <w:gridCol w:w="669"/>
        <w:gridCol w:w="146"/>
        <w:gridCol w:w="146"/>
        <w:gridCol w:w="211"/>
        <w:gridCol w:w="67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3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 obligations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240" w:after="283"/>
        <w:jc w:val="left"/>
        <w:rPr>
          <w:rFonts w:ascii="Times New Roman" w:hAnsi="Times New Roman"/>
          <w:color w:val="000000"/>
          <w:sz w:val="20"/>
        </w:rPr>
      </w:pPr>
      <w:r>
        <w:rPr>
          <w:rFonts w:ascii="Times New Roman" w:hAnsi="Times New Roman"/>
          <w:color w:val="000000"/>
          <w:sz w:val="20"/>
        </w:rPr>
        <w:t xml:space="preserve">(1) Represents operating lease payments. See Note 7 to the consolidated financial statements contained in Part II, Item 8 of this Annual Report on Form 10-K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Represents long-term debt principal maturities and final payment equal to 5.5% of aggregate amount funded, excluding interest. See Note 12 to the consolidated financial statements contained in Part II, Item 8 of this Annual Report on Form 10-K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and analysis of financial condition and results of operation is based on our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we do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and preclinical costs are a component of research and development expense. We accrue and expense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Standards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JOBS Act Accounting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283"/>
        <w:jc w:val="left"/>
        <w:rPr>
          <w:rFonts w:ascii="Times New Roman" w:hAnsi="Times New Roman"/>
          <w:b/>
          <w:color w:val="000000"/>
          <w:sz w:val="20"/>
        </w:rPr>
      </w:pPr>
      <w:bookmarkStart w:id="13" w:name="item_7a"/>
      <w:bookmarkEnd w:id="13"/>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8_financial_statements"/>
      <w:bookmarkEnd w:id="14"/>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6181"/>
        <w:gridCol w:w="466"/>
      </w:tblGrid>
      <w:tr>
        <w:trPr/>
        <w:tc>
          <w:tcPr>
            <w:tcW w:w="6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ors_report">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ID:42)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perations_and_comprehensive_los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Consolidated Statements of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Changes in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the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auditors_report"/>
      <w:bookmarkEnd w:id="15"/>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Rani Therapeutics Holdings,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Rani Therapeutics Holdings, Inc. (the Company) as of December 31, 2023 and 2022,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Company's Ability to Continue as a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incurred recurring losses from operations, negative cash flows from operating activities,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San Francisco, California </w:t>
      </w:r>
    </w:p>
    <w:p>
      <w:pPr>
        <w:pStyle w:val="TextBody"/>
        <w:bidi w:val="0"/>
        <w:jc w:val="left"/>
        <w:rPr>
          <w:rFonts w:ascii="Times New Roman" w:hAnsi="Times New Roman"/>
          <w:color w:val="000000"/>
          <w:sz w:val="20"/>
        </w:rPr>
      </w:pPr>
      <w:r>
        <w:rPr>
          <w:rFonts w:ascii="Times New Roman" w:hAnsi="Times New Roman"/>
          <w:color w:val="000000"/>
          <w:sz w:val="20"/>
        </w:rPr>
        <w:t>March 20, 2024</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16" w:name="consolidated_balance_sheet"/>
      <w:bookmarkEnd w:id="16"/>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736"/>
        <w:gridCol w:w="166"/>
        <w:gridCol w:w="146"/>
        <w:gridCol w:w="211"/>
        <w:gridCol w:w="781"/>
        <w:gridCol w:w="591"/>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w:t>
            </w:r>
          </w:p>
        </w:tc>
        <w:tc>
          <w:tcPr>
            <w:tcW w:w="591" w:type="dxa"/>
            <w:tcBorders/>
            <w:shd w:fill="FFFFFF" w:val="clear"/>
            <w:vAlign w:val="center"/>
          </w:tcPr>
          <w:p>
            <w:pPr>
              <w:pStyle w:val="TableContents"/>
              <w:bidi w:val="0"/>
              <w:spacing w:before="0" w:after="283"/>
              <w:jc w:val="left"/>
              <w:rPr/>
            </w:pPr>
            <w:r>
              <w:rPr/>
              <w:t> </w:t>
            </w:r>
          </w:p>
        </w:tc>
      </w:tr>
      <w:tr>
        <w:trPr/>
        <w:tc>
          <w:tcPr>
            <w:tcW w:w="7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7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7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26,036 and 25,295 issued and outstanding as of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24,116 issued and outstanding as of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vAlign w:val="center"/>
          </w:tcPr>
          <w:p>
            <w:pPr>
              <w:pStyle w:val="TableContents"/>
              <w:bidi w:val="0"/>
              <w:spacing w:before="0" w:after="283"/>
              <w:jc w:val="left"/>
              <w:rPr/>
            </w:pPr>
            <w:r>
              <w:rPr/>
              <w:t> </w:t>
            </w:r>
          </w:p>
        </w:tc>
      </w:tr>
      <w:tr>
        <w:trPr/>
        <w:tc>
          <w:tcPr>
            <w:tcW w:w="7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December 31, 2023 and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72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17" w:name="stmt_operations_and_comprehensive_loss"/>
      <w:bookmarkEnd w:id="17"/>
      <w:r>
        <w:rPr>
          <w:rFonts w:ascii="Times New Roman" w:hAnsi="Times New Roman"/>
          <w:b/>
          <w:caps/>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736"/>
        <w:gridCol w:w="166"/>
        <w:gridCol w:w="146"/>
        <w:gridCol w:w="211"/>
        <w:gridCol w:w="736"/>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(63,451</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(63,274</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(63,344</w:t>
            </w:r>
          </w:p>
        </w:tc>
        <w:tc>
          <w:tcPr>
            <w:tcW w:w="8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18" w:name="statements_of_comprehensive_loss"/>
      <w:bookmarkEnd w:id="18"/>
      <w:r>
        <w:rPr>
          <w:rFonts w:ascii="Times New Roman" w:hAnsi="Times New Roman"/>
          <w:b/>
          <w:caps/>
          <w:color w:val="000000"/>
          <w:sz w:val="20"/>
        </w:rPr>
        <w:t>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8334" w:type="dxa"/>
        <w:jc w:val="left"/>
        <w:tblInd w:w="0" w:type="dxa"/>
        <w:tblLayout w:type="fixed"/>
        <w:tblCellMar>
          <w:top w:w="28" w:type="dxa"/>
          <w:left w:w="28" w:type="dxa"/>
          <w:bottom w:w="28" w:type="dxa"/>
          <w:right w:w="28" w:type="dxa"/>
        </w:tblCellMar>
      </w:tblPr>
      <w:tblGrid>
        <w:gridCol w:w="5671"/>
        <w:gridCol w:w="146"/>
        <w:gridCol w:w="211"/>
        <w:gridCol w:w="736"/>
        <w:gridCol w:w="166"/>
        <w:gridCol w:w="146"/>
        <w:gridCol w:w="211"/>
        <w:gridCol w:w="736"/>
        <w:gridCol w:w="3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(63,344</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5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Rani Therapeutics Holdings,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19" w:name="stockholders_equity"/>
      <w:bookmarkEnd w:id="19"/>
      <w:r>
        <w:rPr>
          <w:rFonts w:ascii="Times New Roman" w:hAnsi="Times New Roman"/>
          <w:b/>
          <w:caps/>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3200" w:type="dxa"/>
        <w:jc w:val="left"/>
        <w:tblInd w:w="0" w:type="dxa"/>
        <w:tblLayout w:type="fixed"/>
        <w:tblCellMar>
          <w:top w:w="28" w:type="dxa"/>
          <w:left w:w="28" w:type="dxa"/>
          <w:bottom w:w="28" w:type="dxa"/>
          <w:right w:w="28" w:type="dxa"/>
        </w:tblCellMar>
      </w:tblPr>
      <w:tblGrid>
        <w:gridCol w:w="1471"/>
        <w:gridCol w:w="146"/>
        <w:gridCol w:w="146"/>
        <w:gridCol w:w="601"/>
        <w:gridCol w:w="166"/>
        <w:gridCol w:w="146"/>
        <w:gridCol w:w="271"/>
        <w:gridCol w:w="480"/>
        <w:gridCol w:w="146"/>
        <w:gridCol w:w="146"/>
        <w:gridCol w:w="146"/>
        <w:gridCol w:w="601"/>
        <w:gridCol w:w="166"/>
        <w:gridCol w:w="146"/>
        <w:gridCol w:w="271"/>
        <w:gridCol w:w="480"/>
        <w:gridCol w:w="166"/>
        <w:gridCol w:w="146"/>
        <w:gridCol w:w="228"/>
        <w:gridCol w:w="703"/>
        <w:gridCol w:w="166"/>
        <w:gridCol w:w="146"/>
        <w:gridCol w:w="472"/>
        <w:gridCol w:w="834"/>
        <w:gridCol w:w="166"/>
        <w:gridCol w:w="146"/>
        <w:gridCol w:w="257"/>
        <w:gridCol w:w="869"/>
        <w:gridCol w:w="166"/>
        <w:gridCol w:w="146"/>
        <w:gridCol w:w="315"/>
        <w:gridCol w:w="1066"/>
        <w:gridCol w:w="166"/>
        <w:gridCol w:w="146"/>
        <w:gridCol w:w="255"/>
        <w:gridCol w:w="901"/>
        <w:gridCol w:w="21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 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121,567</w:t>
            </w:r>
          </w:p>
        </w:tc>
        <w:tc>
          <w:tcPr>
            <w:tcW w:w="21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equity plans, net of shares withheld for tax settlement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restricted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15,795</w:t>
            </w:r>
          </w:p>
        </w:tc>
        <w:tc>
          <w:tcPr>
            <w:tcW w:w="21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(30,588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(63,344</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equity plans, net of shares withheld for tax settlement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exchanges of Paired Interests and non-corresponding Class A Units of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 adjustment for changes in proportionate ownership in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19,020</w:t>
            </w:r>
          </w:p>
        </w:tc>
        <w:tc>
          <w:tcPr>
            <w:tcW w:w="21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(67,883</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20" w:name="cash_flows"/>
      <w:bookmarkEnd w:id="20"/>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3"/>
        <w:gridCol w:w="146"/>
        <w:gridCol w:w="211"/>
        <w:gridCol w:w="784"/>
        <w:gridCol w:w="166"/>
        <w:gridCol w:w="146"/>
        <w:gridCol w:w="211"/>
        <w:gridCol w:w="784"/>
        <w:gridCol w:w="814"/>
      </w:tblGrid>
      <w:tr>
        <w:trPr/>
        <w:tc>
          <w:tcPr>
            <w:tcW w:w="6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9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(63,344</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69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9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9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9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9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accretion and amortization of investments in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69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94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9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94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94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8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814" w:type="dxa"/>
            <w:tcBorders/>
            <w:shd w:fill="CFF0FC" w:val="cle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(73,817</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814" w:type="dxa"/>
            <w:tcBorders/>
            <w:shd w:fill="FFFFFF" w:val="clear"/>
            <w:vAlign w:val="center"/>
          </w:tcPr>
          <w:p>
            <w:pPr>
              <w:pStyle w:val="TableContents"/>
              <w:bidi w:val="0"/>
              <w:spacing w:before="0" w:after="283"/>
              <w:jc w:val="lef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814" w:type="dxa"/>
            <w:tcBorders/>
            <w:shd w:fill="CFF0FC" w:val="cle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withholdings paid on behalf of employees for net share settlement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long-term debt and warrants,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w:t>
            </w:r>
          </w:p>
        </w:tc>
        <w:tc>
          <w:tcPr>
            <w:tcW w:w="814" w:type="dxa"/>
            <w:tcBorders/>
            <w:shd w:fill="CFF0FC" w:val="cle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4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decrease in cash, cash equivalents and restricted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(89,946</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117,453</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equivalents,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 included in 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purchases included in accounts payable and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costs deducted from long-term debt proceeds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included in prepaid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21" w:name="notes_to_fs"/>
      <w:bookmarkEnd w:id="21"/>
      <w:r>
        <w:rPr>
          <w:rFonts w:ascii="Times New Roman" w:hAnsi="Times New Roman"/>
          <w:b/>
          <w:caps/>
          <w:color w:val="000000"/>
          <w:sz w:val="20"/>
        </w:rPr>
        <w:t>Notes to THE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(prior to December 15, 2022), are collectively referred to herein as “Rani” or the “Company.” RMS was dissolved on December 15,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in August 2021, the Company was party to the following organizational transactions (the “Organizational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economic nonvoting Class A units (“Class A Units”) 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Exchanged 12,047,925 shares of Class A common stock for existing Class A Units of Rani LLC held by certain individuals and entities (the “Former LLC Owners”) on a one-for-one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29,290,391 shares of Class B common stock to certain individuals and entities that continued to hold Class A Units in Rani LLC after the IPO (the “Continuing LLC Owners”) in return for an equal amount of Rani LLC Class B Units;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Entered into a Registration Rights Agreement with certain of the Continuing LLC Owners.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December 31, 2023, certain individuals who continue to own interests in Rani LLC but do not hold shares of the Company’s Class B common stock (“non-corresponding Class A Units”) have the ability to exchange their non-corresponding Class A Units of Rani LLC for 1,345,067 shares of the Company’s Class A common stock.</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recurring losses since its inception, including net losses of $67.9 million for the year ended December 31, 2023. As of December 31, 2023, the Company had an accumulated deficit of $72.9 million and for the year ended December 31, 2023 had negative cash flows from operations of $51.2 million. As of December 31, 2023, cash, cash equivalents and marketable securities totaled $48.5 million. Based on its available cash resources and current operating plan, there is substantial doubt regarding the Company’s ability to continue as a going concern for a period of one year after the date that its financial statements for the year ended December 31, 2023 are issued. The Company’s existing capital resources, including the net proceeds from our IPO and Loans,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December 31, 2023, the Company has no sales under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Company underwent a reduction in workforce and paused or discontinued certain programs to reduce expenses and focus its financial resources on key priorities. 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of America (“U.S. GAAP”). Certain prior period amounts have been reclassified to be consistent with current period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 and Other 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Restricted cash equivalents consist of cash collateral required by a bank in connection with the Company's commercial credit cards program. The Company limits its credit risk associated with cash, cash equivalents and restricted cash equivalents by maintaining its bank accounts at major financial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equivalents reported as a component of prepaid expenses and other current assets on the consolidated balance sheet which, in aggregate, represents the amount reported in the consolidated statements of cash flows for the years ended December 31, 2023 and 2022 (in thousands):</w:t>
      </w:r>
    </w:p>
    <w:tbl>
      <w:tblPr>
        <w:tblW w:w="7466" w:type="dxa"/>
        <w:jc w:val="left"/>
        <w:tblInd w:w="0" w:type="dxa"/>
        <w:tblLayout w:type="fixed"/>
        <w:tblCellMar>
          <w:top w:w="28" w:type="dxa"/>
          <w:left w:w="28" w:type="dxa"/>
          <w:bottom w:w="28" w:type="dxa"/>
          <w:right w:w="28" w:type="dxa"/>
        </w:tblCellMar>
      </w:tblPr>
      <w:tblGrid>
        <w:gridCol w:w="5036"/>
        <w:gridCol w:w="146"/>
        <w:gridCol w:w="214"/>
        <w:gridCol w:w="581"/>
        <w:gridCol w:w="148"/>
        <w:gridCol w:w="148"/>
        <w:gridCol w:w="214"/>
        <w:gridCol w:w="688"/>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vAlign w:val="center"/>
          </w:tcPr>
          <w:p>
            <w:pPr>
              <w:pStyle w:val="TableContents"/>
              <w:bidi w:val="0"/>
              <w:spacing w:before="0" w:after="283"/>
              <w:jc w:val="left"/>
              <w:rPr/>
            </w:pPr>
            <w:r>
              <w:rPr/>
              <w:t> </w:t>
            </w:r>
          </w:p>
        </w:tc>
        <w:tc>
          <w:tcPr>
            <w:tcW w:w="795"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5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w:t>
            </w:r>
          </w:p>
        </w:tc>
        <w:tc>
          <w:tcPr>
            <w:tcW w:w="291" w:type="dxa"/>
            <w:tcBorders/>
            <w:shd w:fill="FFFFFF" w:val="clear"/>
            <w:vAlign w:val="center"/>
          </w:tcPr>
          <w:p>
            <w:pPr>
              <w:pStyle w:val="TableContents"/>
              <w:bidi w:val="0"/>
              <w:spacing w:before="0" w:after="283"/>
              <w:jc w:val="left"/>
              <w:rPr/>
            </w:pPr>
            <w:r>
              <w:rPr/>
              <w:t> </w:t>
            </w:r>
          </w:p>
        </w:tc>
      </w:tr>
      <w:tr>
        <w:trPr/>
        <w:tc>
          <w:tcPr>
            <w:tcW w:w="5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 equivalents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invests its excess cash in marketable securities with high credit ratings including securities issued by U.S. and international governments and their agencies, corporate debt securities and commercial paper. The Company has assessed U.S. government treasuries as Level 1 and all other marketable securities as Level 2 within the fair value hierarchy. All the Company's marketable securities have been accounted for as available-for-sale and carried at fair value. The Company classifies all its available-for-sale marketable securities, including those with maturity dates beyond one year, as current assets on the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consolidated statements of operations and comprehensive loss. Realized gains and losses on marketable securities are included in other income (expense) on the consolidated statements of operations. Gains and losses on sales are recorded based on the trade date and determined using the specific identification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December 31, 2023 and 2022, interest income receivable recorded as a component of prepaid expenses and other current assets on the consolidated balance sheet was $0.2 million and de minimis, respectively.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consolidated balance sheet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operating lease ROU assets also include any lease payments made and exclude lease incentives. The Company has elected to not separate lease and non-lease components for its leased assets and accounts for all lease and non-lease components of its agreements as a single lease component. The lease components resulting in a ROU asset have been recorded on the consolidated balance sheet and amortized as lease expense on a straight-line basis over the lease term.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Long-Term Debt with Detachable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Detachable warrants are evaluated for the classification of warrants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relative estimated fair values. The portion of the proceeds allocated to the warrants are accounted for as paid in capital and a debt discount. The remaining proceeds, as further reduced by discounts created by the bifurcation of embedded derivatives and beneficial conversion features, are allocated to the debt.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 accounting as derivative financial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the Company's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employee RSAs is determined based on the estimated fair value of the Company’s Class A common stock on the grant date and is subject to the Company's reacquisition right which is accounted for as a forfeiture provision (Note 10).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the managing member of Rani LLC and, as a result, consolidates the financial results of Rani LLC and, prior to December 15, 2022, its taxable subsidiary RMS in the consolidated financial statements. RMS was dissolved on December 15, 2022.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 The Company's tax provision also includes the activity of RMS prior to its dissolution, which is taxed as a corporation for United States federal and state income tax purposes.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Non-controlling interest ("NCI") represents the portion of income or loss, net assets and comprehensive loss of the Company's consolidated subsidiary that is not allocable to Rani Holdings based on the Company's percentage of ownership of Rani LLC.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based on the Organizational Transactions, Rani Holdings became the sole managing member of Rani LLC. As of December 31, 2023, Rani Holdings held approximately 51% of the Class A Units of Rani LLC, and approximately 49% of the outstanding Class A Units of Rani LLC are held by the Continuing LLC Owners. Therefore, the Company reports NCI based on the Class A Units of Rani LLC held by the Continuing LLC Owners on its consolidated balance sheet as of December 31, 2023. Income or loss attributed to the NCI in Rani LLC is based on the Class A Units outstanding during the period for which the income or loss is generated and is presented on the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2023, there were 5,173,947 exchanges of Paired Interests and 200,455 exchanges of non-corresponding Class A Units of Rani LLC for an equal number of shares of the Company's Class A common stock.</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Maintenance and repairs are charged to 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Class A Common Share Attributable to Rani Holdings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Cash Equivalents, Restricted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summarizes the amortized cost and fair value of the Company's cash equivalents, restricted cash equivalents and marketable securities by major investment category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258"/>
        <w:gridCol w:w="827"/>
        <w:gridCol w:w="146"/>
        <w:gridCol w:w="146"/>
        <w:gridCol w:w="432"/>
        <w:gridCol w:w="711"/>
        <w:gridCol w:w="146"/>
        <w:gridCol w:w="146"/>
        <w:gridCol w:w="416"/>
        <w:gridCol w:w="743"/>
        <w:gridCol w:w="166"/>
        <w:gridCol w:w="146"/>
        <w:gridCol w:w="311"/>
        <w:gridCol w:w="999"/>
        <w:gridCol w:w="394"/>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0"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100"/>
              <w:jc w:val="righ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0"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4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0"/>
        <w:gridCol w:w="146"/>
        <w:gridCol w:w="257"/>
        <w:gridCol w:w="826"/>
        <w:gridCol w:w="146"/>
        <w:gridCol w:w="146"/>
        <w:gridCol w:w="431"/>
        <w:gridCol w:w="710"/>
        <w:gridCol w:w="146"/>
        <w:gridCol w:w="146"/>
        <w:gridCol w:w="352"/>
        <w:gridCol w:w="805"/>
        <w:gridCol w:w="166"/>
        <w:gridCol w:w="146"/>
        <w:gridCol w:w="310"/>
        <w:gridCol w:w="996"/>
        <w:gridCol w:w="396"/>
      </w:tblGrid>
      <w:tr>
        <w:trPr/>
        <w:tc>
          <w:tcPr>
            <w:tcW w:w="4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100"/>
              <w:jc w:val="righ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396" w:type="dxa"/>
            <w:tcBorders/>
            <w:shd w:fill="FFFFFF" w:val="cle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government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December 31,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2023.</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detail information about the Company’s financial assets and liabilities measured at fair value on a recurring basis and indicates the level of inputs used in such measurements (in thousands): </w:t>
      </w:r>
    </w:p>
    <w:tbl>
      <w:tblPr>
        <w:tblW w:w="7215"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57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391" w:type="dxa"/>
            <w:tcBorders/>
            <w:shd w:fill="CFF0FC" w:val="clear"/>
            <w:vAlign w:val="center"/>
          </w:tcPr>
          <w:p>
            <w:pPr>
              <w:pStyle w:val="TableContents"/>
              <w:bidi w:val="0"/>
              <w:spacing w:before="0" w:after="283"/>
              <w:jc w:val="left"/>
              <w:rPr/>
            </w:pPr>
            <w:r>
              <w:rPr/>
              <w:t> </w:t>
            </w:r>
          </w:p>
        </w:tc>
      </w:tr>
      <w:tr>
        <w:trPr/>
        <w:tc>
          <w:tcPr>
            <w:tcW w:w="2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International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transfers between Level 1, Level 2 and Level 3 of the fair value hierarchy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2022, as further discussed in Note 8, the Company issued Level 3 equity classified warrants totaling $0.5 million in connection with the loan and security agreement that were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jc w:val="left"/>
        <w:rPr/>
      </w:pPr>
      <w:r>
        <w:rPr/>
        <w:t> </w:t>
      </w:r>
    </w:p>
    <w:tbl>
      <w:tblPr>
        <w:tblW w:w="6504"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11"/>
        <w:gridCol w:w="631"/>
        <w:gridCol w:w="3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3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3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totaled $0.8 million and $0.5 million for the years ended December 31,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tbl>
      <w:tblPr>
        <w:tblW w:w="6454"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Rani LLC provided to ICL notice of termination of the Occupancy Services in San Antonio in December 2023, which termination will take effect in June 2024.</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details the amounts charged by ICL for services and rent, net of the amount that the Company charged ICL, which is included in the consolidated statements of operations (in thousands):</w:t>
      </w:r>
    </w:p>
    <w:p>
      <w:pPr>
        <w:pStyle w:val="TextBody"/>
        <w:bidi w:val="0"/>
        <w:jc w:val="left"/>
        <w:rPr/>
      </w:pPr>
      <w:r>
        <w:rPr/>
        <w:t> </w:t>
      </w:r>
    </w:p>
    <w:tbl>
      <w:tblPr>
        <w:tblW w:w="4642" w:type="dxa"/>
        <w:jc w:val="left"/>
        <w:tblInd w:w="0" w:type="dxa"/>
        <w:tblLayout w:type="fixed"/>
        <w:tblCellMar>
          <w:top w:w="28" w:type="dxa"/>
          <w:left w:w="28" w:type="dxa"/>
          <w:bottom w:w="28" w:type="dxa"/>
          <w:right w:w="28" w:type="dxa"/>
        </w:tblCellMar>
      </w:tblPr>
      <w:tblGrid>
        <w:gridCol w:w="2311"/>
        <w:gridCol w:w="146"/>
        <w:gridCol w:w="226"/>
        <w:gridCol w:w="614"/>
        <w:gridCol w:w="157"/>
        <w:gridCol w:w="157"/>
        <w:gridCol w:w="226"/>
        <w:gridCol w:w="61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all of the Company's facilities are owned or leased by an entity affiliated with the Company’s Chairman (Note 7). The Company pays for the use of these facilities through its services agreements with ICL.</w:t>
      </w:r>
    </w:p>
    <w:p>
      <w:pPr>
        <w:pStyle w:val="TextBody"/>
        <w:bidi w:val="0"/>
        <w:spacing w:before="240" w:after="283"/>
        <w:jc w:val="left"/>
        <w:rPr>
          <w:rFonts w:ascii="Times New Roman" w:hAnsi="Times New Roman"/>
          <w:sz w:val="20"/>
        </w:rPr>
      </w:pPr>
      <w:r>
        <w:rPr>
          <w:rFonts w:ascii="Times New Roman" w:hAnsi="Times New Roman"/>
          <w:b/>
          <w:i/>
          <w:color w:val="000000"/>
          <w:sz w:val="20"/>
        </w:rPr>
        <w:t>Exclusive License, Intellectual Property and Common Unit Purchase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 </w:t>
      </w:r>
    </w:p>
    <w:p>
      <w:pPr>
        <w:pStyle w:val="TextBody"/>
        <w:bidi w:val="0"/>
        <w:spacing w:before="240" w:after="283"/>
        <w:jc w:val="left"/>
        <w:rPr>
          <w:rFonts w:ascii="Times New Roman" w:hAnsi="Times New Roman"/>
          <w:sz w:val="20"/>
        </w:rPr>
      </w:pPr>
      <w:r>
        <w:rPr>
          <w:rFonts w:ascii="Times New Roman" w:hAnsi="Times New Roman"/>
          <w:b/>
          <w:i/>
          <w:color w:val="000000"/>
          <w:sz w:val="20"/>
        </w:rPr>
        <w:t>Non-Exclusive License Agreement between Rani and ICL (“Non-Exclusive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Agreement with Mir Imran (the “Mir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parties to the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(Note 2). During the years ended December 31, 2023 and 2022, these parties to the TRA exchanged zero and 2,317,184 Paired Interests, respectively, that resulted in tax benefits subject to the TRA (Note 13).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years ended December 31, 2023 and 2022, certain related parties that are party to the Rani LLC Agreement exchanged zero and 2,317,184 Paired Interests, respectively, for an equal number of shares of the Company's Class A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The Company determined it to be reasonably certain that it would exercise its renewal option for a successive twelve-month period and has considered it in the determination of the right-of-use assets and lease liabilities associated with the RMS-ICL Service Agreement as of December 31, 2023.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The Company accounted for the lease extension as a lease modification that did not result in a separate contract and recognized the right-of-use asset and lease liabilities associated with the Rani LLC-ICL Service Agreement in the consolidated balance sheet as of December 31, 2023. As of December 31, 2023, the second renewal option for the facility in Milpitas, California was not deemed reasonably certain to be exercised. The Company provided to ICL notice of termination of the Occupancy Services in San Antonio in December 2023, which termination will take effect in June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information on the Company’s consolidated balance sheet and statements of cash flows as of December 31, 2023 related to leases was as follows (in thousands):</w:t>
      </w:r>
    </w:p>
    <w:p>
      <w:pPr>
        <w:pStyle w:val="TextBody"/>
        <w:bidi w:val="0"/>
        <w:jc w:val="left"/>
        <w:rPr/>
      </w:pPr>
      <w:r>
        <w:rPr/>
        <w:t> </w:t>
      </w:r>
    </w:p>
    <w:tbl>
      <w:tblPr>
        <w:tblW w:w="6124"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361"/>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minimum annual rental payments under the Company’s operating lease agreements are as follows (in thousands):</w:t>
      </w:r>
    </w:p>
    <w:p>
      <w:pPr>
        <w:pStyle w:val="TextBody"/>
        <w:bidi w:val="0"/>
        <w:jc w:val="left"/>
        <w:rPr/>
      </w:pPr>
      <w:r>
        <w:rPr/>
        <w:t> </w:t>
      </w:r>
    </w:p>
    <w:tbl>
      <w:tblPr>
        <w:tblW w:w="5725" w:type="dxa"/>
        <w:jc w:val="left"/>
        <w:tblInd w:w="0" w:type="dxa"/>
        <w:tblLayout w:type="fixed"/>
        <w:tblCellMar>
          <w:top w:w="28" w:type="dxa"/>
          <w:left w:w="28" w:type="dxa"/>
          <w:bottom w:w="28" w:type="dxa"/>
          <w:right w:w="28" w:type="dxa"/>
        </w:tblCellMar>
      </w:tblPr>
      <w:tblGrid>
        <w:gridCol w:w="4536"/>
        <w:gridCol w:w="146"/>
        <w:gridCol w:w="211"/>
        <w:gridCol w:w="42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net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 The Company will further evaluate the Lease and record its impact on the Company's consolidated financial statements on the commencement date of the Lease in February 2024. Future minimum lease payments for the Lease total $6.5 million through 2029 and are excluded from the table above.</w:t>
      </w:r>
    </w:p>
    <w:p>
      <w:pPr>
        <w:pStyle w:val="TextBody"/>
        <w:bidi w:val="0"/>
        <w:spacing w:before="240" w:after="283"/>
        <w:jc w:val="left"/>
        <w:rPr>
          <w:rFonts w:ascii="Times New Roman" w:hAnsi="Times New Roman"/>
          <w:sz w:val="20"/>
        </w:rPr>
      </w:pPr>
      <w:r>
        <w:rPr>
          <w:rFonts w:ascii="Times New Roman" w:hAnsi="Times New Roman"/>
          <w:b/>
          <w:color w:val="000000"/>
          <w:sz w:val="20"/>
        </w:rPr>
        <w:t>8.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in conjunction with a loan and security agreement (Note 12),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December 31, 2023, there were 76,336 warrants outstanding.</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2023 and 2022, certain of the Continuing LLC Owners executed an exchange of zero and 5,173,947 Paired Interests, respectively, and 42,404 and 158,051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December 31, 2023, the Company has no sales under the Sales Agreement. In connection with the Sales Agreement, the Company recognized deferred offering costs totaling $0.3 million as a component of prepaid expenses and other current assets in the consolidated balance sheet as of December 31, 2023 which will be offset against proceeds upon a sale under the Sales Agreement within the consolidated statement of changes in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reserved 0.5 million shares of Class A Common Stock for issuance under the Rani Therapeutics Holdings, Inc. 2021 Employee Stock Purchase Plan (the “ESPP”) and 3.0 million shares of Class A common stock for future issuance under the 2021 Plan.</w:t>
      </w:r>
    </w:p>
    <w:p>
      <w:pPr>
        <w:pStyle w:val="TextBody"/>
        <w:bidi w:val="0"/>
        <w:spacing w:before="24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Repricing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2023 (the “Repricing Date”), the Company's Board of Directors approved a stock option award repricing whereby certain previously granted and still outstanding unvested stock option awards issued under the 2021 Plan and the 2016 Equity Incentive Plan, were reduced to $2.84 per share, which represented the most recent closing market price of the Company’s Class A common stock to the Repricing Date (the “Option Repricing”). These stock option awards are held by employees, including the Company’s named executive officers, certain consultants, and non-employee members of the Board of Directors. No other terms of the options were modified, and the stock option awards will continue to vest according to their original vesting schedules, remain subject to the same service requirements and will retain their original expiration dates. The Option Repricing was fair valued using the Black-Scholes option pricing model, which approximated the Lattice model, resulting in $1.8 million of incremental stock-based compensation expense and is expected to be recognized over a weighted-average period of approximately 2.3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stock option activity during the periods indicated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3"/>
        <w:gridCol w:w="146"/>
        <w:gridCol w:w="228"/>
        <w:gridCol w:w="1460"/>
        <w:gridCol w:w="166"/>
        <w:gridCol w:w="146"/>
        <w:gridCol w:w="414"/>
        <w:gridCol w:w="1128"/>
        <w:gridCol w:w="146"/>
        <w:gridCol w:w="146"/>
        <w:gridCol w:w="441"/>
        <w:gridCol w:w="1412"/>
        <w:gridCol w:w="146"/>
        <w:gridCol w:w="146"/>
        <w:gridCol w:w="433"/>
        <w:gridCol w:w="1388"/>
        <w:gridCol w:w="396"/>
      </w:tblGrid>
      <w:tr>
        <w:trPr/>
        <w:tc>
          <w:tcPr>
            <w:tcW w:w="1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4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8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8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1"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18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w:t>
            </w:r>
          </w:p>
        </w:tc>
        <w:tc>
          <w:tcPr>
            <w:tcW w:w="396" w:type="dxa"/>
            <w:tcBorders/>
            <w:shd w:fill="FFFFFF" w:val="clear"/>
            <w:vAlign w:val="center"/>
          </w:tcPr>
          <w:p>
            <w:pPr>
              <w:pStyle w:val="TableContents"/>
              <w:bidi w:val="0"/>
              <w:spacing w:before="0" w:after="283"/>
              <w:jc w:val="left"/>
              <w:rPr/>
            </w:pPr>
            <w:r>
              <w:rPr/>
              <w:t> </w:t>
            </w:r>
          </w:p>
        </w:tc>
      </w:tr>
      <w:tr>
        <w:trPr/>
        <w:tc>
          <w:tcPr>
            <w:tcW w:w="18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6" w:type="dxa"/>
            <w:tcBorders/>
            <w:shd w:fill="CFF0FC" w:val="clear"/>
            <w:vAlign w:val="center"/>
          </w:tcPr>
          <w:p>
            <w:pPr>
              <w:pStyle w:val="TableContents"/>
              <w:bidi w:val="0"/>
              <w:spacing w:before="0" w:after="283"/>
              <w:jc w:val="left"/>
              <w:rPr/>
            </w:pPr>
            <w:r>
              <w:rPr/>
              <w:t> </w:t>
            </w:r>
          </w:p>
        </w:tc>
      </w:tr>
      <w:tr>
        <w:trPr/>
        <w:tc>
          <w:tcPr>
            <w:tcW w:w="18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396"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option pricing model to estimate the fair value of each stock option award on the date of grant. The assumptions and estimates are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 The expected term represents the period of time that stock option awards are expected to remain outstanding. The Company estimates the expected term as the midpoint between actual or expected vesting date and the contractual term.</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The expected volatility was derived from the historical stock volatilities of peer public companies within the Company's industry that are considered to be comparable businesses over a period equivalent to the expected term of the stock option awards, since there has been limited trading history of the Company's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 The risk-free interest rate is based on the U.S. Treasury yield curve in effect at the date of grant for zero-coupon U.S. Treasury notes with maturities approximately equal to the stock option awards’ expected term.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dividend yield </w:t>
      </w:r>
      <w:r>
        <w:rPr>
          <w:rFonts w:ascii="Times New Roman" w:hAnsi="Times New Roman"/>
          <w:color w:val="000000"/>
          <w:sz w:val="20"/>
        </w:rPr>
        <w:t xml:space="preserve">- The expected dividend yield is zero as the Company has no plans to make dividend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weighted average assumptions used in estimating the fair value of stock option awards on the grant date:</w:t>
      </w:r>
    </w:p>
    <w:p>
      <w:pPr>
        <w:pStyle w:val="TextBody"/>
        <w:bidi w:val="0"/>
        <w:jc w:val="left"/>
        <w:rPr/>
      </w:pPr>
      <w:r>
        <w:rPr/>
        <w:t> </w:t>
      </w:r>
    </w:p>
    <w:tbl>
      <w:tblPr>
        <w:tblW w:w="4890" w:type="dxa"/>
        <w:jc w:val="left"/>
        <w:tblInd w:w="0" w:type="dxa"/>
        <w:tblLayout w:type="fixed"/>
        <w:tblCellMar>
          <w:top w:w="28" w:type="dxa"/>
          <w:left w:w="28" w:type="dxa"/>
          <w:bottom w:w="28" w:type="dxa"/>
          <w:right w:w="28" w:type="dxa"/>
        </w:tblCellMar>
      </w:tblPr>
      <w:tblGrid>
        <w:gridCol w:w="2131"/>
        <w:gridCol w:w="146"/>
        <w:gridCol w:w="289"/>
        <w:gridCol w:w="687"/>
        <w:gridCol w:w="146"/>
        <w:gridCol w:w="271"/>
        <w:gridCol w:w="146"/>
        <w:gridCol w:w="146"/>
        <w:gridCol w:w="466"/>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84.0 - 85.8</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3.73 - 3.93</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5.1 - 5.9</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there was $21.4 million of unrecognized stock-based compensation expense related to stock options which is expected to be recognized over a weighted-average period of approximately 2.3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RSU activity during the periods indicated is as follows: </w:t>
      </w:r>
    </w:p>
    <w:p>
      <w:pPr>
        <w:pStyle w:val="TextBody"/>
        <w:bidi w:val="0"/>
        <w:jc w:val="left"/>
        <w:rPr/>
      </w:pPr>
      <w:r>
        <w:rPr/>
        <w:t> </w:t>
      </w:r>
    </w:p>
    <w:tbl>
      <w:tblPr>
        <w:tblW w:w="9910" w:type="dxa"/>
        <w:jc w:val="left"/>
        <w:tblInd w:w="0" w:type="dxa"/>
        <w:tblLayout w:type="fixed"/>
        <w:tblCellMar>
          <w:top w:w="28" w:type="dxa"/>
          <w:left w:w="28" w:type="dxa"/>
          <w:bottom w:w="28" w:type="dxa"/>
          <w:right w:w="28" w:type="dxa"/>
        </w:tblCellMar>
      </w:tblPr>
      <w:tblGrid>
        <w:gridCol w:w="2596"/>
        <w:gridCol w:w="146"/>
        <w:gridCol w:w="343"/>
        <w:gridCol w:w="2192"/>
        <w:gridCol w:w="166"/>
        <w:gridCol w:w="146"/>
        <w:gridCol w:w="1059"/>
        <w:gridCol w:w="287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21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21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21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was $8.1 million of unrecognized stock-based compensation expense related to RSUs which is expected to be recognized over a weighted-average period of approximately 3.0 years. The total fair value of RSUs vested was $2.2 million for the year ended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RSA activity during the periods indicated is as follows: </w:t>
      </w:r>
    </w:p>
    <w:p>
      <w:pPr>
        <w:pStyle w:val="TextBody"/>
        <w:bidi w:val="0"/>
        <w:jc w:val="left"/>
        <w:rPr/>
      </w:pPr>
      <w:r>
        <w:rPr/>
        <w:t> </w:t>
      </w:r>
    </w:p>
    <w:tbl>
      <w:tblPr>
        <w:tblW w:w="10090" w:type="dxa"/>
        <w:jc w:val="left"/>
        <w:tblInd w:w="0" w:type="dxa"/>
        <w:tblLayout w:type="fixed"/>
        <w:tblCellMar>
          <w:top w:w="28" w:type="dxa"/>
          <w:left w:w="28" w:type="dxa"/>
          <w:bottom w:w="28" w:type="dxa"/>
          <w:right w:w="28" w:type="dxa"/>
        </w:tblCellMar>
      </w:tblPr>
      <w:tblGrid>
        <w:gridCol w:w="2596"/>
        <w:gridCol w:w="146"/>
        <w:gridCol w:w="449"/>
        <w:gridCol w:w="2266"/>
        <w:gridCol w:w="166"/>
        <w:gridCol w:w="146"/>
        <w:gridCol w:w="1223"/>
        <w:gridCol w:w="270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22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22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unrecognized stock-based compensation expense related to RSAs was de minimis which is expected to be recognized over a weighted-average period of approximately 0.5 years. The total fair value of RSAs vested was $0.1 million for the year ended December 31, 2023.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0.2 million shares of Class A common stock have been issued under the ESPP. During the years ended December 31, 2023 and 2022, the Company recognized $0.3 million and $0.2 million, respectively, of stock-based compensation expense related to the ESPP. As of December 31, 2023, contributions withheld from employees were de minimis and recorded as a component of accrued expenses and other current liabilities in the consolidated balance sheet. As of December 31, 2023, there was $0.1 million of unrecognized stock-based compensation expense related to the ESPP which is expected to be recognized over a weighted-average period of approximately 0.4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components of stock-based compensation expense resulting from the grant of stock options, RSUs, RSAs, and the ESPP, recorded in the Company’s consolidated statement of operations and comprehensive loss (in thousands):</w:t>
      </w:r>
    </w:p>
    <w:p>
      <w:pPr>
        <w:pStyle w:val="TextBody"/>
        <w:bidi w:val="0"/>
        <w:jc w:val="left"/>
        <w:rPr/>
      </w:pPr>
      <w:r>
        <w:rPr/>
        <w:t> </w:t>
      </w:r>
    </w:p>
    <w:tbl>
      <w:tblPr>
        <w:tblW w:w="5949" w:type="dxa"/>
        <w:jc w:val="left"/>
        <w:tblInd w:w="0" w:type="dxa"/>
        <w:tblLayout w:type="fixed"/>
        <w:tblCellMar>
          <w:top w:w="28" w:type="dxa"/>
          <w:left w:w="28" w:type="dxa"/>
          <w:bottom w:w="28" w:type="dxa"/>
          <w:right w:w="28" w:type="dxa"/>
        </w:tblCellMar>
      </w:tblPr>
      <w:tblGrid>
        <w:gridCol w:w="3146"/>
        <w:gridCol w:w="146"/>
        <w:gridCol w:w="211"/>
        <w:gridCol w:w="676"/>
        <w:gridCol w:w="146"/>
        <w:gridCol w:w="146"/>
        <w:gridCol w:w="211"/>
        <w:gridCol w:w="676"/>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Tax Receivable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party to a TRA with certain of the Continuing LLC Owners (Note 2). As of December 31, 2023,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pStyle w:val="TextBody"/>
        <w:bidi w:val="0"/>
        <w:spacing w:before="240" w:after="283"/>
        <w:jc w:val="left"/>
        <w:rPr>
          <w:rFonts w:ascii="Times New Roman" w:hAnsi="Times New Roman"/>
          <w:sz w:val="20"/>
        </w:rPr>
      </w:pPr>
      <w:r>
        <w:rPr>
          <w:rFonts w:ascii="Times New Roman" w:hAnsi="Times New Roman"/>
          <w:b/>
          <w:color w:val="000000"/>
          <w:sz w:val="20"/>
        </w:rPr>
        <w:t>12. Long-Term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 The purpose of the Loans is for general corporate purposes. In exchange for access to this facility, the Company agreed to issue warrants (Note 8).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December 31, 2023, the effective interest rate on the Loans was 15.70% and there were no events of default during the year ended December 31, 2023.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December 31, 2023, the Company was in compliance with all applicable covenants under the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future principal payments for the Company’s debt are as follows (in thousands):</w:t>
      </w:r>
    </w:p>
    <w:p>
      <w:pPr>
        <w:pStyle w:val="TextBody"/>
        <w:bidi w:val="0"/>
        <w:jc w:val="left"/>
        <w:rPr/>
      </w:pPr>
      <w:r>
        <w:rPr/>
        <w:t> </w:t>
      </w:r>
    </w:p>
    <w:tbl>
      <w:tblPr>
        <w:tblW w:w="5095" w:type="dxa"/>
        <w:jc w:val="left"/>
        <w:tblInd w:w="0" w:type="dxa"/>
        <w:tblLayout w:type="fixed"/>
        <w:tblCellMar>
          <w:top w:w="28" w:type="dxa"/>
          <w:left w:w="28" w:type="dxa"/>
          <w:bottom w:w="28" w:type="dxa"/>
          <w:right w:w="28" w:type="dxa"/>
        </w:tblCellMar>
      </w:tblPr>
      <w:tblGrid>
        <w:gridCol w:w="3651"/>
        <w:gridCol w:w="146"/>
        <w:gridCol w:w="211"/>
        <w:gridCol w:w="676"/>
        <w:gridCol w:w="41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amount representing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13.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income tax expense for the year ended December 31, 2023. Income tax expense totaled $0.1 million for the year ended December 31, 2022. The effective tax rate for the years ended December 31, 2023 and 2022 is different from the federal statutory rate primarily due to the valuation allowance against deferred tax assets as a result of insufficient sources of income and pass-through loss not subject to income tax. A reconciliation between the Company’s effective tax rate and the applicable U.S. federal statutory income tax rate is summarized as follows:</w:t>
      </w:r>
    </w:p>
    <w:p>
      <w:pPr>
        <w:pStyle w:val="TextBody"/>
        <w:bidi w:val="0"/>
        <w:jc w:val="left"/>
        <w:rPr/>
      </w:pPr>
      <w:r>
        <w:rPr/>
        <w:t> </w:t>
      </w:r>
    </w:p>
    <w:tbl>
      <w:tblPr>
        <w:tblW w:w="5451" w:type="dxa"/>
        <w:jc w:val="left"/>
        <w:tblInd w:w="0" w:type="dxa"/>
        <w:tblLayout w:type="fixed"/>
        <w:tblCellMar>
          <w:top w:w="28" w:type="dxa"/>
          <w:left w:w="28" w:type="dxa"/>
          <w:bottom w:w="28" w:type="dxa"/>
          <w:right w:w="28" w:type="dxa"/>
        </w:tblCellMar>
      </w:tblPr>
      <w:tblGrid>
        <w:gridCol w:w="2896"/>
        <w:gridCol w:w="146"/>
        <w:gridCol w:w="146"/>
        <w:gridCol w:w="526"/>
        <w:gridCol w:w="166"/>
        <w:gridCol w:w="271"/>
        <w:gridCol w:w="146"/>
        <w:gridCol w:w="146"/>
        <w:gridCol w:w="526"/>
        <w:gridCol w:w="166"/>
        <w:gridCol w:w="31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tax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Liquidating distribution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pStyle w:val="TextBody"/>
        <w:bidi w:val="0"/>
        <w:jc w:val="left"/>
        <w:rPr/>
      </w:pPr>
      <w:r>
        <w:rPr/>
        <w:t> </w:t>
      </w:r>
    </w:p>
    <w:tbl>
      <w:tblPr>
        <w:tblW w:w="706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partnership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$8.2 million and $24.1 million for the years ended December 31, 2023 and 2022, respectively, primarily due to the increase in the Company’s net operating losses (“NOL”)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the following tax attribute carryforwards that will expire on various dates as follows:</w:t>
      </w:r>
    </w:p>
    <w:p>
      <w:pPr>
        <w:pStyle w:val="TextBody"/>
        <w:bidi w:val="0"/>
        <w:jc w:val="left"/>
        <w:rPr/>
      </w:pPr>
      <w:r>
        <w:rPr/>
        <w:t> </w:t>
      </w:r>
    </w:p>
    <w:tbl>
      <w:tblPr>
        <w:tblW w:w="8120" w:type="dxa"/>
        <w:jc w:val="left"/>
        <w:tblInd w:w="0" w:type="dxa"/>
        <w:tblLayout w:type="fixed"/>
        <w:tblCellMar>
          <w:top w:w="28" w:type="dxa"/>
          <w:left w:w="28" w:type="dxa"/>
          <w:bottom w:w="28" w:type="dxa"/>
          <w:right w:w="28" w:type="dxa"/>
        </w:tblCellMar>
      </w:tblPr>
      <w:tblGrid>
        <w:gridCol w:w="4531"/>
        <w:gridCol w:w="146"/>
        <w:gridCol w:w="417"/>
        <w:gridCol w:w="1338"/>
        <w:gridCol w:w="146"/>
        <w:gridCol w:w="146"/>
        <w:gridCol w:w="139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Years</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(definite)</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2041 - 2043</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federal</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3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2041 - 2043</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state</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Internal Revenue Code (“IRC”) Sections 382 and 383, annual use of the Company’s research and development credit carryforwards may be limited in the event cumulative change in ownership of more than 50% occurs within a three-year period. As of December 31, 2023,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United States federal and California income taxes and is not currently under examination by any federal or state taxing authorities. The federal and California returns for tax years 2018 through 2023 remain open to examination.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changes in the amount of the unrecognized tax benefits (in thousands):</w:t>
      </w:r>
    </w:p>
    <w:p>
      <w:pPr>
        <w:pStyle w:val="TextBody"/>
        <w:bidi w:val="0"/>
        <w:jc w:val="left"/>
        <w:rPr/>
      </w:pPr>
      <w:r>
        <w:rPr/>
        <w:t> </w:t>
      </w:r>
    </w:p>
    <w:tbl>
      <w:tblPr>
        <w:tblW w:w="5741" w:type="dxa"/>
        <w:jc w:val="left"/>
        <w:tblInd w:w="0" w:type="dxa"/>
        <w:tblLayout w:type="fixed"/>
        <w:tblCellMar>
          <w:top w:w="28" w:type="dxa"/>
          <w:left w:w="28" w:type="dxa"/>
          <w:bottom w:w="28" w:type="dxa"/>
          <w:right w:w="28" w:type="dxa"/>
        </w:tblCellMar>
      </w:tblPr>
      <w:tblGrid>
        <w:gridCol w:w="3391"/>
        <w:gridCol w:w="146"/>
        <w:gridCol w:w="260"/>
        <w:gridCol w:w="519"/>
        <w:gridCol w:w="180"/>
        <w:gridCol w:w="180"/>
        <w:gridCol w:w="260"/>
        <w:gridCol w:w="594"/>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year positions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prior year positions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related to prior year positions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balance of unrecognized tax benefits at December 31, 2023 is $0.5 million that if recognized would impact the Company’s income tax benefit and effective tax rate. The Company does not expect any significant increases or decreases in its unrecognized tax benefits within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party to a TRA with the Continuing LLC Owners (Note 2). As of December 31, 2023, the Company has not recorded a liability under the TRA related to the income tax benefits originating from the exchanges of Paired Interests or non-corresponding Class A Units of Rani LLC as it is not probable that the Company will realize such tax benefits (Note 11).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14. 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Class A common share attributable to Rani Holdings (in thousands, except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88"/>
        <w:gridCol w:w="146"/>
        <w:gridCol w:w="211"/>
        <w:gridCol w:w="736"/>
        <w:gridCol w:w="166"/>
        <w:gridCol w:w="211"/>
        <w:gridCol w:w="736"/>
        <w:gridCol w:w="211"/>
      </w:tblGrid>
      <w:tr>
        <w:trPr/>
        <w:tc>
          <w:tcPr>
            <w:tcW w:w="7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7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7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7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7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common share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total outstanding securities considered anti-dilutive and therefore excluded from the computation of diluted net loss per Class A common share attributable to Rani Holdings (in thousands):</w:t>
      </w:r>
    </w:p>
    <w:p>
      <w:pPr>
        <w:pStyle w:val="TextBody"/>
        <w:bidi w:val="0"/>
        <w:jc w:val="left"/>
        <w:rPr/>
      </w:pPr>
      <w:r>
        <w:rPr/>
        <w:t> </w:t>
      </w:r>
    </w:p>
    <w:tbl>
      <w:tblPr>
        <w:tblW w:w="5218"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Paired Interests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Non-corresponding Class A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2023. Therefore, they are not included in the computation of net loss per Class A common share attributable to Rani Therapeutics Holdings,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240" w:after="283"/>
        <w:jc w:val="left"/>
        <w:rPr>
          <w:rFonts w:ascii="Times New Roman" w:hAnsi="Times New Roman"/>
          <w:sz w:val="20"/>
        </w:rPr>
      </w:pPr>
      <w:r>
        <w:rPr>
          <w:rFonts w:ascii="Times New Roman" w:hAnsi="Times New Roman"/>
          <w:b/>
          <w:i/>
          <w:color w:val="000000"/>
          <w:sz w:val="20"/>
        </w:rPr>
        <w:t>Amended Service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entered into an amendment to the RMS-ICL Service Agreement to increase the Occupancy Services from 23,000 square feet to 24,000 square feet. In March 2024, the Company also entered into an amendment to the Rani LLC-ICL Service Agreement to extend the term of the Occupancy Services in Milpitas, California from February 2024 to August 2024 and to increase the payment for such Occupancy Services during the extension period.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item_9"/>
      <w:bookmarkEnd w:id="22"/>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9a"/>
      <w:bookmarkEnd w:id="23"/>
      <w:r>
        <w:rPr>
          <w:rFonts w:ascii="Times New Roman" w:hAnsi="Times New Roman"/>
          <w:b/>
          <w:color w:val="000000"/>
          <w:sz w:val="20"/>
        </w:rPr>
        <w:t>Item 9A.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Rule 13a-15(f) and 15d-15(f) of the Exchange Act. 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our internal control over financial reporting was effective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has evaluated any changes in our internal control over financial reporting that occurred during the quarter ended December 31, 2023, and has concluded that there was no change during such quarter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item_9b"/>
      <w:bookmarkEnd w:id="24"/>
      <w:r>
        <w:rPr>
          <w:rFonts w:ascii="Times New Roman" w:hAnsi="Times New Roman"/>
          <w:b/>
          <w:color w:val="000000"/>
          <w:sz w:val="20"/>
        </w:rPr>
        <w:t>Item 9B.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5" w:name="item_9c"/>
      <w:bookmarkEnd w:id="25"/>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6" w:name="item_10"/>
      <w:bookmarkEnd w:id="26"/>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and not set forth below is incorporated by reference to the information set forth in the sections titled “Election of Directors” and “Information Regarding the Board of Directors and Corporate Governance” in our definitive Proxy Statement for our 2024 Annual Meeting of Stockholders (the “Proxy Statement”) to be filed with the SEC within 120 days after December 31,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t>
      </w:r>
      <w:r>
        <w:rPr>
          <w:rFonts w:ascii="Times New Roman" w:hAnsi="Times New Roman"/>
          <w:sz w:val="20"/>
        </w:rPr>
        <w:t xml:space="preserve">https://www.ranitherapeutics.com </w:t>
      </w:r>
      <w:r>
        <w:rPr>
          <w:rFonts w:ascii="Times New Roman" w:hAnsi="Times New Roman"/>
          <w:color w:val="000000"/>
          <w:sz w:val="20"/>
        </w:rPr>
        <w:t xml:space="preserve">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w:t>
      </w:r>
    </w:p>
    <w:p>
      <w:pPr>
        <w:pStyle w:val="TextBody"/>
        <w:bidi w:val="0"/>
        <w:spacing w:before="240" w:after="283"/>
        <w:jc w:val="left"/>
        <w:rPr>
          <w:rFonts w:ascii="Times New Roman" w:hAnsi="Times New Roman"/>
          <w:b/>
          <w:color w:val="000000"/>
          <w:sz w:val="20"/>
        </w:rPr>
      </w:pPr>
      <w:bookmarkStart w:id="27" w:name="item_11"/>
      <w:bookmarkEnd w:id="27"/>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 titled “—Executive Compensation” in our Proxy Statement.</w:t>
      </w:r>
    </w:p>
    <w:p>
      <w:pPr>
        <w:pStyle w:val="TextBody"/>
        <w:bidi w:val="0"/>
        <w:spacing w:before="240" w:after="283"/>
        <w:jc w:val="left"/>
        <w:rPr>
          <w:rFonts w:ascii="Times New Roman" w:hAnsi="Times New Roman"/>
          <w:b/>
          <w:color w:val="000000"/>
          <w:sz w:val="20"/>
        </w:rPr>
      </w:pPr>
      <w:bookmarkStart w:id="28" w:name="item_12"/>
      <w:bookmarkEnd w:id="28"/>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in the section titled “Security Ownership of Certain Beneficial Owners and Management” in our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201(d) of Regulation S-K will be set forth in the section titled “—Equity Compensation Plan Information” in our Proxy Statement and is incorporated herein by reference.</w:t>
      </w:r>
    </w:p>
    <w:p>
      <w:pPr>
        <w:pStyle w:val="TextBody"/>
        <w:bidi w:val="0"/>
        <w:spacing w:before="240" w:after="283"/>
        <w:jc w:val="left"/>
        <w:rPr>
          <w:rFonts w:ascii="Times New Roman" w:hAnsi="Times New Roman"/>
          <w:b/>
          <w:color w:val="000000"/>
          <w:sz w:val="20"/>
        </w:rPr>
      </w:pPr>
      <w:bookmarkStart w:id="29" w:name="item_13"/>
      <w:bookmarkEnd w:id="29"/>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sections titled “Transactions with Related Persons and Indemnification” and “—Independence of The Board of Directors” in our Proxy Statement.</w:t>
      </w:r>
    </w:p>
    <w:p>
      <w:pPr>
        <w:pStyle w:val="TextBody"/>
        <w:bidi w:val="0"/>
        <w:spacing w:before="240" w:after="283"/>
        <w:jc w:val="left"/>
        <w:rPr>
          <w:rFonts w:ascii="Times New Roman" w:hAnsi="Times New Roman"/>
          <w:b/>
          <w:color w:val="000000"/>
          <w:sz w:val="20"/>
        </w:rPr>
      </w:pPr>
      <w:bookmarkStart w:id="30" w:name="item_14"/>
      <w:bookmarkEnd w:id="30"/>
      <w:r>
        <w:rPr>
          <w:rFonts w:ascii="Times New Roman" w:hAnsi="Times New Roman"/>
          <w:b/>
          <w:color w:val="000000"/>
          <w:sz w:val="20"/>
        </w:rPr>
        <w:t>Item 14. Principal Accountant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 titled “Ratification of Selection of Independent Registered Public Accounting Firm” in our Proxy Statement.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31" w:name="item_15_exhibits"/>
      <w:bookmarkEnd w:id="31"/>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and Financial Statement Schedules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 Documents filed as part of this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1.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and reports of independent registered public accounting firm are filed as part of this Annual Report (see “Index to Consolidated Financial Statements” at Item 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financial statement schedules are included because the information is either provided in the consolidated financial statements, is not required under the instructions or is immaterial, and such schedules, therefore have been omitted.</w:t>
      </w:r>
    </w:p>
    <w:p>
      <w:pPr>
        <w:pStyle w:val="TextBody"/>
        <w:bidi w:val="0"/>
        <w:spacing w:before="240" w:after="283"/>
        <w:jc w:val="left"/>
        <w:rPr>
          <w:rFonts w:ascii="Times New Roman" w:hAnsi="Times New Roman"/>
          <w:sz w:val="20"/>
        </w:rPr>
      </w:pPr>
      <w:r>
        <w:rPr>
          <w:rFonts w:ascii="Times New Roman" w:hAnsi="Times New Roman"/>
          <w:b/>
          <w:i/>
          <w:color w:val="000000"/>
          <w:sz w:val="20"/>
        </w:rPr>
        <w:t>3. Exhibits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list of all exhibits and financial statement schedules filed or furnished as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the Registrant as currently in effect (incorporated by reference to Exhibit 3.1 to the Registrant’s Registration Statement on Form S-1, as amended, filed with the SEC on July 26,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Bylaws of the Registrant as currently in effect (incorporated by reference to Exhibit 3.4 to the Registrant’s Registration Statement on Form S-1, as amended, filed with the SEC on July 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Specimen Class A common stock certificate of the Registrant (incorporated by reference to Exhibit 4.1 to the Registrant’s Registration Statement on Form S-1, as amended, filed with the SEC on July 26,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Description of Securities (incorporated by reference to Exhibit 4.2 to the Registrant’s Quarterly Report on Form 10-Q for the quarter ended June 30, 2022 filed with the SEC on August 10,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Tax Receivable Agreement, effective as of August 3, 2021 (incorporated by reference to Exhibit 10.1 to the Registrant’s Annual Report on Form 10-K for the year ended December 31, 2021, filed with the SEC on March 31,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Class B Unit Exchange Agreement, effective as of August 3, 2021 (incorporated by reference to Exhibit 10.2 to the Registrant’s Quarterly Report on Form 10-Q for the quarter ended June 30, 2022 filed with the SEC on August 10,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Registration Rights Agreement, effective as of August 3, 2021 (incorporated by reference to Exhibit 10.3 to the Registrant’s Quarterly Report on Form 10-Q for the quarter ended June 30, 2022 filed with the SEC on August 10,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Fifth Amended and Restated Limited Liability Company Agreement of Rani Therapeutics, LLC, effective as of August 3, 2021 (incorporated by reference to Exhibit 10.4 to the Registrant’s Quarterly Report on Form 10-Q for the quarter ended June 30, 2022 filed with the SEC on August 10,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Indemnification Agreement between the Registrant and each of its directors and executive officers (incorporated by reference to Exhibit 10.4 to the Registrant’s Registration Statement on Form S-1, filed with the SEC on July 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Rani Therapeutics, LLC 2016 Equity Incentive Plan and forms of agreement thereunder (incorporated by reference to Exhibit 10.5 to the Registrant’s Registration Statement on Form S-1, as amended, filed with the SEC on July 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Rani Therapeutics Holdings, Inc. 2021 Equity Incentive Plan (incorporated by reference to Exhibit 10.7 to the Registrant’s Registration Statement on Form S-1, as amended, filed with the SEC on July 26,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Forms of Agreement under the Rani Therapeutics Holdings, Inc. 2021 Equity Incentive Plan (incorporated by reference to Exhibit 10.8 to the Registrant’s Quarterly Report on Form 10-Q for the quarter ended June 30, 2022 filed with the SEC on August 10, 2022).</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Rani Therapeutics Holdings, Inc. 2021 Employee Stock Purchase Plan (incorporated by reference to Exhibit 10.8 to the Registrant’s Registration Statement on Form S-1, as amended, filed with the SEC on July 26,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Rani Therapeutics Holdings, Inc. Severance and Change in Control Plan (incorporated by reference to Exhibit 10.8 to the Registrant’s Registration Statement on Form S-1, filed with the SEC on July 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Participation Agreement under the Rani Therapeutics Holdings, Inc. Severance and Change in Control Plan (incorporated by reference to Exhibit 10.9 to the Registrant’s Registration Statement on Form S-1, filed with the SEC on July 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Rani Therapeutics Holdings, Inc. Non-Employee Director Compensation Policy (incorporated by reference to Exhibit 10.11 to the Registrant’s Registration Statement on Form S-1, as amended, filed with the SEC on July 16, 2021).</w:t>
              </w:r>
            </w:hyperlink>
          </w:p>
        </w:tc>
      </w:tr>
    </w:tbl>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
        <w:gridCol w:w="146"/>
        <w:gridCol w:w="9341"/>
      </w:tblGrid>
      <w:tr>
        <w:trPr/>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1" w:type="dxa"/>
            <w:tcBorders/>
            <w:vAlign w:val="center"/>
          </w:tcPr>
          <w:p>
            <w:pPr>
              <w:pStyle w:val="TableContents"/>
              <w:bidi w:val="0"/>
              <w:spacing w:before="0" w:after="283"/>
              <w:jc w:val="left"/>
              <w:rPr>
                <w:sz w:val="4"/>
                <w:szCs w:val="4"/>
              </w:rPr>
            </w:pPr>
            <w:r>
              <w:rPr>
                <w:sz w:val="4"/>
                <w:szCs w:val="4"/>
              </w:rPr>
            </w:r>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Service Agreement, by and between Rani Therapeutics, LLC and InCube Labs, LLC, dated January 1, 2021 (incorporated by reference to Exhibit 10.15 to the Registrant’s Registration Statement on Form S-1, as amended, filed with the SEC on July 9, 2021).</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Amendment No. 1 to Service Agreement, dated March 21, 2022, by and between Rani Therapeutics, LLC and InCube Labs, LLC (incorporated by reference to Exhibit 10.14 to the Registrant’s Quarterly Report on Form 10-Q for the quarter ended June 30, 2022, filed with the SEC on August 10,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w:anchor="rani-ex10_15.htm">
              <w:r>
                <w:rPr>
                  <w:rStyle w:val="InternetLink"/>
                  <w:rFonts w:ascii="Times New Roman" w:hAnsi="Times New Roman"/>
                  <w:color w:val="0000FF"/>
                  <w:sz w:val="20"/>
                  <w:u w:val="single"/>
                </w:rPr>
                <w:t>Amendment No. 2 to Service Agreement, dated March 15, 2024, by and between Rani Therapeutics, LLC and InCube Labs, LLC.</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Service Agreement, by and between Rani Management Services, Inc. and InCube Labs, LLC, dated January 1, 2021 (incorporated by reference to Exhibit 10.16 to the Registrant’s Registration Statement on Form S-1, as amended, filed with the SEC on July 9, 2021).</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w:anchor="rani-ex10_17.htm">
              <w:r>
                <w:rPr>
                  <w:rStyle w:val="InternetLink"/>
                  <w:rFonts w:ascii="Times New Roman" w:hAnsi="Times New Roman"/>
                  <w:color w:val="0000FF"/>
                  <w:sz w:val="20"/>
                  <w:u w:val="single"/>
                </w:rPr>
                <w:t>Amendment No. 1 to RMS Service Agreement, dated March 15, 2024, by and between Rani Therapeutics, LLC and InCube Labs, LLC.</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Amended and Restated Exclusive License Agreement, by and between Rani Therapeutics, LLC and InCube Labs, LLC, dated June 22, 2021 (incorporated by reference to Exhibit 10.17 to the Registrant’s Registration Statement on Form S-1, as amended, filed with the SEC on July 9, 2021).</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Non-Exclusive License Agreement, by and between Rani Therapeutics, LLC and InCube Labs, LLC, dated June 22, 2021 (incorporated by reference to Exhibit 10.18 to the Registrant’s Registration Statement on Form S-1, as amended, filed with the SEC on July 9, 2021).</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Intellectual Property Agreement, by and between Rani Therapeutics, LLC and Mir A. Imran, dated June 22, 2021 (incorporated by reference to Exhibit 10.19 to the Registrant’s Registration Statement on Form S-1, as amended, filed with the SEC on July 9, 2021).</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Employment Agreement, dated August 31, 2022, by and between Rani Therapeutics, LLC and Talat Imran (incorporated by reference to Exhibit 10.19 to the Registrant’s Annual Report on form 10-K for the year ended December 31, 2022, filed with the SEC on March 22,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Amended and Restated Employment Agreement, dated August 31, 2022, by and between Rani Therapeutics, LLC and Mir Hashim (incorporated by reference to Exhibit 10.19 to the Registrant’s Annual Report on form 10-K for the year ended December 31, 2022, filed with the SEC on March 22,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Amended and Restated Employment Agreement, dated August 31, 2022, by and between Rani Therapeutics, LLC and Svai Sanford (incorporated by reference to Exhibit 10.19 to the Registrant’s Annual Report on form 10-K for the year ended December 31, 2022, filed with the SEC on March 22,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Employment Agreement, dated April 12, 2022, by and between Rani Therapeutics, LLC and Eric Groen (incorporated by reference to Exhibit 10.2 to the Registrant’s Quarterly Report on form 10-Q for the quarter ended March 31, 2022, filed with the SEC on May 11,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10.25+x</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Employment Agreement, dated May 17, 2023, by and between Rani Therapeutics, LLC and Kate McKinley (incorporated by reference to Exhibit 10.2 to the Registrant’s Quarterly Report on form 10-Q for the quarter ended June 30, 2023, filed with the SEC on August 11,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Loan and Security Agreement, dated August 8, 2022, by and among the Registrant, its subsidiaries Rani Therapeutics, LLC and Rani Management Services, Inc., and Avenue Venture Opportunities Fund, L.P. (incorporated by reference to Exhibit 10.1 to the Registrant’s Quarterly Report on form 10-Q for the quarter ended June 30, 2022, filed with the SEC on August 10,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Supplement to the Loan and Security Agreement, dated August 8, 2022, by and among the Registrant, its subsidiaries Rani Therapeutics, LLC and Rani Management Services, Inc., and Avenue Venture Opportunities Fund, L.P. (incorporated by reference to Exhibit 10.2 to the Registrant’s Quarterly Report on form 10-Q for the quarter ended June 30, 2022, filed with the SEC on August 10,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Warrant to purchase shares of Class A common stock of Registrant, issued to Avenue Venture Opportunities Fund, L.P. (incorporated by reference to Exhibit 10.3 to the Registrant’s Quarterly Report on form 10-Q for the quarter ended June 30, 2022, filed with the SEC on August 10,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Controlled Equity</w:t>
              </w:r>
            </w:hyperlink>
            <w:hyperlink r:id="rId42">
              <w:r>
                <w:rPr>
                  <w:rStyle w:val="InternetLink"/>
                  <w:rFonts w:ascii="Times New Roman" w:hAnsi="Times New Roman"/>
                  <w:color w:val="0000FF"/>
                  <w:sz w:val="13"/>
                  <w:u w:val="single"/>
                </w:rPr>
                <w:t>SM</w:t>
              </w:r>
            </w:hyperlink>
            <w:hyperlink r:id="rId43">
              <w:r>
                <w:rPr>
                  <w:rStyle w:val="InternetLink"/>
                  <w:rFonts w:ascii="Times New Roman" w:hAnsi="Times New Roman"/>
                  <w:color w:val="0000FF"/>
                  <w:sz w:val="20"/>
                  <w:u w:val="single"/>
                </w:rPr>
                <w:t xml:space="preserve"> Sales Agreement, dated August 24, 2022, by and among Rani Therapeutics Holdings, Inc., and Cantor Fitzgerald &amp; Co. and H.C. Wainwright &amp; Co., LLC (incorporated by reference to Exhibit 1.1 to the Registrant’s Current Report on Form 8-K filed with the SEC on August 25, 2022).</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10.30x</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License and Supply Agreement by and between Rani Therapeutics, LLC and Celltrion, Inc. dated January 6, 2023 (incorporated by reference to Exhibit 10.27 to the Registrant’s Annual Report on Form 10-K for the year ended December 31, 2022, filed with the SEC on March 22,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10.31x</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License and Supply Agreement by and between Rani Therapeutics, LLC and Celltrion, Inc. dated May 26, 2023 (incorporated by reference to Exhibit.10.2 to the Registrant’s Quarterly Report on Form 10-Q for the quarter ended June 30, 2023, filed with the SEC on August 11, 2023).</w:t>
              </w:r>
            </w:hyperlink>
          </w:p>
        </w:tc>
      </w:tr>
      <w:tr>
        <w:trPr/>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10.32x</w:t>
            </w:r>
          </w:p>
        </w:tc>
        <w:tc>
          <w:tcPr>
            <w:tcW w:w="146" w:type="dxa"/>
            <w:tcBorders/>
            <w:shd w:fill="FFFFFF" w:val="clear"/>
            <w:vAlign w:val="center"/>
          </w:tcPr>
          <w:p>
            <w:pPr>
              <w:pStyle w:val="TableContents"/>
              <w:bidi w:val="0"/>
              <w:spacing w:before="0" w:after="283"/>
              <w:jc w:val="left"/>
              <w:rPr/>
            </w:pPr>
            <w:r>
              <w:rPr/>
              <w:t> </w:t>
            </w:r>
          </w:p>
        </w:tc>
        <w:tc>
          <w:tcPr>
            <w:tcW w:w="9341" w:type="dxa"/>
            <w:tcBorders/>
            <w:shd w:fill="FFFFFF" w:val="cle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Standard Industrial/Commercial Multi-Tenant Lease – Net, by and between Rani Therapeutics, LLC and BKM South Bay 240, LLC, dated as of November 1, 2023 (incorporated by reference to Exhibit 10.1 to the Registrant’s Quarterly Report on Form 10-Q for the quarter ended September 30, 2023, filed with the SEC on November 8, 2023).</w:t>
              </w:r>
            </w:hyperlink>
          </w:p>
        </w:tc>
      </w:tr>
    </w:tbl>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
        <w:gridCol w:w="146"/>
        <w:gridCol w:w="9374"/>
      </w:tblGrid>
      <w:tr>
        <w:trPr/>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4" w:type="dxa"/>
            <w:tcBorders/>
            <w:vAlign w:val="center"/>
          </w:tcPr>
          <w:p>
            <w:pPr>
              <w:pStyle w:val="TableContents"/>
              <w:bidi w:val="0"/>
              <w:spacing w:before="0" w:after="283"/>
              <w:jc w:val="left"/>
              <w:rPr>
                <w:sz w:val="4"/>
                <w:szCs w:val="4"/>
              </w:rPr>
            </w:pPr>
            <w:r>
              <w:rPr>
                <w:sz w:val="4"/>
                <w:szCs w:val="4"/>
              </w:rPr>
            </w:r>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pPr>
            <w:hyperlink w:anchor="rani-ex21_1.htm">
              <w:r>
                <w:rPr>
                  <w:rStyle w:val="InternetLink"/>
                  <w:rFonts w:ascii="Times New Roman" w:hAnsi="Times New Roman"/>
                  <w:color w:val="0000FF"/>
                  <w:sz w:val="20"/>
                  <w:u w:val="single"/>
                </w:rPr>
                <w:t>Subsidiaries of the Registrant.</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pPr>
            <w:hyperlink w:anchor="rani-ex23_1.htm">
              <w:r>
                <w:rPr>
                  <w:rStyle w:val="InternetLink"/>
                  <w:rFonts w:ascii="Times New Roman" w:hAnsi="Times New Roman"/>
                  <w:color w:val="0000FF"/>
                  <w:sz w:val="20"/>
                  <w:u w:val="single"/>
                </w:rPr>
                <w:t>Consent of Independent Registered Public Accounting Firm.</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Reference is made to the signature page hereto.</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74" w:type="dxa"/>
            <w:tcBorders/>
            <w:shd w:fill="FFFFFF" w:val="clear"/>
            <w:vAlign w:val="center"/>
          </w:tcPr>
          <w:p>
            <w:pPr>
              <w:pStyle w:val="TableContents"/>
              <w:bidi w:val="0"/>
              <w:spacing w:before="0" w:after="283"/>
              <w:jc w:val="left"/>
              <w:rPr/>
            </w:pPr>
            <w:hyperlink w:anchor="ran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74" w:type="dxa"/>
            <w:tcBorders/>
            <w:shd w:fill="FFFFFF" w:val="clear"/>
            <w:vAlign w:val="center"/>
          </w:tcPr>
          <w:p>
            <w:pPr>
              <w:pStyle w:val="TableContents"/>
              <w:bidi w:val="0"/>
              <w:spacing w:before="0" w:after="283"/>
              <w:jc w:val="left"/>
              <w:rPr/>
            </w:pPr>
            <w:hyperlink w:anchor="ran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pPr>
            <w:hyperlink w:anchor="ran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Policy Relating to Recovery of Erroneously Awarded Compensation</w:t>
            </w:r>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x Portions of this exhibit have been omitted as the Registrant has determined that (i) the omitted information is not material and (ii) the omitted material is of the type that the Registrant treats as private or confidential.</w:t>
      </w:r>
    </w:p>
    <w:p>
      <w:pPr>
        <w:pStyle w:val="TextBody"/>
        <w:bidi w:val="0"/>
        <w:jc w:val="left"/>
        <w:rPr/>
      </w:pPr>
      <w:r>
        <w:rPr/>
        <w:t> </w:t>
      </w:r>
    </w:p>
    <w:p>
      <w:pPr>
        <w:pStyle w:val="TextBody"/>
        <w:bidi w:val="0"/>
        <w:jc w:val="left"/>
        <w:rPr>
          <w:rFonts w:ascii="Times New Roman" w:hAnsi="Times New Roman"/>
          <w:b/>
          <w:color w:val="000000"/>
          <w:sz w:val="20"/>
        </w:rPr>
      </w:pPr>
      <w:bookmarkStart w:id="32" w:name="item_16"/>
      <w:bookmarkEnd w:id="32"/>
      <w:r>
        <w:rPr>
          <w:rFonts w:ascii="Times New Roman" w:hAnsi="Times New Roman"/>
          <w:b/>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49" w:type="dxa"/>
        <w:jc w:val="left"/>
        <w:tblInd w:w="0" w:type="dxa"/>
        <w:tblLayout w:type="fixed"/>
        <w:tblCellMar>
          <w:top w:w="28" w:type="dxa"/>
          <w:left w:w="28" w:type="dxa"/>
          <w:bottom w:w="28" w:type="dxa"/>
          <w:right w:w="28" w:type="dxa"/>
        </w:tblCellMar>
      </w:tblPr>
      <w:tblGrid>
        <w:gridCol w:w="1891"/>
        <w:gridCol w:w="146"/>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2041"/>
        <w:gridCol w:w="109"/>
        <w:gridCol w:w="3826"/>
        <w:gridCol w:w="109"/>
        <w:gridCol w:w="144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Talat Imran</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Svai Sanford</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Mir Imran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Mir Imran</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Ausiello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Dennis Ausiello</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Jean-Luc Butel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Jean-Luc Butel</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Laureen DeBuono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Laureen DeBuono</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Farquharson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Farquharson</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Maulik Nanavaty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Maulik Nanavaty</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Rometty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 2024</w:t>
            </w:r>
          </w:p>
        </w:tc>
      </w:tr>
      <w:tr>
        <w:trPr/>
        <w:tc>
          <w:tcPr>
            <w:tcW w:w="20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Lisa Rometty</w:t>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rani-ex10_15.htm"/>
      <w:bookmarkStart w:id="35" w:name="ksraniex10_15"/>
      <w:bookmarkEnd w:id="34"/>
      <w:bookmarkEnd w:id="35"/>
      <w:r>
        <w:rPr>
          <w:rFonts w:ascii="Times New Roman" w:hAnsi="Times New Roman"/>
          <w:b/>
          <w:color w:val="000000"/>
          <w:sz w:val="20"/>
        </w:rPr>
        <w:t>Exhibit 10.15</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Amendment No. 2 to Service Agreement</w:t>
      </w:r>
    </w:p>
    <w:p>
      <w:pPr>
        <w:pStyle w:val="TextBody"/>
        <w:bidi w:val="0"/>
        <w:spacing w:before="0" w:after="160"/>
        <w:jc w:val="left"/>
        <w:rPr>
          <w:rFonts w:ascii="Times New Roman" w:hAnsi="Times New Roman"/>
          <w:sz w:val="20"/>
        </w:rPr>
      </w:pPr>
      <w:r>
        <w:rPr>
          <w:rFonts w:ascii="Times New Roman" w:hAnsi="Times New Roman"/>
          <w:color w:val="000000"/>
          <w:sz w:val="20"/>
        </w:rPr>
        <w:t>This Amendment No. 2 to Service Agreement (“the “</w:t>
      </w:r>
      <w:r>
        <w:rPr>
          <w:rFonts w:ascii="Times New Roman" w:hAnsi="Times New Roman"/>
          <w:b/>
          <w:color w:val="000000"/>
          <w:sz w:val="20"/>
        </w:rPr>
        <w:t>Amendment</w:t>
      </w:r>
      <w:r>
        <w:rPr>
          <w:rFonts w:ascii="Times New Roman" w:hAnsi="Times New Roman"/>
          <w:color w:val="000000"/>
          <w:sz w:val="20"/>
        </w:rPr>
        <w:t>”) is made and entered into effective as of March 1, 2024 (the “</w:t>
      </w:r>
      <w:r>
        <w:rPr>
          <w:rFonts w:ascii="Times New Roman" w:hAnsi="Times New Roman"/>
          <w:b/>
          <w:color w:val="000000"/>
          <w:sz w:val="20"/>
        </w:rPr>
        <w:t>Amendment Effective Date</w:t>
      </w:r>
      <w:r>
        <w:rPr>
          <w:rFonts w:ascii="Times New Roman" w:hAnsi="Times New Roman"/>
          <w:color w:val="000000"/>
          <w:sz w:val="20"/>
        </w:rPr>
        <w:t>”) by and between InCube Labs, LLC, a Delaware limited liability company (“</w:t>
      </w:r>
      <w:r>
        <w:rPr>
          <w:rFonts w:ascii="Times New Roman" w:hAnsi="Times New Roman"/>
          <w:b/>
          <w:color w:val="000000"/>
          <w:sz w:val="20"/>
        </w:rPr>
        <w:t>InCube</w:t>
      </w:r>
      <w:r>
        <w:rPr>
          <w:rFonts w:ascii="Times New Roman" w:hAnsi="Times New Roman"/>
          <w:color w:val="000000"/>
          <w:sz w:val="20"/>
        </w:rPr>
        <w:t>”), and Rani Therapeutics, LLC, a California limited liability company (“</w:t>
      </w:r>
      <w:r>
        <w:rPr>
          <w:rFonts w:ascii="Times New Roman" w:hAnsi="Times New Roman"/>
          <w:b/>
          <w:color w:val="000000"/>
          <w:sz w:val="20"/>
        </w:rPr>
        <w:t>Rani</w:t>
      </w:r>
      <w:r>
        <w:rPr>
          <w:rFonts w:ascii="Times New Roman" w:hAnsi="Times New Roman"/>
          <w:color w:val="000000"/>
          <w:sz w:val="20"/>
        </w:rPr>
        <w:t>”), each a “Party” and collectively the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160"/>
        <w:jc w:val="left"/>
        <w:rPr>
          <w:rFonts w:ascii="Times New Roman" w:hAnsi="Times New Roman"/>
          <w:sz w:val="20"/>
        </w:rPr>
      </w:pPr>
      <w:r>
        <w:rPr>
          <w:rFonts w:ascii="Times New Roman" w:hAnsi="Times New Roman"/>
          <w:color w:val="000000"/>
          <w:sz w:val="20"/>
        </w:rPr>
        <w:t>WHEREAS, the Parties entered into a Service Agreement effective as of January 1, 2021, amended by Amendment No. 1 to Service Agreement (as amended, the “</w:t>
      </w:r>
      <w:r>
        <w:rPr>
          <w:rFonts w:ascii="Times New Roman" w:hAnsi="Times New Roman"/>
          <w:b/>
          <w:color w:val="000000"/>
          <w:sz w:val="20"/>
        </w:rPr>
        <w:t>Service Agreement</w:t>
      </w:r>
      <w:r>
        <w:rPr>
          <w:rFonts w:ascii="Times New Roman" w:hAnsi="Times New Roman"/>
          <w:color w:val="000000"/>
          <w:sz w:val="20"/>
        </w:rPr>
        <w:t>”) for the purpose of providing and/or receiving certain services between the Parties;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WHEREAS, the Parties desire to amend the Service Agreement as set forth herein;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NOW, THEREFORE, in consideration of the mutual promises contained herein, and intending to be bound hereby, the Parties agree as follows:</w:t>
      </w:r>
    </w:p>
    <w:p>
      <w:pPr>
        <w:pStyle w:val="TextBody"/>
        <w:bidi w:val="0"/>
        <w:spacing w:before="0" w:after="160"/>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160"/>
        <w:jc w:val="left"/>
        <w:rPr/>
      </w:pPr>
      <w:r>
        <w:rPr>
          <w:rFonts w:ascii="Times New Roman" w:hAnsi="Times New Roman"/>
          <w:color w:val="000000"/>
          <w:sz w:val="20"/>
          <w:u w:val="single"/>
        </w:rPr>
        <w:t>Defined Terms</w:t>
      </w:r>
      <w:r>
        <w:rPr>
          <w:rFonts w:ascii="Times New Roman" w:hAnsi="Times New Roman"/>
          <w:color w:val="000000"/>
          <w:sz w:val="20"/>
        </w:rPr>
        <w:t>. Capitalized terms used but not defined in this Amendment shall have the meanings assigned to such terms in the Service Agreement.</w:t>
      </w:r>
    </w:p>
    <w:p>
      <w:pPr>
        <w:pStyle w:val="TextBody"/>
        <w:bidi w:val="0"/>
        <w:spacing w:before="0" w:after="160"/>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160"/>
        <w:jc w:val="left"/>
        <w:rPr/>
      </w:pPr>
      <w:r>
        <w:rPr>
          <w:rFonts w:ascii="Times New Roman" w:hAnsi="Times New Roman"/>
          <w:color w:val="000000"/>
          <w:sz w:val="20"/>
          <w:u w:val="single"/>
        </w:rPr>
        <w:t>Occupancy Services</w:t>
      </w:r>
      <w:r>
        <w:rPr>
          <w:rFonts w:ascii="Times New Roman" w:hAnsi="Times New Roman"/>
          <w:color w:val="000000"/>
          <w:sz w:val="20"/>
        </w:rPr>
        <w:t xml:space="preserve">. The Parties agree that Provider will provide Occupancy Services to Recipient as set forth in Appendix 1 to this Amendment. </w:t>
      </w:r>
    </w:p>
    <w:p>
      <w:pPr>
        <w:pStyle w:val="TextBody"/>
        <w:bidi w:val="0"/>
        <w:spacing w:before="0" w:after="16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160"/>
        <w:jc w:val="left"/>
        <w:rPr/>
      </w:pPr>
      <w:r>
        <w:rPr>
          <w:rFonts w:ascii="Times New Roman" w:hAnsi="Times New Roman"/>
          <w:color w:val="000000"/>
          <w:sz w:val="20"/>
          <w:u w:val="single"/>
        </w:rPr>
        <w:t>Miscellaneous</w:t>
      </w:r>
      <w:r>
        <w:rPr>
          <w:rFonts w:ascii="Times New Roman" w:hAnsi="Times New Roman"/>
          <w:color w:val="000000"/>
          <w:sz w:val="20"/>
        </w:rPr>
        <w:t>. This Amendment may be executed in counterparts, each of which will be deemed an original, but all of which together will be deemed to be one and the same agreement. This Amendment</w:t>
      </w:r>
      <w:r>
        <w:rPr>
          <w:color w:val="333333"/>
        </w:rPr>
        <w:t xml:space="preserve"> </w:t>
      </w:r>
      <w:r>
        <w:rPr>
          <w:rFonts w:ascii="Times New Roman" w:hAnsi="Times New Roman"/>
          <w:color w:val="333333"/>
          <w:sz w:val="20"/>
        </w:rPr>
        <w:t>may be executed by electronic signatures (e.g., using DocuSign or e-SignLive) or signatures transmitted by electronic means (e.g., facsimile, email, pdf format), each of which shall be deemed a valid and enforceable signature and means of delivery</w:t>
      </w:r>
      <w:r>
        <w:rPr>
          <w:rFonts w:ascii="Times New Roman" w:hAnsi="Times New Roman"/>
          <w:color w:val="000000"/>
          <w:sz w:val="20"/>
        </w:rPr>
        <w:t>. Neither Party may assign or otherwise transfer this Amendment except in connection with a permitted assignment of the Service Agreement. Subject to the foregoing, this Amendment shall bind and inure to the benefit of the Parties hereto and their successors and assigns. This Amendment shall be governed by the laws of the state of California without reference to conflict of laws principles. Resolution of any dispute under or related to this Amendment shall be subject to and handled in accordance with the dispute resolutions set forth in Section 15 of the Service Agreement. This Amendment, together with the Service Agreement, contains the entire understanding and agreement between the Parties with respect to the subject matter hereof. Headings are included for convenience only and shall not be used in interpreting this Amendment. If any provision of this Amendment is found to be illegal or unenforceable, the other provisions shall remain effective and enforceable to the greatest extent permitted by law. Any failure to enforce any provision of this Amendment shall not constitute a waiver thereof or of any other provision. This Amendment may not be amended, nor any obligation waived, except by a writing signed by both Parties hereto.</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[signature page immediately follows]</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WITNESS WHEREOF, each Party hereto has caused this Amendment to be signed by its duly authorized representative.</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InCube Labs, LLC Rani Therapeutics, LLC</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Mir Imran </w:t>
      </w:r>
      <w:r>
        <w:rPr>
          <w:rFonts w:ascii="Times New Roman" w:hAnsi="Times New Roman"/>
          <w:color w:val="000000"/>
          <w:sz w:val="20"/>
        </w:rPr>
        <w:t>By:</w:t>
      </w:r>
      <w:r>
        <w:rPr>
          <w:rFonts w:ascii="Times New Roman" w:hAnsi="Times New Roman"/>
          <w:color w:val="000000"/>
          <w:sz w:val="20"/>
          <w:u w:val="single"/>
        </w:rPr>
        <w:t xml:space="preserve"> /s/ Svai Sanford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Name: Mir Imran Name: Svai Sanford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Title: Chairman and CEO Title: Chief Financial Officer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March 15, 2024 Date: March 14, 2024</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Appendix 1 to Exhibit A – Occupancy Services for 518 Sycamore Dr.</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pPr>
      <w:r>
        <w:rPr>
          <w:rFonts w:ascii="Times New Roman" w:hAnsi="Times New Roman"/>
          <w:b/>
          <w:caps/>
          <w:color w:val="000000"/>
          <w:sz w:val="20"/>
        </w:rPr>
        <w:t>Provider</w:t>
      </w:r>
      <w:r>
        <w:rPr>
          <w:rFonts w:ascii="Times New Roman" w:hAnsi="Times New Roman"/>
          <w:color w:val="000000"/>
          <w:sz w:val="20"/>
        </w:rPr>
        <w:t xml:space="preserve">: InCube Labs, LLC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pPr>
      <w:r>
        <w:rPr>
          <w:rFonts w:ascii="Times New Roman" w:hAnsi="Times New Roman"/>
          <w:b/>
          <w:caps/>
          <w:color w:val="000000"/>
          <w:sz w:val="20"/>
        </w:rPr>
        <w:t>Recipient</w:t>
      </w:r>
      <w:r>
        <w:rPr>
          <w:rFonts w:ascii="Times New Roman" w:hAnsi="Times New Roman"/>
          <w:color w:val="000000"/>
          <w:sz w:val="20"/>
        </w:rPr>
        <w:t xml:space="preserve">: Rani Therapeutics, LLC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pPr>
      <w:r>
        <w:rPr>
          <w:rFonts w:ascii="Times New Roman" w:hAnsi="Times New Roman"/>
          <w:b/>
          <w:caps/>
          <w:color w:val="000000"/>
          <w:sz w:val="20"/>
        </w:rPr>
        <w:t>Premises</w:t>
      </w:r>
      <w:r>
        <w:rPr>
          <w:rFonts w:ascii="Times New Roman" w:hAnsi="Times New Roman"/>
          <w:color w:val="000000"/>
          <w:sz w:val="20"/>
        </w:rPr>
        <w:t>: Approximately 11,331 square feet of 20,626 square feet within a building (the “Building”) located at 518 Sycamore Dr., Milpitas, CA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pPr>
      <w:r>
        <w:rPr>
          <w:rFonts w:ascii="Times New Roman" w:hAnsi="Times New Roman"/>
          <w:b/>
          <w:caps/>
          <w:color w:val="000000"/>
          <w:sz w:val="20"/>
        </w:rPr>
        <w:t>COMMENCEMENT</w:t>
      </w:r>
      <w:r>
        <w:rPr>
          <w:rFonts w:ascii="Times New Roman" w:hAnsi="Times New Roman"/>
          <w:color w:val="000000"/>
          <w:sz w:val="20"/>
        </w:rPr>
        <w:t>: The occupancy shall have an effective date of March 1,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pPr>
      <w:r>
        <w:rPr>
          <w:rFonts w:ascii="Times New Roman" w:hAnsi="Times New Roman"/>
          <w:b/>
          <w:caps/>
          <w:color w:val="000000"/>
          <w:sz w:val="20"/>
        </w:rPr>
        <w:t>occupancy</w:t>
      </w:r>
      <w:r>
        <w:rPr>
          <w:rFonts w:ascii="Times New Roman" w:hAnsi="Times New Roman"/>
          <w:smallCaps/>
          <w:color w:val="000000"/>
          <w:sz w:val="20"/>
        </w:rPr>
        <w:t xml:space="preserve">: </w:t>
      </w:r>
      <w:r>
        <w:rPr>
          <w:rFonts w:ascii="Times New Roman" w:hAnsi="Times New Roman"/>
          <w:color w:val="000000"/>
          <w:sz w:val="20"/>
        </w:rPr>
        <w:t xml:space="preserve">Recipient shall occupy on an exclusive basis the portion of the Building that constitutes the Premises, and Recipient shall share use of the common areas of the Building (e.g., two restrooms, kitchen, and lobby) with Provider.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60"/>
        <w:jc w:val="left"/>
        <w:rPr/>
      </w:pPr>
      <w:r>
        <w:rPr>
          <w:rFonts w:ascii="Times New Roman" w:hAnsi="Times New Roman"/>
          <w:b/>
          <w:caps/>
          <w:color w:val="000000"/>
          <w:sz w:val="20"/>
        </w:rPr>
        <w:t>Rent</w:t>
      </w:r>
      <w:r>
        <w:rPr>
          <w:rFonts w:ascii="Times New Roman" w:hAnsi="Times New Roman"/>
          <w:color w:val="000000"/>
          <w:sz w:val="20"/>
        </w:rPr>
        <w:t>: Recipient shall pay $32,750.00 per month for the term. Provider can invoice on a monthly basis.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160"/>
        <w:jc w:val="left"/>
        <w:rPr/>
      </w:pPr>
      <w:r>
        <w:rPr>
          <w:rFonts w:ascii="Times New Roman" w:hAnsi="Times New Roman"/>
          <w:b/>
          <w:caps/>
          <w:color w:val="000000"/>
          <w:sz w:val="20"/>
        </w:rPr>
        <w:t>Parking</w:t>
      </w:r>
      <w:r>
        <w:rPr>
          <w:rFonts w:ascii="Times New Roman" w:hAnsi="Times New Roman"/>
          <w:smallCaps/>
          <w:color w:val="000000"/>
          <w:sz w:val="20"/>
        </w:rPr>
        <w:t xml:space="preserve">: </w:t>
      </w:r>
      <w:r>
        <w:rPr>
          <w:rFonts w:ascii="Times New Roman" w:hAnsi="Times New Roman"/>
          <w:color w:val="000000"/>
          <w:sz w:val="20"/>
        </w:rPr>
        <w:t xml:space="preserve">Recipient shall have the right to use 46 parking spaces on site at no cost for the duration of the Occupancy Services for the Premises.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160"/>
        <w:jc w:val="left"/>
        <w:rPr/>
      </w:pPr>
      <w:r>
        <w:rPr>
          <w:rFonts w:ascii="Times New Roman" w:hAnsi="Times New Roman"/>
          <w:b/>
          <w:caps/>
          <w:color w:val="000000"/>
          <w:sz w:val="20"/>
        </w:rPr>
        <w:t>Use</w:t>
      </w:r>
      <w:r>
        <w:rPr>
          <w:rFonts w:ascii="Times New Roman" w:hAnsi="Times New Roman"/>
          <w:color w:val="000000"/>
          <w:sz w:val="20"/>
        </w:rPr>
        <w:t>: The Premises shall be used and occupied for general office, research and development, light manufacturing, and any such other purposes as are permitted under Provider’s lease.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160"/>
        <w:jc w:val="left"/>
        <w:rPr/>
      </w:pPr>
      <w:r>
        <w:rPr>
          <w:rFonts w:ascii="Times New Roman" w:hAnsi="Times New Roman"/>
          <w:b/>
          <w:color w:val="000000"/>
          <w:sz w:val="20"/>
        </w:rPr>
        <w:t>TERM</w:t>
      </w:r>
      <w:r>
        <w:rPr>
          <w:rFonts w:ascii="Times New Roman" w:hAnsi="Times New Roman"/>
          <w:color w:val="000000"/>
          <w:sz w:val="20"/>
        </w:rPr>
        <w:t>: The term shall be March 1, 2024 through August 31, 2024.</w:t>
      </w:r>
      <w:r>
        <w:rPr>
          <w:color w:val="00000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160"/>
        <w:jc w:val="left"/>
        <w:rPr/>
      </w:pPr>
      <w:r>
        <w:rPr>
          <w:rFonts w:ascii="Times New Roman" w:hAnsi="Times New Roman"/>
          <w:b/>
          <w:caps/>
          <w:color w:val="000000"/>
          <w:sz w:val="20"/>
        </w:rPr>
        <w:t>OPERATING EXPENSES</w:t>
      </w:r>
      <w:r>
        <w:rPr>
          <w:rFonts w:ascii="Times New Roman" w:hAnsi="Times New Roman"/>
          <w:color w:val="000000"/>
          <w:sz w:val="20"/>
        </w:rPr>
        <w:t xml:space="preserve">: Recipient shall pay a common area maintenance charge of $0.25 per square foot per month, which is subject to true up (based on Recipient’s pro rata percentage of the overall leased space (“Recipient’s Share”)) and landlord adjustment. Any adjustment to the charge by the landlord will be passed through based on Recipient’s Share.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160"/>
        <w:jc w:val="left"/>
        <w:rPr/>
      </w:pPr>
      <w:r>
        <w:rPr>
          <w:rFonts w:ascii="Times New Roman" w:hAnsi="Times New Roman"/>
          <w:b/>
          <w:caps/>
          <w:color w:val="000000"/>
          <w:sz w:val="20"/>
        </w:rPr>
        <w:t>Shared COSTs</w:t>
      </w:r>
      <w:r>
        <w:rPr>
          <w:rFonts w:ascii="Times New Roman" w:hAnsi="Times New Roman"/>
          <w:smallCaps/>
          <w:color w:val="000000"/>
          <w:sz w:val="20"/>
        </w:rPr>
        <w:t>:</w:t>
      </w:r>
      <w:r>
        <w:rPr>
          <w:color w:val="000000"/>
        </w:rPr>
        <w:t xml:space="preserve"> </w:t>
      </w:r>
      <w:r>
        <w:rPr>
          <w:rFonts w:ascii="Times New Roman" w:hAnsi="Times New Roman"/>
          <w:color w:val="000000"/>
          <w:sz w:val="20"/>
        </w:rPr>
        <w:t>Recipient shall bear Recipient’s Share and Provider shall bear Provider’s Share of third-party service Shared Costs, except that the cost of office supplies shall be shared between Provider and Recipient based on estimated usage, considering the number of people of each party in the Building utilizing office supplies and the nature of the work performed by each party in the Building.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160"/>
        <w:jc w:val="left"/>
        <w:rPr/>
      </w:pPr>
      <w:r>
        <w:rPr>
          <w:rFonts w:ascii="Times New Roman" w:hAnsi="Times New Roman"/>
          <w:b/>
          <w:caps/>
          <w:color w:val="000000"/>
          <w:sz w:val="20"/>
        </w:rPr>
        <w:t>Storage:</w:t>
      </w:r>
      <w:r>
        <w:rPr>
          <w:color w:val="000000"/>
        </w:rPr>
        <w:t xml:space="preserve"> </w:t>
      </w:r>
      <w:r>
        <w:rPr>
          <w:rFonts w:ascii="Times New Roman" w:hAnsi="Times New Roman"/>
          <w:color w:val="000000"/>
          <w:sz w:val="20"/>
        </w:rPr>
        <w:t xml:space="preserve">Provider rents certain storage space near the Premises. Recipient shall have a right to utilize such storage space and agrees to pay the rental fee for such storage space for the current term plus one month.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160"/>
        <w:jc w:val="left"/>
        <w:rPr/>
      </w:pPr>
      <w:r>
        <w:rPr>
          <w:rFonts w:ascii="Times New Roman" w:hAnsi="Times New Roman"/>
          <w:b/>
          <w:caps/>
          <w:color w:val="000000"/>
          <w:sz w:val="20"/>
        </w:rPr>
        <w:t>Equipment</w:t>
      </w:r>
      <w:r>
        <w:rPr>
          <w:rFonts w:ascii="Times New Roman" w:hAnsi="Times New Roman"/>
          <w:color w:val="000000"/>
          <w:sz w:val="20"/>
        </w:rPr>
        <w:t xml:space="preserve">: Provider will permit Recipient to use the equipment located at the Premises (for clarity, excluding equipment in the Building used within the business of Modulus in the ordinary course) without additional charge, including without limitation, lab tables, microscopes, and other equipment (ovens, etc.), cubicles, monitors, docking stations, and printers.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160"/>
        <w:jc w:val="left"/>
        <w:rPr/>
      </w:pPr>
      <w:r>
        <w:rPr>
          <w:rFonts w:ascii="Times New Roman" w:hAnsi="Times New Roman"/>
          <w:b/>
          <w:color w:val="000000"/>
          <w:sz w:val="20"/>
        </w:rPr>
        <w:t>TRUE-UP</w:t>
      </w:r>
      <w:r>
        <w:rPr>
          <w:rFonts w:ascii="Times New Roman" w:hAnsi="Times New Roman"/>
          <w:color w:val="000000"/>
          <w:sz w:val="20"/>
        </w:rPr>
        <w:t>: Recipient will be billed at the end of the term (August 31, 2024) for the Recipient’s portion of the true-up of CAM (common area maintenance) charges that the Provider is billed by Provider’s landlord.</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rani-ex10_17.htm"/>
      <w:bookmarkStart w:id="37" w:name="ksraniex10_17"/>
      <w:bookmarkEnd w:id="36"/>
      <w:bookmarkEnd w:id="37"/>
      <w:r>
        <w:rPr>
          <w:rFonts w:ascii="Times New Roman" w:hAnsi="Times New Roman"/>
          <w:b/>
          <w:color w:val="000000"/>
          <w:sz w:val="20"/>
        </w:rPr>
        <w:t>Exhibit 10.17</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Amendment No. 1 to RMS Service Agreement</w:t>
      </w:r>
    </w:p>
    <w:p>
      <w:pPr>
        <w:pStyle w:val="TextBody"/>
        <w:bidi w:val="0"/>
        <w:spacing w:before="0" w:after="160"/>
        <w:jc w:val="left"/>
        <w:rPr>
          <w:rFonts w:ascii="Times New Roman" w:hAnsi="Times New Roman"/>
          <w:sz w:val="20"/>
        </w:rPr>
      </w:pPr>
      <w:r>
        <w:rPr>
          <w:rFonts w:ascii="Times New Roman" w:hAnsi="Times New Roman"/>
          <w:color w:val="000000"/>
          <w:sz w:val="20"/>
        </w:rPr>
        <w:t>This Amendment No. 1 to Service Agreement (“the “</w:t>
      </w:r>
      <w:r>
        <w:rPr>
          <w:rFonts w:ascii="Times New Roman" w:hAnsi="Times New Roman"/>
          <w:b/>
          <w:color w:val="000000"/>
          <w:sz w:val="20"/>
        </w:rPr>
        <w:t>Amendment</w:t>
      </w:r>
      <w:r>
        <w:rPr>
          <w:rFonts w:ascii="Times New Roman" w:hAnsi="Times New Roman"/>
          <w:color w:val="000000"/>
          <w:sz w:val="20"/>
        </w:rPr>
        <w:t>”) is made and entered into as of the date of the last signature below (the “</w:t>
      </w:r>
      <w:r>
        <w:rPr>
          <w:rFonts w:ascii="Times New Roman" w:hAnsi="Times New Roman"/>
          <w:b/>
          <w:color w:val="000000"/>
          <w:sz w:val="20"/>
        </w:rPr>
        <w:t>Amendment Effective Date</w:t>
      </w:r>
      <w:r>
        <w:rPr>
          <w:rFonts w:ascii="Times New Roman" w:hAnsi="Times New Roman"/>
          <w:color w:val="000000"/>
          <w:sz w:val="20"/>
        </w:rPr>
        <w:t>”) by and between InCube Labs, LLC, a Delaware limited liability company (“</w:t>
      </w:r>
      <w:r>
        <w:rPr>
          <w:rFonts w:ascii="Times New Roman" w:hAnsi="Times New Roman"/>
          <w:b/>
          <w:color w:val="000000"/>
          <w:sz w:val="20"/>
        </w:rPr>
        <w:t>InCube</w:t>
      </w:r>
      <w:r>
        <w:rPr>
          <w:rFonts w:ascii="Times New Roman" w:hAnsi="Times New Roman"/>
          <w:color w:val="000000"/>
          <w:sz w:val="20"/>
        </w:rPr>
        <w:t>”), and Rani Therapeutics, LLC, a California limited liability company (“</w:t>
      </w:r>
      <w:r>
        <w:rPr>
          <w:rFonts w:ascii="Times New Roman" w:hAnsi="Times New Roman"/>
          <w:b/>
          <w:color w:val="000000"/>
          <w:sz w:val="20"/>
        </w:rPr>
        <w:t>Rani</w:t>
      </w:r>
      <w:r>
        <w:rPr>
          <w:rFonts w:ascii="Times New Roman" w:hAnsi="Times New Roman"/>
          <w:color w:val="000000"/>
          <w:sz w:val="20"/>
        </w:rPr>
        <w:t>”), each a “Party” and collectively the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160"/>
        <w:jc w:val="left"/>
        <w:rPr>
          <w:rFonts w:ascii="Times New Roman" w:hAnsi="Times New Roman"/>
          <w:sz w:val="20"/>
        </w:rPr>
      </w:pPr>
      <w:r>
        <w:rPr>
          <w:rFonts w:ascii="Times New Roman" w:hAnsi="Times New Roman"/>
          <w:color w:val="000000"/>
          <w:sz w:val="20"/>
        </w:rPr>
        <w:t>WHEREAS, InCube and Rani Management Services, Inc. (“</w:t>
      </w:r>
      <w:r>
        <w:rPr>
          <w:rFonts w:ascii="Times New Roman" w:hAnsi="Times New Roman"/>
          <w:b/>
          <w:color w:val="000000"/>
          <w:sz w:val="20"/>
        </w:rPr>
        <w:t>RMS</w:t>
      </w:r>
      <w:r>
        <w:rPr>
          <w:rFonts w:ascii="Times New Roman" w:hAnsi="Times New Roman"/>
          <w:color w:val="000000"/>
          <w:sz w:val="20"/>
        </w:rPr>
        <w:t>”) entered into a Service Agreement effective as of January 1, 2021 (the “</w:t>
      </w:r>
      <w:r>
        <w:rPr>
          <w:rFonts w:ascii="Times New Roman" w:hAnsi="Times New Roman"/>
          <w:b/>
          <w:color w:val="000000"/>
          <w:sz w:val="20"/>
        </w:rPr>
        <w:t>Service Agreement</w:t>
      </w:r>
      <w:r>
        <w:rPr>
          <w:rFonts w:ascii="Times New Roman" w:hAnsi="Times New Roman"/>
          <w:color w:val="000000"/>
          <w:sz w:val="20"/>
        </w:rPr>
        <w:t>”) for the purpose of providing and/or receiving certain services between the Parties;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WHEREAS, RMS assigned to Rani, and Rani assumed from RMS, the Service Agreement pursuant to an Assignment and Assumption Agreement made and effective as of April 1, 2022;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WHEREAS, the Parties desire to amend the Service Agreement as set forth herein;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NOW, THEREFORE, in consideration of the mutual promises contained herein, and intending to be bound hereby, the Parties agree as follows: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160"/>
        <w:jc w:val="left"/>
        <w:rPr/>
      </w:pPr>
      <w:r>
        <w:rPr>
          <w:rFonts w:ascii="Times New Roman" w:hAnsi="Times New Roman"/>
          <w:color w:val="000000"/>
          <w:sz w:val="20"/>
          <w:u w:val="single"/>
        </w:rPr>
        <w:t>Defined Terms</w:t>
      </w:r>
      <w:r>
        <w:rPr>
          <w:rFonts w:ascii="Times New Roman" w:hAnsi="Times New Roman"/>
          <w:color w:val="000000"/>
          <w:sz w:val="20"/>
        </w:rPr>
        <w:t>. Capitalized terms used but not defined in this Amendment shall have the meanings assigned to such terms in the Service Agreement.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160"/>
        <w:jc w:val="left"/>
        <w:rPr/>
      </w:pPr>
      <w:r>
        <w:rPr>
          <w:rFonts w:ascii="Times New Roman" w:hAnsi="Times New Roman"/>
          <w:color w:val="000000"/>
          <w:sz w:val="20"/>
          <w:u w:val="single"/>
        </w:rPr>
        <w:t>Occupancy Services</w:t>
      </w:r>
      <w:r>
        <w:rPr>
          <w:rFonts w:ascii="Times New Roman" w:hAnsi="Times New Roman"/>
          <w:color w:val="000000"/>
          <w:sz w:val="20"/>
        </w:rPr>
        <w:t>. Effective as of the Amendment Effective Date, Exhibit A of the Service Agreement is hereby amended by replacing Exhibit A of the Service Agreement with Exhibit A attached to this Amendment.</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Miscellaneous</w:t>
      </w:r>
      <w:r>
        <w:rPr>
          <w:rFonts w:ascii="Times New Roman" w:hAnsi="Times New Roman"/>
          <w:color w:val="000000"/>
          <w:sz w:val="20"/>
        </w:rPr>
        <w:t>. This Amendment may be executed in counterparts, each of which will be deemed an original, but all of which together will be deemed to be one and the same agreement. This Amendment</w:t>
      </w:r>
      <w:r>
        <w:rPr>
          <w:rFonts w:ascii="Times New Roman" w:hAnsi="Times New Roman"/>
          <w:color w:val="333333"/>
          <w:sz w:val="20"/>
        </w:rPr>
        <w:t xml:space="preserve"> may be executed by electronic signatures (e.g., using DocuSign or e-SignLive) or signatures transmitted by electronic means (e.g., facsimile, email, pdf format), each of which shall be deemed a valid and enforceable signature and means of delivery</w:t>
      </w:r>
      <w:r>
        <w:rPr>
          <w:rFonts w:ascii="Times New Roman" w:hAnsi="Times New Roman"/>
          <w:color w:val="000000"/>
          <w:sz w:val="20"/>
        </w:rPr>
        <w:t xml:space="preserve">. Neither Party may assign or otherwise transfer this Amendment except in connection with a permitted assignment of the Service Agreement. Subject to the foregoing, this Amendment shall bind and inure to the benefit of the Parties hereto and their successors and assigns. This Amendment shall be governed by the laws of the state of California without reference to conflict of laws principles. Resolution of any dispute under or related to this Amendment shall be subject to and handled in accordance with the dispute resolutions set forth in Section 15 of the Service Agreement. This Amendment, together with the Service Agreement, contains the entire understanding and agreement between the Parties with respect to the subject matter hereof. Headings are included for convenience only and shall not be used in interpreting this Amendment. If any provision of this Amendment is found to be illegal or unenforceable, the other provisions shall remain effective and enforceable to the greatest extent permitted by law. Any failure to enforce any provision of this Amendment shall not constitute a waiver thereof or of any other provision. This Amendment may not be amended, nor any obligation waived, except by a writing signed by both Parties hereto.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WITNESS WHEREOF, each Party hereto has caused this Amendment to be signed by its duly authorized representative.</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InCube Labs, LLC Rani Therapeutics, LLC</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Mir Imran </w:t>
      </w:r>
      <w:r>
        <w:rPr>
          <w:rFonts w:ascii="Times New Roman" w:hAnsi="Times New Roman"/>
          <w:color w:val="000000"/>
          <w:sz w:val="20"/>
        </w:rPr>
        <w:t>By:</w:t>
      </w:r>
      <w:r>
        <w:rPr>
          <w:rFonts w:ascii="Times New Roman" w:hAnsi="Times New Roman"/>
          <w:color w:val="000000"/>
          <w:sz w:val="20"/>
          <w:u w:val="single"/>
        </w:rPr>
        <w:t xml:space="preserve"> /s/ Svai Sanford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Name: Mir Imran Name: Svai Sanford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Title: Chairman and CEO Title: Chief Financial Officer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March 15, 2024 Date: March 14,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Exhibit-A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Service Rates –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modification to, or replacement of, this Exhibit A must be made in accordance with Section 16.2 of this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Definitions:</w:t>
      </w:r>
    </w:p>
    <w:p>
      <w:pPr>
        <w:pStyle w:val="TextBody"/>
        <w:bidi w:val="0"/>
        <w:spacing w:before="120" w:after="283"/>
        <w:jc w:val="left"/>
        <w:rPr>
          <w:rFonts w:ascii="Times New Roman" w:hAnsi="Times New Roman"/>
          <w:sz w:val="20"/>
        </w:rPr>
      </w:pPr>
      <w:r>
        <w:rPr>
          <w:rFonts w:ascii="Times New Roman" w:hAnsi="Times New Roman"/>
          <w:color w:val="000000"/>
          <w:sz w:val="20"/>
        </w:rPr>
        <w:t> The “</w:t>
      </w:r>
      <w:r>
        <w:rPr>
          <w:rFonts w:ascii="Times New Roman" w:hAnsi="Times New Roman"/>
          <w:b/>
          <w:color w:val="000000"/>
          <w:sz w:val="20"/>
        </w:rPr>
        <w:t>InCube Facility</w:t>
      </w:r>
      <w:r>
        <w:rPr>
          <w:rFonts w:ascii="Times New Roman" w:hAnsi="Times New Roman"/>
          <w:color w:val="000000"/>
          <w:sz w:val="20"/>
        </w:rPr>
        <w:t>” is the building and grounds (including parking spaces) at 2051 Ringwood Ave., San Jose, CA 95131.</w:t>
      </w:r>
    </w:p>
    <w:p>
      <w:pPr>
        <w:pStyle w:val="TextBody"/>
        <w:bidi w:val="0"/>
        <w:spacing w:before="120" w:after="283"/>
        <w:jc w:val="left"/>
        <w:rPr>
          <w:rFonts w:ascii="Times New Roman" w:hAnsi="Times New Roman"/>
          <w:sz w:val="20"/>
        </w:rPr>
      </w:pPr>
      <w:r>
        <w:rPr>
          <w:rFonts w:ascii="Times New Roman" w:hAnsi="Times New Roman"/>
          <w:color w:val="000000"/>
          <w:sz w:val="20"/>
        </w:rPr>
        <w:t> “</w:t>
      </w:r>
      <w:r>
        <w:rPr>
          <w:rFonts w:ascii="Times New Roman" w:hAnsi="Times New Roman"/>
          <w:b/>
          <w:color w:val="000000"/>
          <w:sz w:val="20"/>
        </w:rPr>
        <w:t>Markup</w:t>
      </w:r>
      <w:r>
        <w:rPr>
          <w:rFonts w:ascii="Times New Roman" w:hAnsi="Times New Roman"/>
          <w:color w:val="000000"/>
          <w:sz w:val="20"/>
        </w:rPr>
        <w:t>” = 25% = 0.25</w:t>
      </w:r>
    </w:p>
    <w:p>
      <w:pPr>
        <w:pStyle w:val="TextBody"/>
        <w:bidi w:val="0"/>
        <w:spacing w:before="120" w:after="283"/>
        <w:jc w:val="left"/>
        <w:rPr>
          <w:rFonts w:ascii="Times New Roman" w:hAnsi="Times New Roman"/>
          <w:sz w:val="20"/>
        </w:rPr>
      </w:pPr>
      <w:r>
        <w:rPr>
          <w:rFonts w:ascii="Times New Roman" w:hAnsi="Times New Roman"/>
          <w:color w:val="000000"/>
          <w:sz w:val="20"/>
        </w:rPr>
        <w:t> “</w:t>
      </w:r>
      <w:r>
        <w:rPr>
          <w:rFonts w:ascii="Times New Roman" w:hAnsi="Times New Roman"/>
          <w:b/>
          <w:color w:val="000000"/>
          <w:sz w:val="20"/>
        </w:rPr>
        <w:t>Fringe</w:t>
      </w:r>
      <w:r>
        <w:rPr>
          <w:rFonts w:ascii="Times New Roman" w:hAnsi="Times New Roman"/>
          <w:color w:val="000000"/>
          <w:sz w:val="20"/>
        </w:rPr>
        <w:t>” = 22% = 0.22</w:t>
      </w:r>
    </w:p>
    <w:p>
      <w:pPr>
        <w:pStyle w:val="TextBody"/>
        <w:bidi w:val="0"/>
        <w:spacing w:before="120" w:after="283"/>
        <w:jc w:val="left"/>
        <w:rPr>
          <w:rFonts w:ascii="Times New Roman" w:hAnsi="Times New Roman"/>
          <w:sz w:val="20"/>
        </w:rPr>
      </w:pPr>
      <w:r>
        <w:rPr>
          <w:rFonts w:ascii="Times New Roman" w:hAnsi="Times New Roman"/>
          <w:color w:val="000000"/>
          <w:sz w:val="20"/>
        </w:rPr>
        <w:t> “</w:t>
      </w:r>
      <w:r>
        <w:rPr>
          <w:rFonts w:ascii="Times New Roman" w:hAnsi="Times New Roman"/>
          <w:b/>
          <w:color w:val="000000"/>
          <w:sz w:val="20"/>
        </w:rPr>
        <w:t>Hourly Billing Rate</w:t>
      </w:r>
      <w:r>
        <w:rPr>
          <w:rFonts w:ascii="Times New Roman" w:hAnsi="Times New Roman"/>
          <w:color w:val="000000"/>
          <w:sz w:val="20"/>
        </w:rPr>
        <w:t>”:</w:t>
      </w:r>
    </w:p>
    <w:tbl>
      <w:tblPr>
        <w:tblW w:w="7273" w:type="dxa"/>
        <w:jc w:val="left"/>
        <w:tblInd w:w="0" w:type="dxa"/>
        <w:tblLayout w:type="fixed"/>
        <w:tblCellMar>
          <w:top w:w="28" w:type="dxa"/>
          <w:left w:w="28" w:type="dxa"/>
          <w:bottom w:w="28" w:type="dxa"/>
          <w:right w:w="28" w:type="dxa"/>
        </w:tblCellMar>
      </w:tblPr>
      <w:tblGrid>
        <w:gridCol w:w="124"/>
        <w:gridCol w:w="109"/>
        <w:gridCol w:w="109"/>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salaried employees, Hourly Billing Rate = (salary/2080) x (1 + Markup + Fringe)</w:t>
            </w:r>
          </w:p>
        </w:tc>
      </w:tr>
    </w:tbl>
    <w:tbl>
      <w:tblPr>
        <w:tblW w:w="7228" w:type="dxa"/>
        <w:jc w:val="left"/>
        <w:tblInd w:w="0" w:type="dxa"/>
        <w:tblLayout w:type="fixed"/>
        <w:tblCellMar>
          <w:top w:w="28" w:type="dxa"/>
          <w:left w:w="28" w:type="dxa"/>
          <w:bottom w:w="28" w:type="dxa"/>
          <w:right w:w="28" w:type="dxa"/>
        </w:tblCellMar>
      </w:tblPr>
      <w:tblGrid>
        <w:gridCol w:w="124"/>
        <w:gridCol w:w="109"/>
        <w:gridCol w:w="109"/>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hourly employees, Hourly Billing Rate = (hourly wage) x (1 + Markup + Fringe)</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w:t>
      </w:r>
      <w:r>
        <w:rPr>
          <w:rFonts w:ascii="Times New Roman" w:hAnsi="Times New Roman"/>
          <w:b/>
          <w:color w:val="000000"/>
          <w:sz w:val="20"/>
        </w:rPr>
        <w:t>Actual Hours</w:t>
      </w:r>
      <w:r>
        <w:rPr>
          <w:rFonts w:ascii="Times New Roman" w:hAnsi="Times New Roman"/>
          <w:color w:val="000000"/>
          <w:sz w:val="20"/>
        </w:rPr>
        <w:t>” = actual hours incurred by Provider’s employees on the requested Services, limited for salaried employees to 40 hours total per week per individual for all provided Services combined; and PTO, Flex, sick, holiday, bereavement, jury duty, or other time-off hours are not to be included in Actual Hours</w:t>
      </w:r>
    </w:p>
    <w:tbl>
      <w:tblPr>
        <w:tblW w:w="10205" w:type="dxa"/>
        <w:jc w:val="left"/>
        <w:tblInd w:w="0" w:type="dxa"/>
        <w:tblLayout w:type="fixed"/>
        <w:tblCellMar>
          <w:top w:w="28" w:type="dxa"/>
          <w:left w:w="28" w:type="dxa"/>
          <w:bottom w:w="28" w:type="dxa"/>
          <w:right w:w="28" w:type="dxa"/>
        </w:tblCellMar>
      </w:tblPr>
      <w:tblGrid>
        <w:gridCol w:w="1066"/>
        <w:gridCol w:w="146"/>
        <w:gridCol w:w="8993"/>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283"/>
              <w:jc w:val="left"/>
              <w:rPr/>
            </w:pPr>
            <w:r>
              <w:rPr/>
              <w:t> </w:t>
            </w:r>
          </w:p>
        </w:tc>
      </w:tr>
      <w:tr>
        <w:trPr/>
        <w:tc>
          <w:tcPr>
            <w:tcW w:w="1066" w:type="dxa"/>
            <w:tcBorders/>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Service</w:t>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Obligations; Charges</w:t>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Occupancy</w:t>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effective date for Occupancy Services is January 1, 2024.</w:t>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jc w:val="left"/>
              <w:rPr>
                <w:rFonts w:ascii="Times New Roman" w:hAnsi="Times New Roman"/>
                <w:sz w:val="20"/>
              </w:rPr>
            </w:pPr>
            <w:r>
              <w:rPr>
                <w:rFonts w:ascii="Times New Roman" w:hAnsi="Times New Roman"/>
                <w:color w:val="000000"/>
                <w:sz w:val="20"/>
                <w:u w:val="single"/>
              </w:rPr>
              <w:t>Premises</w:t>
            </w:r>
            <w:r>
              <w:rPr>
                <w:rFonts w:ascii="Times New Roman" w:hAnsi="Times New Roman"/>
                <w:color w:val="000000"/>
                <w:sz w:val="20"/>
              </w:rPr>
              <w:t>: InCube will make available to Rani Therapeutics, LLC (“</w:t>
            </w:r>
            <w:r>
              <w:rPr>
                <w:rFonts w:ascii="Times New Roman" w:hAnsi="Times New Roman"/>
                <w:b/>
                <w:color w:val="000000"/>
                <w:sz w:val="20"/>
              </w:rPr>
              <w:t>Rani</w:t>
            </w:r>
            <w:r>
              <w:rPr>
                <w:rFonts w:ascii="Times New Roman" w:hAnsi="Times New Roman"/>
                <w:color w:val="000000"/>
                <w:sz w:val="20"/>
              </w:rPr>
              <w:t>”) as its Exclusive Portion approximately 24,000 square feet of the InCube Facility (including offices, work cubicles, laboratories, and manufacturing areas), which constitutes the entire InCube Facility. There will be no Shared Portion.</w:t>
            </w:r>
          </w:p>
          <w:p>
            <w:pPr>
              <w:pStyle w:val="TableContents"/>
              <w:bidi w:val="0"/>
              <w:spacing w:before="0" w:after="20"/>
              <w:jc w:val="left"/>
              <w:rPr>
                <w:rFonts w:ascii="Times New Roman" w:hAnsi="Times New Roman"/>
                <w:sz w:val="20"/>
              </w:rPr>
            </w:pPr>
            <w:r>
              <w:rPr>
                <w:rFonts w:ascii="Times New Roman" w:hAnsi="Times New Roman"/>
                <w:color w:val="000000"/>
                <w:sz w:val="20"/>
                <w:u w:val="single"/>
              </w:rPr>
              <w:t>Invoice</w:t>
            </w:r>
            <w:r>
              <w:rPr>
                <w:rFonts w:ascii="Times New Roman" w:hAnsi="Times New Roman"/>
                <w:color w:val="000000"/>
                <w:sz w:val="20"/>
              </w:rPr>
              <w:t>: InCube can invoice to Rani an amount equal to $60,000 per month (calculated at $2.50 per square foot).</w:t>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jc w:val="left"/>
              <w:rPr>
                <w:rFonts w:ascii="Times New Roman" w:hAnsi="Times New Roman"/>
                <w:sz w:val="20"/>
              </w:rPr>
            </w:pPr>
            <w:r>
              <w:rPr>
                <w:rFonts w:ascii="Times New Roman" w:hAnsi="Times New Roman"/>
                <w:color w:val="000000"/>
                <w:sz w:val="20"/>
                <w:u w:val="single"/>
              </w:rPr>
              <w:t>Tax and insurance</w:t>
            </w:r>
            <w:r>
              <w:rPr>
                <w:rFonts w:ascii="Times New Roman" w:hAnsi="Times New Roman"/>
                <w:color w:val="000000"/>
                <w:sz w:val="20"/>
              </w:rPr>
              <w:t>: Rani will pay to InCube the insurance and real property tax on the InCube Facility. Real property tax includes any charge, levy, assessment, or fee imposed by any authority having direct or indirect power to tax, including, without limitation, any city, county, state or federal government, or any improvement district.</w:t>
            </w:r>
          </w:p>
          <w:p>
            <w:pPr>
              <w:pStyle w:val="TableContents"/>
              <w:bidi w:val="0"/>
              <w:spacing w:before="0" w:after="20"/>
              <w:jc w:val="left"/>
              <w:rPr>
                <w:rFonts w:ascii="Times New Roman" w:hAnsi="Times New Roman"/>
                <w:sz w:val="20"/>
              </w:rPr>
            </w:pPr>
            <w:r>
              <w:rPr>
                <w:rFonts w:ascii="Times New Roman" w:hAnsi="Times New Roman"/>
                <w:color w:val="000000"/>
                <w:sz w:val="20"/>
                <w:u w:val="single"/>
              </w:rPr>
              <w:t>Invoice</w:t>
            </w:r>
            <w:r>
              <w:rPr>
                <w:rFonts w:ascii="Times New Roman" w:hAnsi="Times New Roman"/>
                <w:color w:val="000000"/>
                <w:sz w:val="20"/>
              </w:rPr>
              <w:t>: InCube can invoice to Rani an amount equal to $7,600 per month initially. The Parties will true-up the actual tax and insurance at least quarterly and may then adjust the monthly payment to reflect estimated costs for the next quarter.</w:t>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Additional parking</w:t>
            </w:r>
            <w:r>
              <w:rPr>
                <w:rFonts w:ascii="Times New Roman" w:hAnsi="Times New Roman"/>
                <w:color w:val="000000"/>
                <w:sz w:val="20"/>
              </w:rPr>
              <w:t>: InCube will provide Rani with extended parking capability under the parking license agreement between InCube and McNeal Enterprises, Inc. (“</w:t>
            </w:r>
            <w:r>
              <w:rPr>
                <w:rFonts w:ascii="Times New Roman" w:hAnsi="Times New Roman"/>
                <w:b/>
                <w:color w:val="000000"/>
                <w:sz w:val="20"/>
              </w:rPr>
              <w:t>McNeal</w:t>
            </w:r>
            <w:r>
              <w:rPr>
                <w:rFonts w:ascii="Times New Roman" w:hAnsi="Times New Roman"/>
                <w:color w:val="000000"/>
                <w:sz w:val="20"/>
              </w:rPr>
              <w:t>”). RMS and InCube executed a Parking Agreement dated January 1, 2021, which was assigned by RMS to Rani effective July 1, 2022 pursuant to an Assignment and Assumption Agreement. Rani will directly pay McNeal the sum of $1,850 per month, and Rani agrees to pay any increased amount that may be charged by McNeal, or any additional amount McNeal may charge for additional parking spaces that may be requested by Rani. Time of access to the extended parking may be limited by McNeal as acknowledged by Rani.</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384"/>
        <w:gridCol w:w="109"/>
        <w:gridCol w:w="7712"/>
      </w:tblGrid>
      <w:tr>
        <w:trPr/>
        <w:tc>
          <w:tcPr>
            <w:tcW w:w="2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2" w:type="dxa"/>
            <w:tcBorders/>
            <w:vAlign w:val="center"/>
          </w:tcPr>
          <w:p>
            <w:pPr>
              <w:pStyle w:val="TableContents"/>
              <w:bidi w:val="0"/>
              <w:spacing w:before="0" w:after="283"/>
              <w:jc w:val="left"/>
              <w:rPr>
                <w:sz w:val="4"/>
                <w:szCs w:val="4"/>
              </w:rPr>
            </w:pPr>
            <w:r>
              <w:rPr>
                <w:sz w:val="4"/>
                <w:szCs w:val="4"/>
              </w:rPr>
            </w:r>
          </w:p>
        </w:tc>
      </w:tr>
      <w:tr>
        <w:trPr/>
        <w:tc>
          <w:tcPr>
            <w:tcW w:w="2384" w:type="dxa"/>
            <w:tcBorders/>
            <w:shd w:fill="FFFFFF" w:val="clear"/>
            <w:vAlign w:val="center"/>
          </w:tcPr>
          <w:p>
            <w:pPr>
              <w:pStyle w:val="TableContents"/>
              <w:bidi w:val="0"/>
              <w:spacing w:before="0" w:after="283"/>
              <w:jc w:val="left"/>
              <w:rPr/>
            </w:pPr>
            <w:r>
              <w:rPr/>
              <w:t> </w:t>
            </w:r>
          </w:p>
        </w:tc>
        <w:tc>
          <w:tcPr>
            <w:tcW w:w="7821" w:type="dxa"/>
            <w:gridSpan w:val="2"/>
            <w:tcBorders/>
            <w:shd w:fill="FFFFFF"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Administrative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 specified.</w:t>
            </w:r>
          </w:p>
        </w:tc>
      </w:tr>
      <w:tr>
        <w:trPr/>
        <w:tc>
          <w:tcPr>
            <w:tcW w:w="2384" w:type="dxa"/>
            <w:tcBorders/>
            <w:shd w:fill="FFFFFF" w:val="clear"/>
            <w:vAlign w:val="center"/>
          </w:tcPr>
          <w:p>
            <w:pPr>
              <w:pStyle w:val="TableContents"/>
              <w:bidi w:val="0"/>
              <w:spacing w:before="0" w:after="283"/>
              <w:jc w:val="left"/>
              <w:rPr/>
            </w:pPr>
            <w:r>
              <w:rPr/>
              <w:t> </w:t>
            </w:r>
          </w:p>
        </w:tc>
        <w:tc>
          <w:tcPr>
            <w:tcW w:w="7821" w:type="dxa"/>
            <w:gridSpan w:val="2"/>
            <w:tcBorders/>
            <w:shd w:fill="FFFFFF"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(other than Administrative)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2"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Rani may provide Personnel Services to InCube upon request subject to availability of resources.</w:t>
            </w:r>
          </w:p>
          <w:p>
            <w:pPr>
              <w:pStyle w:val="TableContents"/>
              <w:bidi w:val="0"/>
              <w:jc w:val="left"/>
              <w:rPr>
                <w:rFonts w:ascii="Times New Roman" w:hAnsi="Times New Roman"/>
                <w:sz w:val="20"/>
              </w:rPr>
            </w:pPr>
            <w:r>
              <w:rPr>
                <w:rFonts w:ascii="Times New Roman" w:hAnsi="Times New Roman"/>
                <w:color w:val="000000"/>
                <w:sz w:val="20"/>
                <w:u w:val="single"/>
              </w:rPr>
              <w:t>Invoice</w:t>
            </w:r>
            <w:r>
              <w:rPr>
                <w:rFonts w:ascii="Times New Roman" w:hAnsi="Times New Roman"/>
                <w:color w:val="000000"/>
                <w:sz w:val="20"/>
              </w:rPr>
              <w:t>:</w:t>
            </w:r>
          </w:p>
          <w:p>
            <w:pPr>
              <w:pStyle w:val="TableContents"/>
              <w:pBdr/>
              <w:bidi w:val="0"/>
              <w:ind w:left="120" w:right="0" w:hanging="360"/>
              <w:jc w:val="left"/>
              <w:rPr>
                <w:rFonts w:ascii="Times New Roman" w:hAnsi="Times New Roman"/>
                <w:color w:val="000000"/>
                <w:sz w:val="20"/>
              </w:rPr>
            </w:pPr>
            <w:r>
              <w:rPr>
                <w:rFonts w:ascii="Times New Roman" w:hAnsi="Times New Roman"/>
                <w:color w:val="000000"/>
                <w:sz w:val="20"/>
              </w:rPr>
              <w:t>  Rani can invoice InCube for all Personnel Services performed by its employees, using the following formula: Invoiced amount = (Actual Hours) x (Hourly Billing Rate).</w:t>
            </w:r>
          </w:p>
          <w:p>
            <w:pPr>
              <w:pStyle w:val="TableContents"/>
              <w:pBdr/>
              <w:bidi w:val="0"/>
              <w:ind w:left="120" w:right="0" w:hanging="360"/>
              <w:jc w:val="left"/>
              <w:rPr>
                <w:rFonts w:ascii="Times New Roman" w:hAnsi="Times New Roman"/>
                <w:color w:val="000000"/>
                <w:sz w:val="20"/>
              </w:rPr>
            </w:pPr>
            <w:r>
              <w:rPr>
                <w:rFonts w:ascii="Times New Roman" w:hAnsi="Times New Roman"/>
                <w:color w:val="000000"/>
                <w:sz w:val="20"/>
              </w:rPr>
              <w:t>  Rani can invoice InCube all amounts paid to a Subcontractor of Rani to perform the Personnel Services, without markup.</w:t>
            </w:r>
          </w:p>
          <w:p>
            <w:pPr>
              <w:pStyle w:val="TableContents"/>
              <w:pBdr/>
              <w:bidi w:val="0"/>
              <w:spacing w:before="0" w:after="20"/>
              <w:ind w:left="120" w:right="0" w:hanging="360"/>
              <w:jc w:val="left"/>
              <w:rPr>
                <w:rFonts w:ascii="Times New Roman" w:hAnsi="Times New Roman"/>
                <w:color w:val="000000"/>
                <w:sz w:val="20"/>
              </w:rPr>
            </w:pPr>
            <w:r>
              <w:rPr>
                <w:rFonts w:ascii="Times New Roman" w:hAnsi="Times New Roman"/>
                <w:color w:val="000000"/>
                <w:sz w:val="20"/>
              </w:rPr>
              <w:t>  Rani can invoice InCube for Out-of-Pocket Costs related to performance of the Personnel Services, without markup.</w:t>
            </w:r>
          </w:p>
        </w:tc>
      </w:tr>
      <w:tr>
        <w:trPr/>
        <w:tc>
          <w:tcPr>
            <w:tcW w:w="2384" w:type="dxa"/>
            <w:tcBorders/>
            <w:shd w:fill="FFFFFF" w:val="clear"/>
            <w:vAlign w:val="center"/>
          </w:tcPr>
          <w:p>
            <w:pPr>
              <w:pStyle w:val="TableContents"/>
              <w:bidi w:val="0"/>
              <w:spacing w:before="0" w:after="283"/>
              <w:jc w:val="left"/>
              <w:rPr/>
            </w:pPr>
            <w:r>
              <w:rPr/>
              <w:t> </w:t>
            </w:r>
          </w:p>
        </w:tc>
        <w:tc>
          <w:tcPr>
            <w:tcW w:w="7821" w:type="dxa"/>
            <w:gridSpan w:val="2"/>
            <w:tcBorders/>
            <w:shd w:fill="FFFFFF"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2"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Either Party (as Provider) may provide Special Services to the other Party (as Recipient) upon request subject to availability of resources.</w:t>
            </w:r>
          </w:p>
          <w:p>
            <w:pPr>
              <w:pStyle w:val="TableContents"/>
              <w:bidi w:val="0"/>
              <w:jc w:val="left"/>
              <w:rPr>
                <w:rFonts w:ascii="Times New Roman" w:hAnsi="Times New Roman"/>
                <w:sz w:val="20"/>
              </w:rPr>
            </w:pPr>
            <w:r>
              <w:rPr>
                <w:rFonts w:ascii="Times New Roman" w:hAnsi="Times New Roman"/>
                <w:color w:val="000000"/>
                <w:sz w:val="20"/>
                <w:u w:val="single"/>
              </w:rPr>
              <w:t>Invoice</w:t>
            </w:r>
            <w:r>
              <w:rPr>
                <w:rFonts w:ascii="Times New Roman" w:hAnsi="Times New Roman"/>
                <w:color w:val="000000"/>
                <w:sz w:val="20"/>
              </w:rPr>
              <w:t>:</w:t>
            </w:r>
          </w:p>
          <w:p>
            <w:pPr>
              <w:pStyle w:val="TableContents"/>
              <w:pBdr/>
              <w:bidi w:val="0"/>
              <w:ind w:left="120" w:right="0" w:hanging="360"/>
              <w:jc w:val="left"/>
              <w:rPr>
                <w:rFonts w:ascii="Times New Roman" w:hAnsi="Times New Roman"/>
                <w:color w:val="000000"/>
                <w:sz w:val="20"/>
              </w:rPr>
            </w:pPr>
            <w:r>
              <w:rPr>
                <w:rFonts w:ascii="Times New Roman" w:hAnsi="Times New Roman"/>
                <w:color w:val="000000"/>
                <w:sz w:val="20"/>
              </w:rPr>
              <w:t>  Provider can invoice for all Special Services performed by its employees using the following formula: Invoiced amount = (Actual Hours) x (Hourly Billing Rate).</w:t>
            </w:r>
          </w:p>
          <w:p>
            <w:pPr>
              <w:pStyle w:val="TableContents"/>
              <w:pBdr/>
              <w:bidi w:val="0"/>
              <w:ind w:left="120" w:right="0" w:hanging="360"/>
              <w:jc w:val="left"/>
              <w:rPr>
                <w:rFonts w:ascii="Times New Roman" w:hAnsi="Times New Roman"/>
                <w:color w:val="000000"/>
                <w:sz w:val="20"/>
              </w:rPr>
            </w:pPr>
            <w:r>
              <w:rPr>
                <w:rFonts w:ascii="Times New Roman" w:hAnsi="Times New Roman"/>
                <w:color w:val="000000"/>
                <w:sz w:val="20"/>
              </w:rPr>
              <w:t>  Provider can invoice Recipient all amounts paid to a Subcontractor of Provider to perform the Special Services, without markup.</w:t>
            </w:r>
          </w:p>
          <w:p>
            <w:pPr>
              <w:pStyle w:val="TableContents"/>
              <w:pBdr/>
              <w:bidi w:val="0"/>
              <w:spacing w:before="0" w:after="20"/>
              <w:ind w:left="120" w:right="0" w:hanging="360"/>
              <w:jc w:val="left"/>
              <w:rPr>
                <w:rFonts w:ascii="Times New Roman" w:hAnsi="Times New Roman"/>
                <w:color w:val="000000"/>
                <w:sz w:val="20"/>
              </w:rPr>
            </w:pPr>
            <w:r>
              <w:rPr>
                <w:rFonts w:ascii="Times New Roman" w:hAnsi="Times New Roman"/>
                <w:color w:val="000000"/>
                <w:sz w:val="20"/>
              </w:rPr>
              <w:t>  Provider can invoice Recipient for Out-of-Pocket Costs related to performance of the Special Services, without markup.</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rani-ex21_1.htm"/>
      <w:bookmarkStart w:id="39" w:name="ksraniex21_1"/>
      <w:bookmarkEnd w:id="38"/>
      <w:bookmarkEnd w:id="39"/>
      <w:r>
        <w:rPr>
          <w:rFonts w:ascii="Times New Roman" w:hAnsi="Times New Roman"/>
          <w:b/>
          <w:color w:val="000000"/>
          <w:sz w:val="20"/>
        </w:rPr>
        <w:t>Exhibit 21.1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 of Rani Therapeutics Holdings, Inc.</w:t>
      </w:r>
    </w:p>
    <w:tbl>
      <w:tblPr>
        <w:tblW w:w="5147" w:type="dxa"/>
        <w:jc w:val="left"/>
        <w:tblInd w:w="0" w:type="dxa"/>
        <w:tblLayout w:type="fixed"/>
        <w:tblCellMar>
          <w:top w:w="28" w:type="dxa"/>
          <w:left w:w="28" w:type="dxa"/>
          <w:bottom w:w="28" w:type="dxa"/>
          <w:right w:w="28" w:type="dxa"/>
        </w:tblCellMar>
      </w:tblPr>
      <w:tblGrid>
        <w:gridCol w:w="2071"/>
        <w:gridCol w:w="3076"/>
      </w:tblGrid>
      <w:tr>
        <w:trPr/>
        <w:tc>
          <w:tcPr>
            <w:tcW w:w="207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u w:val="single"/>
              </w:rPr>
            </w:pPr>
            <w:r>
              <w:rPr>
                <w:rFonts w:ascii="Times New Roman" w:hAnsi="Times New Roman"/>
                <w:color w:val="333333"/>
                <w:sz w:val="20"/>
                <w:u w:val="single"/>
              </w:rPr>
              <w:t>Name of Subsidiary</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u w:val="single"/>
              </w:rPr>
            </w:pPr>
            <w:r>
              <w:rPr>
                <w:rFonts w:ascii="Times New Roman" w:hAnsi="Times New Roman"/>
                <w:color w:val="333333"/>
                <w:sz w:val="20"/>
                <w:u w:val="single"/>
              </w:rPr>
              <w:t>Jurisdiction of Organization</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rPr>
            </w:pPr>
            <w:r>
              <w:rPr>
                <w:rFonts w:ascii="Times New Roman" w:hAnsi="Times New Roman"/>
                <w:color w:val="333333"/>
                <w:sz w:val="20"/>
              </w:rPr>
              <w:t>Rani Therapeutics, LLC</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rPr>
            </w:pPr>
            <w:r>
              <w:rPr>
                <w:rFonts w:ascii="Times New Roman" w:hAnsi="Times New Roman"/>
                <w:color w:val="333333"/>
                <w:sz w:val="20"/>
              </w:rPr>
              <w:t>California, United States of America</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rani-ex23_1.htm"/>
      <w:bookmarkStart w:id="41" w:name="ksraniex23_1"/>
      <w:bookmarkEnd w:id="40"/>
      <w:bookmarkEnd w:id="41"/>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Statements (Form S-3 Nos. 333-266444 and 333-268855) of Rani Therapeutics Holdings, Inc.,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Statements (Form S-8 Nos. 333-258415 and 333-264018) pertaining to the Rani Therapeutics Holdings, Inc. 2021 Equity Incentive Plan, the Rani Therapeutics Holdings, Inc. 2021 Employee Stock Purchase Plan and the Rani Therapeutics, LLC 2016 Equity Incentive Plan of Rani Therapeutics Holdings, Inc.;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our report dated March 20, 2024, with respect to the consolidated financial statements of Rani Therapeutics Holdings, Inc. included in this Annual Report (Form 10-K) of Rani Therapeutics Holdings, Inc. for the year ended December 31, 2023.</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rFonts w:ascii="Times New Roman" w:hAnsi="Times New Roman"/>
          <w:color w:val="000000"/>
          <w:sz w:val="20"/>
        </w:rPr>
      </w:pPr>
      <w:r>
        <w:rPr>
          <w:rFonts w:ascii="Times New Roman" w:hAnsi="Times New Roman"/>
          <w:color w:val="000000"/>
          <w:sz w:val="20"/>
        </w:rPr>
        <w:t>San Francisco, California</w:t>
      </w:r>
    </w:p>
    <w:p>
      <w:pPr>
        <w:pStyle w:val="TextBody"/>
        <w:bidi w:val="0"/>
        <w:jc w:val="both"/>
        <w:rPr>
          <w:rFonts w:ascii="Times New Roman" w:hAnsi="Times New Roman"/>
          <w:color w:val="000000"/>
          <w:sz w:val="20"/>
        </w:rPr>
      </w:pPr>
      <w:r>
        <w:rPr>
          <w:rFonts w:ascii="Times New Roman" w:hAnsi="Times New Roman"/>
          <w:color w:val="000000"/>
          <w:sz w:val="20"/>
        </w:rPr>
        <w:t>March 20, 2024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19"/>
        </w:rPr>
      </w:pPr>
      <w:bookmarkStart w:id="42" w:name="rani-ex31_1.htm"/>
      <w:bookmarkStart w:id="43" w:name="ksraniex31_1"/>
      <w:bookmarkEnd w:id="42"/>
      <w:bookmarkEnd w:id="43"/>
      <w:r>
        <w:rPr>
          <w:rFonts w:ascii="Times New Roman" w:hAnsi="Times New Roman"/>
          <w:b/>
          <w:color w:val="000000"/>
          <w:sz w:val="19"/>
        </w:rPr>
        <w:t>Exhibit 31.1</w:t>
      </w:r>
      <w:r>
        <w:br w:type="page"/>
      </w:r>
    </w:p>
    <w:p>
      <w:pPr>
        <w:pStyle w:val="TextBody"/>
        <w:bidi w:val="0"/>
        <w:spacing w:before="0" w:after="240"/>
        <w:jc w:val="center"/>
        <w:rPr>
          <w:rFonts w:ascii="Times New Roman" w:hAnsi="Times New Roman"/>
          <w:b/>
          <w:color w:val="000000"/>
          <w:sz w:val="19"/>
          <w:u w:val="single"/>
        </w:rPr>
      </w:pPr>
      <w:r>
        <w:rPr>
          <w:rFonts w:ascii="Times New Roman" w:hAnsi="Times New Roman"/>
          <w:b/>
          <w:color w:val="000000"/>
          <w:sz w:val="19"/>
          <w:u w:val="single"/>
        </w:rPr>
        <w:t>CERTIFICATION</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Talat Imran, certify that:</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1.</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have reviewed this Annual Report on Form 10-K of Rani Therapeutics Holdings, Inc.;</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2.</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3.</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4.</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(a)</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(b)</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(c)</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5.</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(a)</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1891"/>
        <w:gridCol w:w="2476"/>
      </w:tblGrid>
      <w:tr>
        <w:trPr/>
        <w:tc>
          <w:tcPr>
            <w:tcW w:w="189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March 20, 2024</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Talat Imran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Talat Imran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19"/>
        </w:rPr>
      </w:pPr>
      <w:bookmarkStart w:id="44" w:name="rani-ex31_2.htm"/>
      <w:bookmarkStart w:id="45" w:name="ksraniex31_2"/>
      <w:bookmarkEnd w:id="44"/>
      <w:bookmarkEnd w:id="45"/>
      <w:r>
        <w:rPr>
          <w:rFonts w:ascii="Times New Roman" w:hAnsi="Times New Roman"/>
          <w:b/>
          <w:color w:val="000000"/>
          <w:sz w:val="19"/>
        </w:rPr>
        <w:t>Exhibit 31.2</w:t>
      </w:r>
      <w:r>
        <w:br w:type="page"/>
      </w:r>
    </w:p>
    <w:p>
      <w:pPr>
        <w:pStyle w:val="TextBody"/>
        <w:bidi w:val="0"/>
        <w:spacing w:before="0" w:after="240"/>
        <w:jc w:val="center"/>
        <w:rPr>
          <w:rFonts w:ascii="Times New Roman" w:hAnsi="Times New Roman"/>
          <w:b/>
          <w:color w:val="000000"/>
          <w:sz w:val="19"/>
          <w:u w:val="single"/>
        </w:rPr>
      </w:pPr>
      <w:r>
        <w:rPr>
          <w:rFonts w:ascii="Times New Roman" w:hAnsi="Times New Roman"/>
          <w:b/>
          <w:color w:val="000000"/>
          <w:sz w:val="19"/>
          <w:u w:val="single"/>
        </w:rPr>
        <w:t>CERTIFICATION</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Svai Sanford,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Annual Report on Form 10-K of Rani Therapeutics Holdings, Inc.;</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03" w:type="dxa"/>
        <w:jc w:val="left"/>
        <w:tblInd w:w="0" w:type="dxa"/>
        <w:tblLayout w:type="fixed"/>
        <w:tblCellMar>
          <w:top w:w="28" w:type="dxa"/>
          <w:left w:w="28" w:type="dxa"/>
          <w:bottom w:w="28" w:type="dxa"/>
          <w:right w:w="28" w:type="dxa"/>
        </w:tblCellMar>
      </w:tblPr>
      <w:tblGrid>
        <w:gridCol w:w="1891"/>
        <w:gridCol w:w="146"/>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March 20,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Svai Sanford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Svai Sanford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6" w:name="rani-ex32_1.htm"/>
      <w:bookmarkStart w:id="47" w:name="ksraniex32_1"/>
      <w:bookmarkEnd w:id="46"/>
      <w:bookmarkEnd w:id="47"/>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or her knowledge: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Annual Report on Form 10-K for the period ended December 31, 2023, to which this Certification is attached as Exhibit 32.1 (the “Periodic Report”), fully complies with the requirements of Section 13(a) or Section 15(d) of the Exchange Act;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Dated: March 20, 2024</w:t>
      </w:r>
    </w:p>
    <w:p>
      <w:pPr>
        <w:pStyle w:val="TextBody"/>
        <w:bidi w:val="0"/>
        <w:spacing w:before="0" w:after="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20th day of March, 2024.</w:t>
      </w:r>
    </w:p>
    <w:p>
      <w:pPr>
        <w:pStyle w:val="TextBody"/>
        <w:bidi w:val="0"/>
        <w:jc w:val="both"/>
        <w:rPr/>
      </w:pPr>
      <w:r>
        <w:rPr/>
        <w:t> </w:t>
      </w:r>
    </w:p>
    <w:tbl>
      <w:tblPr>
        <w:tblW w:w="6358" w:type="dxa"/>
        <w:jc w:val="left"/>
        <w:tblInd w:w="0" w:type="dxa"/>
        <w:tblLayout w:type="fixed"/>
        <w:tblCellMar>
          <w:top w:w="28" w:type="dxa"/>
          <w:left w:w="28" w:type="dxa"/>
          <w:bottom w:w="28" w:type="dxa"/>
          <w:right w:w="28" w:type="dxa"/>
        </w:tblCellMar>
      </w:tblPr>
      <w:tblGrid>
        <w:gridCol w:w="2446"/>
        <w:gridCol w:w="146"/>
        <w:gridCol w:w="376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Svai Sanford</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Svai Sanford</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10-K),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56725/000119312521223596/d151628dex31.htm" TargetMode="External"/><Relationship Id="rId12" Type="http://schemas.openxmlformats.org/officeDocument/2006/relationships/hyperlink" Target="https://www.sec.gov/Archives/edgar/data/1856725/000119312521211922/d151628dex34.htm" TargetMode="External"/><Relationship Id="rId13" Type="http://schemas.openxmlformats.org/officeDocument/2006/relationships/hyperlink" Target="https://www.sec.gov/Archives/edgar/data/1856725/000119312521223596/d151628dex41.htm" TargetMode="External"/><Relationship Id="rId14" Type="http://schemas.openxmlformats.org/officeDocument/2006/relationships/hyperlink" Target="https://www.sec.gov/Archives/edgar/data/1856725/000095017022005088/rani-ex4_2.htm" TargetMode="External"/><Relationship Id="rId15" Type="http://schemas.openxmlformats.org/officeDocument/2006/relationships/hyperlink" Target="https://www.sec.gov/Archives/edgar/data/1856725/000095017022005088/rani-ex10_1.htm" TargetMode="External"/><Relationship Id="rId16" Type="http://schemas.openxmlformats.org/officeDocument/2006/relationships/hyperlink" Target="https://www.sec.gov/Archives/edgar/data/1856725/000095017022005088/rani-ex10_2.htm" TargetMode="External"/><Relationship Id="rId17" Type="http://schemas.openxmlformats.org/officeDocument/2006/relationships/hyperlink" Target="https://www.sec.gov/Archives/edgar/data/1856725/000095017022005088/rani-ex10_3.htm" TargetMode="External"/><Relationship Id="rId18" Type="http://schemas.openxmlformats.org/officeDocument/2006/relationships/hyperlink" Target="https://www.sec.gov/Archives/edgar/data/1856725/000095017022005088/rani-ex10_4.htm" TargetMode="External"/><Relationship Id="rId19" Type="http://schemas.openxmlformats.org/officeDocument/2006/relationships/hyperlink" Target="https://www.sec.gov/Archives/edgar/data/1856725/000119312521211922/d151628dex104.htm" TargetMode="External"/><Relationship Id="rId20" Type="http://schemas.openxmlformats.org/officeDocument/2006/relationships/hyperlink" Target="https://www.sec.gov/Archives/edgar/data/1856725/000119312521211922/d151628dex105.htm" TargetMode="External"/><Relationship Id="rId21" Type="http://schemas.openxmlformats.org/officeDocument/2006/relationships/hyperlink" Target="https://www.sec.gov/Archives/edgar/data/1856725/000119312521223596/d151628dex107.htm" TargetMode="External"/><Relationship Id="rId22" Type="http://schemas.openxmlformats.org/officeDocument/2006/relationships/hyperlink" Target="https://www.sec.gov/Archives/edgar/data/1856725/000095017022005088/rani-ex10_8.htm" TargetMode="External"/><Relationship Id="rId23" Type="http://schemas.openxmlformats.org/officeDocument/2006/relationships/hyperlink" Target="https://www.sec.gov/Archives/edgar/data/1856725/000119312521223596/d151628dex108.htm" TargetMode="External"/><Relationship Id="rId24" Type="http://schemas.openxmlformats.org/officeDocument/2006/relationships/hyperlink" Target="https://www.sec.gov/Archives/edgar/data/1856725/000119312521211922/d151628dex108.htm" TargetMode="External"/><Relationship Id="rId25" Type="http://schemas.openxmlformats.org/officeDocument/2006/relationships/hyperlink" Target="https://www.sec.gov/Archives/edgar/data/1856725/000119312521211922/d151628dex109.htm" TargetMode="External"/><Relationship Id="rId26" Type="http://schemas.openxmlformats.org/officeDocument/2006/relationships/hyperlink" Target="https://www.sec.gov/Archives/edgar/data/1856725/000119312521217338/d151628dex1011.htm" TargetMode="External"/><Relationship Id="rId27" Type="http://schemas.openxmlformats.org/officeDocument/2006/relationships/hyperlink" Target="https://www.sec.gov/Archives/edgar/data/1856725/000119312521211922/d151628dex1015.htm" TargetMode="External"/><Relationship Id="rId28" Type="http://schemas.openxmlformats.org/officeDocument/2006/relationships/hyperlink" Target="https://www.sec.gov/Archives/edgar/data/1856725/000095017022005088/rani-ex10_14.htm" TargetMode="External"/><Relationship Id="rId29" Type="http://schemas.openxmlformats.org/officeDocument/2006/relationships/hyperlink" Target="https://www.sec.gov/Archives/edgar/data/1856725/000119312521211922/d151628dex1016.htm" TargetMode="External"/><Relationship Id="rId30" Type="http://schemas.openxmlformats.org/officeDocument/2006/relationships/hyperlink" Target="https://www.sec.gov/Archives/edgar/data/1856725/000119312521211922/d151628dex1017.htm" TargetMode="External"/><Relationship Id="rId31" Type="http://schemas.openxmlformats.org/officeDocument/2006/relationships/hyperlink" Target="https://www.sec.gov/Archives/edgar/data/1856725/000119312521211922/d151628dex1018.htm" TargetMode="External"/><Relationship Id="rId32" Type="http://schemas.openxmlformats.org/officeDocument/2006/relationships/hyperlink" Target="https://www.sec.gov/Archives/edgar/data/1856725/000119312521211922/d151628dex1019.htm" TargetMode="External"/><Relationship Id="rId33" Type="http://schemas.openxmlformats.org/officeDocument/2006/relationships/hyperlink" Target="https://www.sec.gov/Archives/edgar/data/1856725/000095017023009178/rani-ex10_19.htm" TargetMode="External"/><Relationship Id="rId34" Type="http://schemas.openxmlformats.org/officeDocument/2006/relationships/hyperlink" Target="https://www.sec.gov/Archives/edgar/data/1856725/000095017023009178/rani-ex10_20.htm" TargetMode="External"/><Relationship Id="rId35" Type="http://schemas.openxmlformats.org/officeDocument/2006/relationships/hyperlink" Target="https://www.sec.gov/Archives/edgar/data/1856725/000095017023009178/rani-ex10_21.htm" TargetMode="External"/><Relationship Id="rId36" Type="http://schemas.openxmlformats.org/officeDocument/2006/relationships/hyperlink" Target="https://www.sec.gov/Archives/edgar/data/1856725/000095017022009334/rani-ex10_2.htm" TargetMode="External"/><Relationship Id="rId37" Type="http://schemas.openxmlformats.org/officeDocument/2006/relationships/hyperlink" Target="https://www.sec.gov/Archives/edgar/data/1856725/000095017023041852/rani-ex10_2.htm" TargetMode="External"/><Relationship Id="rId38" Type="http://schemas.openxmlformats.org/officeDocument/2006/relationships/hyperlink" Target="https://www.sec.gov/Archives/edgar/data/1856725/000095017022016492/rani-ex10_1.htm" TargetMode="External"/><Relationship Id="rId39" Type="http://schemas.openxmlformats.org/officeDocument/2006/relationships/hyperlink" Target="https://www.sec.gov/Archives/edgar/data/1856725/000095017022016492/rani-ex10_2.htm" TargetMode="External"/><Relationship Id="rId40" Type="http://schemas.openxmlformats.org/officeDocument/2006/relationships/hyperlink" Target="https://www.sec.gov/Archives/edgar/data/1856725/000095017022016492/rani-ex10_3.htm" TargetMode="External"/><Relationship Id="rId41" Type="http://schemas.openxmlformats.org/officeDocument/2006/relationships/hyperlink" Target="https://www.sec.gov/Archives/edgar/data/1856725/000119312522229280/d385381dex11.htm" TargetMode="External"/><Relationship Id="rId42" Type="http://schemas.openxmlformats.org/officeDocument/2006/relationships/hyperlink" Target="https://www.sec.gov/Archives/edgar/data/1856725/000119312522229280/d385381dex11.htm" TargetMode="External"/><Relationship Id="rId43" Type="http://schemas.openxmlformats.org/officeDocument/2006/relationships/hyperlink" Target="https://www.sec.gov/Archives/edgar/data/1856725/000119312522229280/d385381dex11.htm" TargetMode="External"/><Relationship Id="rId44" Type="http://schemas.openxmlformats.org/officeDocument/2006/relationships/hyperlink" Target="https://www.sec.gov/Archives/edgar/data/1856725/000095017023041852/rani-ex10_1.htm" TargetMode="External"/><Relationship Id="rId45" Type="http://schemas.openxmlformats.org/officeDocument/2006/relationships/hyperlink" Target="https://www.sec.gov/Archives/edgar/data/1856725/000095017023041852/rani-ex10_1.htm" TargetMode="External"/><Relationship Id="rId46" Type="http://schemas.openxmlformats.org/officeDocument/2006/relationships/hyperlink" Target="https://www.sec.gov/Archives/edgar/data/1856725/000095017023061137/rani-ex10_1.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102710</Words>
  <Characters>566032</Characters>
  <CharactersWithSpaces>668462</CharactersWithSpaces>
  <Paragraphs>7028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