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001-40672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86-3114789</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5"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2051 Ringwood Avenue</w:t>
      </w:r>
    </w:p>
    <w:p>
      <w:pPr>
        <w:spacing w:after="0" w:line="43"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San Jose, California</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95131</w:t>
      </w:r>
    </w:p>
    <w:p>
      <w:pPr>
        <w:spacing w:after="0" w:line="42" w:lineRule="exact"/>
        <w:rPr>
          <w:sz w:val="24"/>
          <w:szCs w:val="24"/>
          <w:color w:val="auto"/>
        </w:rPr>
      </w:pPr>
    </w:p>
    <w:p>
      <w:pPr>
        <w:sectPr>
          <w:pgSz w:w="11900" w:h="16838" w:orient="portrait"/>
          <w:cols w:equalWidth="0" w:num="2">
            <w:col w:w="7384" w:space="720"/>
            <w:col w:w="2920"/>
          </w:cols>
          <w:pgMar w:left="436" w:top="376" w:right="439" w:bottom="1440" w:gutter="0" w:footer="0" w:header="0"/>
          <w:type w:val="continuous"/>
        </w:sectPr>
      </w:pPr>
    </w:p>
    <w:p>
      <w:pPr>
        <w:ind w:left="15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64" w:space="720"/>
            <w:col w:w="304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457-3700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RANI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 Agreement</w:t>
      </w:r>
    </w:p>
    <w:p>
      <w:pPr>
        <w:spacing w:after="0" w:line="11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On May 20, 2025, Rani Therapeutics Holdings, Inc. (the “Company”) entered into a letter agreement (the “Letter Agreement”) with an existing institutional investor (the “Investor”) pursuant to which:</w:t>
      </w:r>
    </w:p>
    <w:p>
      <w:pPr>
        <w:spacing w:after="0" w:line="67" w:lineRule="exact"/>
        <w:rPr>
          <w:sz w:val="20"/>
          <w:szCs w:val="20"/>
          <w:color w:val="auto"/>
        </w:rPr>
      </w:pPr>
    </w:p>
    <w:p>
      <w:pPr>
        <w:ind w:left="960" w:right="2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agreed to issue a new Series D common stock warrant (the “Series D Warrant”), to purchase up to an aggregate of 13,160,172 shares of the Company’s Class A Common Stock $0.0001 par value per share (the “Common Stock”), with an exercise price of $0.65 per share to the Investor;</w:t>
      </w:r>
    </w:p>
    <w:p>
      <w:pPr>
        <w:spacing w:after="0" w:line="81" w:lineRule="exact"/>
        <w:rPr>
          <w:rFonts w:ascii="Times New Roman" w:cs="Times New Roman" w:eastAsia="Times New Roman" w:hAnsi="Times New Roman"/>
          <w:sz w:val="18"/>
          <w:szCs w:val="18"/>
          <w:color w:val="auto"/>
        </w:rPr>
      </w:pPr>
    </w:p>
    <w:p>
      <w:pPr>
        <w:jc w:val="both"/>
        <w:ind w:left="960" w:right="30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agreed to reduce the exercise price per share of an outstanding Series B common stock warrant (the “Series B Warrant”), exercisable for 3,246,753 shares of Common Stock issued in July 2024 to the Investor, from $3.08 per share to $0.65 per share, and the Investor agreed to exercise in full such warrant; and</w:t>
      </w:r>
    </w:p>
    <w:p>
      <w:pPr>
        <w:spacing w:after="0" w:line="81" w:lineRule="exact"/>
        <w:rPr>
          <w:rFonts w:ascii="Times New Roman" w:cs="Times New Roman" w:eastAsia="Times New Roman" w:hAnsi="Times New Roman"/>
          <w:sz w:val="18"/>
          <w:szCs w:val="18"/>
          <w:color w:val="auto"/>
        </w:rPr>
      </w:pPr>
    </w:p>
    <w:p>
      <w:pPr>
        <w:ind w:left="960" w:right="2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agreed to reduce the exercise price per share of an outstanding Series C common stock warrant (the “Series C Warrant”), exercisable for 3,333,333 shares of Common Stock issued in October 2024 to the Investor, from $3.00 per share to $0.65 per share, and the Investor agreed to exercise in full such warrant.</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accordance with the rules and regulations of The Nasdaq Stock Market LLC, the Company will seek stockholder approval of the shares of Common Stock issuable upon exercise of the Series D Warrant. The Series D Warrant will expire five years from the date of receipt of such stockholder approval. In addition, the Company has agreed to file a resale registration statement covering the resale of the shares of Common Stock issuable upon exercise of the Series D Warrant with the Securities and Exchange Commission (the “SEC”) within 45 days of the date of the Letter Agreement, and to use its best efforts to have such resale registration statement declared effective by the SEC by the date of receipt of stockholder approval discussed above. The Series D Warrant includes a beneficial ownership limitation that prevents the issuance of shares of Common Stock upon exercise thereunder, if as a result of such issuance the Investor would beneficially own more than 9.99% of the Common Stock.</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gross proceeds to the Company upon the exercise of the Series B Warrant and Series C Warrant by the Investor will be approximately $4.3 million, prior to deducting financial advisory fees and estimated expenses. The closing of the transactions contemplated under the Letter Agreement are expected to occur on May 21, 2025. The Series B Warrant and Series C Warrant, and the shares of Common Stock issuable upon exercise thereunder, were previously registered on the Company’s Registration Statement on Form S-3 (No. 333-266444). The Company intends to use the net proceeds from the transaction to purchase newly issued LLC Interests from Rani LLC. The Company intends to cause Rani LLC to use the net proceeds from this offering for working capital and other general corporate purposes.</w:t>
      </w:r>
    </w:p>
    <w:p>
      <w:pPr>
        <w:spacing w:after="0" w:line="18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Maxim Group LLC (“Maxim”) acted as financial advisor to the Company pursuant to an engagement letter between the Company and Maxim, dated May 19, 2025. As compensation for such services, the Company agreed to pay Maxim an aggregate cash fee equal to 5.25% of the gross proceeds received by the Company upon the exercise of the Series B Warrant and Series C Warrant under the Letter Agreement.</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Letter Agreement and the Series D Warrant are not complete and are qualified in their entirety by reference to the full text of the Letter Agreement and the form of Series D Warrant, copies of which are attached as Exhibits 10.1 and 10.2, respectively, to this Current Report on Form 8-K and are incorporated by reference herein.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 of Equity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 Agreement</w:t>
      </w:r>
    </w:p>
    <w:p>
      <w:pPr>
        <w:spacing w:after="0" w:line="1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information in Item 1.01 above under the caption Letter Agreement with respect to the issuance of the Series D Warrant and the shares of Common Stock issuable upon exercise thereof is incorporated herein by reference. The Series D Warrant was issued to one accredited investor in a private placement transaction exempt from the registration requirements of the Securities Act of 1933, as amended (the “Securities Act”), pursuant to Section 4(a)(2) of the Securities Act and Rule 506 of Regulation D promulgated thereunder. The Series D Warrant and the shares of Common Stock issuable upon the exercise thereof have not been registered under the Securities Act and may not be offered or sold in the United States absent registration with the SEC or an applicable exemption from such registration requirements.</w:t>
      </w:r>
    </w:p>
    <w:p>
      <w:pPr>
        <w:spacing w:after="0" w:line="18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a solicitation of an offer to buy nor shall there be any sale of these securities in any state or jurisdiction in which such offer, solicitation or sale would be unlawful prior to the registration or qualification under the securities laws of any such state or jurisdiction.</w:t>
      </w:r>
    </w:p>
    <w:p>
      <w:pPr>
        <w:sectPr>
          <w:pgSz w:w="11900" w:h="16838" w:orient="portrait"/>
          <w:cols w:equalWidth="0" w:num="1">
            <w:col w:w="11000"/>
          </w:cols>
          <w:pgMar w:left="440"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8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No.</w:t>
            </w:r>
          </w:p>
        </w:tc>
        <w:tc>
          <w:tcPr>
            <w:tcW w:w="101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3"/>
                <w:szCs w:val="23"/>
                <w:color w:val="auto"/>
              </w:rPr>
            </w:pPr>
          </w:p>
        </w:tc>
        <w:tc>
          <w:tcPr>
            <w:tcW w:w="101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EE"/>
              </w:rPr>
              <w:t>Letter Agreement, dated May 20, 2025, by and between Rani Therapeutics Holdings, Inc. and the Investor.</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20" w:type="dxa"/>
            <w:vAlign w:val="bottom"/>
          </w:tcPr>
          <w:p>
            <w:pPr>
              <w:spacing w:after="0"/>
              <w:rPr>
                <w:sz w:val="24"/>
                <w:szCs w:val="24"/>
                <w:color w:val="auto"/>
              </w:rPr>
            </w:pPr>
          </w:p>
        </w:tc>
        <w:tc>
          <w:tcPr>
            <w:tcW w:w="30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Form of Series D Common Stock Warrant.</w:t>
            </w:r>
          </w:p>
        </w:tc>
        <w:tc>
          <w:tcPr>
            <w:tcW w:w="4600" w:type="dxa"/>
            <w:vAlign w:val="bottom"/>
            <w:tcBorders>
              <w:top w:val="single" w:sz="8" w:color="0000EE"/>
            </w:tcBorders>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20, 2025</w:t>
      </w:r>
      <w:r>
        <w:rPr>
          <w:sz w:val="20"/>
          <w:szCs w:val="20"/>
          <w:color w:val="auto"/>
        </w:rPr>
        <w:tab/>
      </w:r>
      <w:r>
        <w:rPr>
          <w:rFonts w:ascii="Times New Roman" w:cs="Times New Roman" w:eastAsia="Times New Roman" w:hAnsi="Times New Roman"/>
          <w:sz w:val="18"/>
          <w:szCs w:val="18"/>
          <w:color w:val="auto"/>
        </w:rPr>
        <w:t>By:</w:t>
        <w:tab/>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VAI</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Svai Sanford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260"/>
          </w:cols>
          <w:pgMar w:left="440" w:top="293" w:right="11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20,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of Common Stock Purchase Warrants</w:t>
      </w:r>
    </w:p>
    <w:p>
      <w:pPr>
        <w:spacing w:after="0" w:line="25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Inducement Offer to Exercise Common Stock Purchase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Holder:</w:t>
      </w:r>
    </w:p>
    <w:p>
      <w:pPr>
        <w:spacing w:after="0" w:line="117" w:lineRule="exact"/>
        <w:rPr>
          <w:sz w:val="20"/>
          <w:szCs w:val="20"/>
          <w:color w:val="auto"/>
        </w:rPr>
      </w:pPr>
    </w:p>
    <w:p>
      <w:pPr>
        <w:ind w:right="180" w:firstLine="440"/>
        <w:spacing w:after="0" w:line="254" w:lineRule="auto"/>
        <w:rPr>
          <w:sz w:val="20"/>
          <w:szCs w:val="20"/>
          <w:color w:val="auto"/>
        </w:rPr>
      </w:pPr>
      <w:r>
        <w:rPr>
          <w:rFonts w:ascii="Times New Roman" w:cs="Times New Roman" w:eastAsia="Times New Roman" w:hAnsi="Times New Roman"/>
          <w:sz w:val="18"/>
          <w:szCs w:val="18"/>
          <w:color w:val="auto"/>
        </w:rPr>
        <w:t>Rani Therapeutics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pleased to offer to you (“Holder”, “you”, or similar terminology) (i) the opportunity to receive new warrants to purchase shares of the Company’s Class A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xml:space="preserve">”) and (ii) a reduction in the Exercise Price (as defined in the respective Existing Warrants) of the warrants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Existing Warrants</w:t>
      </w:r>
      <w:r>
        <w:rPr>
          <w:rFonts w:ascii="Times New Roman" w:cs="Times New Roman" w:eastAsia="Times New Roman" w:hAnsi="Times New Roman"/>
          <w:sz w:val="18"/>
          <w:szCs w:val="18"/>
          <w:color w:val="auto"/>
        </w:rPr>
        <w:t>”) held by you in consideration for exercising by you for cash such Existing Warrants as set forth on the signature page hereto. The resale of the shares of Common Stock underlying the Existing Warrants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has been registered pursuant to the registration statement on Form S-3 (File No. 333-266444) and the prospectus supplements to the registration statement filed on July 23, 2024, and October 16, 2024, respectively (collectively,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Registration Statement is currently effective and, upon exercise of the Existing Warrants pursuant to this letter agreement, will be effective for the issuance of the Warrant Shares. Capitalized terms not otherwise defined herein shall have the meanings set forth in the New Warrants (as defined herein).</w:t>
      </w:r>
    </w:p>
    <w:p>
      <w:pPr>
        <w:spacing w:after="0" w:line="188"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Company desires to reduce the Exercise Price (as defined in the respective Existing Warrants) of the Existing Warrants to $0.65 per share (the “</w:t>
      </w:r>
      <w:r>
        <w:rPr>
          <w:rFonts w:ascii="Times New Roman" w:cs="Times New Roman" w:eastAsia="Times New Roman" w:hAnsi="Times New Roman"/>
          <w:sz w:val="18"/>
          <w:szCs w:val="18"/>
          <w:u w:val="single" w:color="auto"/>
          <w:color w:val="auto"/>
        </w:rPr>
        <w:t>Reduced Exercise Price</w:t>
      </w:r>
      <w:r>
        <w:rPr>
          <w:rFonts w:ascii="Times New Roman" w:cs="Times New Roman" w:eastAsia="Times New Roman" w:hAnsi="Times New Roman"/>
          <w:sz w:val="18"/>
          <w:szCs w:val="18"/>
          <w:color w:val="auto"/>
        </w:rPr>
        <w:t>”). In consideration for exercising the Existing Warrants as set forth on the signature page hereto, held by you at the Reduced Exercise Price and set forth on the Holder’s signature page hereto (the “</w:t>
      </w:r>
      <w:r>
        <w:rPr>
          <w:rFonts w:ascii="Times New Roman" w:cs="Times New Roman" w:eastAsia="Times New Roman" w:hAnsi="Times New Roman"/>
          <w:sz w:val="18"/>
          <w:szCs w:val="18"/>
          <w:u w:val="single" w:color="auto"/>
          <w:color w:val="auto"/>
        </w:rPr>
        <w:t>Warrant Exercise</w:t>
      </w:r>
      <w:r>
        <w:rPr>
          <w:rFonts w:ascii="Times New Roman" w:cs="Times New Roman" w:eastAsia="Times New Roman" w:hAnsi="Times New Roman"/>
          <w:sz w:val="18"/>
          <w:szCs w:val="18"/>
          <w:color w:val="auto"/>
        </w:rPr>
        <w:t>”) on or before the Execution Time (as defined below), the Company hereby offers to issue you or your designee:</w:t>
      </w:r>
    </w:p>
    <w:p>
      <w:pPr>
        <w:spacing w:after="0" w:line="85" w:lineRule="exact"/>
        <w:rPr>
          <w:sz w:val="20"/>
          <w:szCs w:val="20"/>
          <w:color w:val="auto"/>
        </w:rPr>
      </w:pPr>
    </w:p>
    <w:p>
      <w:pPr>
        <w:ind w:left="960" w:right="80" w:hanging="532"/>
        <w:spacing w:after="0" w:line="268" w:lineRule="auto"/>
        <w:tabs>
          <w:tab w:leader="none" w:pos="9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new unregistered Series D Common Stock Purchase Warrant (“</w:t>
      </w:r>
      <w:r>
        <w:rPr>
          <w:rFonts w:ascii="Times New Roman" w:cs="Times New Roman" w:eastAsia="Times New Roman" w:hAnsi="Times New Roman"/>
          <w:sz w:val="17"/>
          <w:szCs w:val="17"/>
          <w:u w:val="single" w:color="auto"/>
          <w:color w:val="auto"/>
        </w:rPr>
        <w:t>New Warrant</w:t>
      </w:r>
      <w:r>
        <w:rPr>
          <w:rFonts w:ascii="Times New Roman" w:cs="Times New Roman" w:eastAsia="Times New Roman" w:hAnsi="Times New Roman"/>
          <w:sz w:val="17"/>
          <w:szCs w:val="17"/>
          <w:color w:val="auto"/>
        </w:rPr>
        <w:t>”) pursuant to Section 4(a)(2) of the Securities Act of 1933, as amended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to purchase up to a number of shares (the “</w:t>
      </w:r>
      <w:r>
        <w:rPr>
          <w:rFonts w:ascii="Times New Roman" w:cs="Times New Roman" w:eastAsia="Times New Roman" w:hAnsi="Times New Roman"/>
          <w:sz w:val="17"/>
          <w:szCs w:val="17"/>
          <w:u w:val="single" w:color="auto"/>
          <w:color w:val="auto"/>
        </w:rPr>
        <w:t>New Warrant Shares</w:t>
      </w:r>
      <w:r>
        <w:rPr>
          <w:rFonts w:ascii="Times New Roman" w:cs="Times New Roman" w:eastAsia="Times New Roman" w:hAnsi="Times New Roman"/>
          <w:sz w:val="17"/>
          <w:szCs w:val="17"/>
          <w:color w:val="auto"/>
        </w:rPr>
        <w:t xml:space="preserve">”) of Common Stock equal to 200% of the number of Warrant Shares issued pursuant to the Warrant Exercise hereunder, which New Warrant shall be substantially in the form as reflected in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 will not be exercisable until such time as the Company has received the approval of the stockholders of the Company as may be required by the applicable rules and regulations of the Nasdaq Stock Market (or any successor entity) with respect to the issuance of shares of Common Stock underlying the New Warrant (the “</w:t>
      </w:r>
      <w:r>
        <w:rPr>
          <w:rFonts w:ascii="Times New Roman" w:cs="Times New Roman" w:eastAsia="Times New Roman" w:hAnsi="Times New Roman"/>
          <w:sz w:val="17"/>
          <w:szCs w:val="17"/>
          <w:u w:val="single" w:color="auto"/>
          <w:color w:val="auto"/>
        </w:rPr>
        <w:t>Shareholder Approval</w:t>
      </w:r>
      <w:r>
        <w:rPr>
          <w:rFonts w:ascii="Times New Roman" w:cs="Times New Roman" w:eastAsia="Times New Roman" w:hAnsi="Times New Roman"/>
          <w:sz w:val="17"/>
          <w:szCs w:val="17"/>
          <w:color w:val="auto"/>
        </w:rPr>
        <w:t>”), and have a term of exercise of five</w:t>
      </w:r>
    </w:p>
    <w:p>
      <w:pPr>
        <w:spacing w:after="0" w:line="4" w:lineRule="exact"/>
        <w:rPr>
          <w:rFonts w:ascii="Times New Roman" w:cs="Times New Roman" w:eastAsia="Times New Roman" w:hAnsi="Times New Roman"/>
          <w:sz w:val="17"/>
          <w:szCs w:val="17"/>
          <w:color w:val="auto"/>
        </w:rPr>
      </w:pPr>
    </w:p>
    <w:p>
      <w:pPr>
        <w:ind w:left="960" w:right="6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 years from Shareholder Approval, and an exercise price per share equal to $0.65 (subject to adjustment as provided in the New Warrants).</w:t>
      </w:r>
    </w:p>
    <w:p>
      <w:pPr>
        <w:spacing w:after="0" w:line="86" w:lineRule="exact"/>
        <w:rPr>
          <w:rFonts w:ascii="Times New Roman" w:cs="Times New Roman" w:eastAsia="Times New Roman" w:hAnsi="Times New Roman"/>
          <w:sz w:val="17"/>
          <w:szCs w:val="17"/>
          <w:color w:val="auto"/>
        </w:rPr>
      </w:pPr>
    </w:p>
    <w:p>
      <w:pPr>
        <w:ind w:left="960" w:right="40" w:hanging="532"/>
        <w:spacing w:after="0" w:line="255"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Warrant certificate(s) will be delivered at Closing (as defined below), and such New Warrants, together with any underlying shares of Common Stock issued upon exercise of the New Warrants, will, unless and until their sales are registered under the Securities Act, contain customary restrictive legends and other language typical for an unregistered warrant and unregistered shares. Notwithstanding anything herein to the contrary, in the event that any Warrant Exercise would otherwise cause the Holder to exceed the beneficial ownership limitations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set forth in Section 2(e) of the Existing Warrants (or, if applicable and at the Holder’s election, 9.99%), the Company shall only issue such number of Warrant Shares to the Holder that would not cause the Holder to exceed the</w:t>
      </w:r>
    </w:p>
    <w:p>
      <w:pPr>
        <w:sectPr>
          <w:pgSz w:w="11900" w:h="16838" w:orient="portrait"/>
          <w:cols w:equalWidth="0" w:num="1">
            <w:col w:w="11020"/>
          </w:cols>
          <w:pgMar w:left="440" w:top="117" w:right="439" w:bottom="1440" w:gutter="0" w:footer="0" w:header="0"/>
        </w:sectPr>
      </w:pPr>
    </w:p>
    <w:bookmarkStart w:id="5" w:name="page6"/>
    <w:bookmarkEnd w:id="5"/>
    <w:p>
      <w:pPr>
        <w:ind w:left="980"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maximum number of Warrant Shares permitted thereunder, as directed by the Holder, with the balance to be held in abeyance until notice from the Holder that the balance (or portion thereof) may be issued in compliance with such limitations, which abeyance shall be evidenced through the Existing Warrants which shall be deemed prepaid thereafter (including the payment in full of the exercise price), and exercised pursuant to a Notice of Exercise in the Existing Warrant (provided no additional exercise price shall be due and payable). The parties hereby agree that the Beneficial Ownership Limitation for purposes of the Existing Warrants is as set forth on the Holder’s signature page hereto.</w:t>
      </w:r>
    </w:p>
    <w:p>
      <w:pPr>
        <w:spacing w:after="0" w:line="187"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Expressly subject to the paragraph immediately following this paragraph below, Holder may accept this offer by signing this letter below, with such acceptance constituting the Holder’s exercise of the Existing Warrants for an aggregate exercise price set forth on the Holder’s signature page hereto (the “</w:t>
      </w:r>
      <w:r>
        <w:rPr>
          <w:rFonts w:ascii="Times New Roman" w:cs="Times New Roman" w:eastAsia="Times New Roman" w:hAnsi="Times New Roman"/>
          <w:sz w:val="18"/>
          <w:szCs w:val="18"/>
          <w:u w:val="single" w:color="auto"/>
          <w:color w:val="auto"/>
        </w:rPr>
        <w:t>Warrant Exercise Price</w:t>
      </w:r>
      <w:r>
        <w:rPr>
          <w:rFonts w:ascii="Times New Roman" w:cs="Times New Roman" w:eastAsia="Times New Roman" w:hAnsi="Times New Roman"/>
          <w:sz w:val="18"/>
          <w:szCs w:val="18"/>
          <w:color w:val="auto"/>
        </w:rPr>
        <w:t>”) on or before 8:30 a.m., Eastern Time, on May 20, 2025 (the “</w:t>
      </w:r>
      <w:r>
        <w:rPr>
          <w:rFonts w:ascii="Times New Roman" w:cs="Times New Roman" w:eastAsia="Times New Roman" w:hAnsi="Times New Roman"/>
          <w:sz w:val="18"/>
          <w:szCs w:val="18"/>
          <w:u w:val="single" w:color="auto"/>
          <w:color w:val="auto"/>
        </w:rPr>
        <w:t>Execution Time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Additionally, the Company agrees to the representations, warranties and covenants set forth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Holder represents and warrants that, as of the date hereof it is, and on each date on which it exercises any New Warrants it will be, an “accredited investor” as defined in Rule 501 of Regulation D promulgated under the Securities Act, and agrees that the New Warrants will contain restrictive legends when issued, and neither the New Warrants nor the shares of Common Stock issuable upon exercise of the New Warrants will be registered under the Securities Act, except as provided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Also, Holder represents and warrants that it is acquiring the New Warrants as principal for its own account and has no direct or indirect arrangement or understandings with any other persons to distribute or regarding the distribution of the New Warrants or New Warrant Shares (this representation is not limiting Holder’s right to sell the New Warrant Shares pursuant to an effective registration statement under the Securities Act or otherwise in compliance with applicable federal and state securities laws).</w:t>
      </w:r>
    </w:p>
    <w:p>
      <w:pPr>
        <w:spacing w:after="0" w:line="19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Holder understands that the New Warrants and the New Warrant Shares are not, and may never be, registered under the Securities Act, or the securities laws of any state and, accordingly, each certificate, if any, representing such securities shall bear a legend substantially similar to the following:</w:t>
      </w:r>
    </w:p>
    <w:p>
      <w:pPr>
        <w:spacing w:after="0" w:line="68" w:lineRule="exact"/>
        <w:rPr>
          <w:sz w:val="20"/>
          <w:szCs w:val="20"/>
          <w:color w:val="auto"/>
        </w:rPr>
      </w:pPr>
    </w:p>
    <w:p>
      <w:pPr>
        <w:ind w:left="440" w:right="380" w:firstLine="423"/>
        <w:spacing w:after="0" w:line="256" w:lineRule="auto"/>
        <w:rPr>
          <w:sz w:val="20"/>
          <w:szCs w:val="20"/>
          <w:color w:val="auto"/>
        </w:rPr>
      </w:pPr>
      <w:r>
        <w:rPr>
          <w:rFonts w:ascii="Times New Roman" w:cs="Times New Roman" w:eastAsia="Times New Roman" w:hAnsi="Times New Roman"/>
          <w:sz w:val="18"/>
          <w:szCs w:val="18"/>
          <w:color w:val="auto"/>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spacing w:after="0" w:line="187" w:lineRule="exact"/>
        <w:rPr>
          <w:sz w:val="20"/>
          <w:szCs w:val="20"/>
          <w:color w:val="auto"/>
        </w:rPr>
      </w:pPr>
    </w:p>
    <w:p>
      <w:pPr>
        <w:ind w:right="160" w:firstLine="440"/>
        <w:spacing w:after="0" w:line="254" w:lineRule="auto"/>
        <w:rPr>
          <w:sz w:val="20"/>
          <w:szCs w:val="20"/>
          <w:color w:val="auto"/>
        </w:rPr>
      </w:pPr>
      <w:r>
        <w:rPr>
          <w:rFonts w:ascii="Times New Roman" w:cs="Times New Roman" w:eastAsia="Times New Roman" w:hAnsi="Times New Roman"/>
          <w:sz w:val="18"/>
          <w:szCs w:val="18"/>
          <w:color w:val="auto"/>
        </w:rPr>
        <w:t>Certificates evidencing the New Warrant Shares shall not contain any legend (including the legend set forth above), (i) while a registration statement covering the resale of such New Warrant Shares is effective under the Securities Act, (ii) following any sale of such New Warrant Shares pursuant to Rule 144 under the Securities Act, (iii) if such New Warrant Shares are eligible for sale under Rule 144 (assuming cashless exercise of the New Warrants), without the requirement for the Company to be in compliance with the current public information required under Rule 144 as to such New Warrant Shares and without volume or manner-of-sale restrictions, (iv) if such New Warrant Shares may be sold under Rule 144 (assuming cashless exercise of the New Warrants) and the Company is then in compliance with the current public information required under Rule 144 as to such New Warrant Shares, or (v) if such legend is not required under applicable requirements of the Securities Act (including judicial interpretations and pronouncements issued by the staff of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and</w:t>
      </w:r>
    </w:p>
    <w:p>
      <w:pPr>
        <w:sectPr>
          <w:pgSz w:w="11900" w:h="16838" w:orient="portrait"/>
          <w:cols w:equalWidth="0" w:num="1">
            <w:col w:w="11000"/>
          </w:cols>
          <w:pgMar w:left="440" w:top="270" w:right="459" w:bottom="1440" w:gutter="0" w:footer="0" w:header="0"/>
        </w:sectPr>
      </w:pPr>
    </w:p>
    <w:bookmarkStart w:id="6" w:name="page7"/>
    <w:bookmarkEnd w:id="6"/>
    <w:p>
      <w:pPr>
        <w:ind w:right="60"/>
        <w:spacing w:after="0" w:line="23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earliest of clauses (i) through (v), the “</w:t>
      </w:r>
      <w:r>
        <w:rPr>
          <w:rFonts w:ascii="Times New Roman" w:cs="Times New Roman" w:eastAsia="Times New Roman" w:hAnsi="Times New Roman"/>
          <w:sz w:val="18"/>
          <w:szCs w:val="18"/>
          <w:u w:val="single" w:color="auto"/>
          <w:color w:val="auto"/>
        </w:rPr>
        <w:t>Delegend Date</w:t>
      </w:r>
      <w:r>
        <w:rPr>
          <w:rFonts w:ascii="Times New Roman" w:cs="Times New Roman" w:eastAsia="Times New Roman" w:hAnsi="Times New Roman"/>
          <w:sz w:val="18"/>
          <w:szCs w:val="18"/>
          <w:color w:val="auto"/>
        </w:rPr>
        <w:t>”)). The Company shall cause its counsel to issue a legal opinion to the Transfer Agent promptly after the Delegend Date if required by the Company and/or the Transfer Agent to effect the removal of the legend hereunder, or at the request of the Holder, which opinion shall be in form and substance reasonably acceptable to the Holder. From and after the Delegend Date, such New Warrant Shares shall be issued free of all legends. The Company agrees that following the Delegend Date or at such time as such legend is no longer required under this Section, it will, no later than one (1) Trading Day following the delivery by the Holder to the Company or the Transfer Agent of a certificate representing the New Warrant Shares issued with a restrictive legend (such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Trading Day, the “</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deliver or cause to be delivered to the Holder a certificate representing such shares that is free from all restrictive and other legends or, at the request of the Holder shall credit the account of the Holder’s prime broker with the Depository Trust Company System as directed by the Holder.</w:t>
      </w:r>
    </w:p>
    <w:p>
      <w:pPr>
        <w:spacing w:after="0" w:line="20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In addition to the Holder’s other available remedies, the Company shall pay to a Holder, in cash, (i) as partial liquidated damages and not as a penalty, for each $1,000 of New Warrant Shares (based on the VWAP of the Common Stock on the date such New Warrant Shares are submitted to the Transfer Agent) delivered for removal of the restrictive legend, $10 per Trading Day (increasing to $20 per Trading Day five (5) Trading Days after such damages have begun to accrue) for each Trading Day after the Legend Removal Date until such certificate is delivered without a legend; provided, however, in no event shall payments made pursuant to this provision exceed an aggregate of 5% of the Aggregate Warrant Exercise Price, and (ii) if the Company fails to (a) issue and deliver (or cause to be delivered) to the Holder by the Legend Removal Date a certificate representing the New Warrant Shares that is free from all restrictive and other legends and (b) if after the Legend Removal Date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that the Holder anticipated receiving from the Company without any restrictive legend, then, an amount equal to the excess of the Holder’s total purchase price (including brokerage commissions and other out-of-pocket expenses, if any) for the shares of Common Stock so purchased (including brokerage commissions and other out-of-pocket expenses, if any) (the “</w:t>
      </w:r>
      <w:r>
        <w:rPr>
          <w:rFonts w:ascii="Times New Roman" w:cs="Times New Roman" w:eastAsia="Times New Roman" w:hAnsi="Times New Roman"/>
          <w:sz w:val="18"/>
          <w:szCs w:val="18"/>
          <w:u w:val="single" w:color="auto"/>
          <w:color w:val="auto"/>
        </w:rPr>
        <w:t>Buy-In Price</w:t>
      </w:r>
      <w:r>
        <w:rPr>
          <w:rFonts w:ascii="Times New Roman" w:cs="Times New Roman" w:eastAsia="Times New Roman" w:hAnsi="Times New Roman"/>
          <w:sz w:val="18"/>
          <w:szCs w:val="18"/>
          <w:color w:val="auto"/>
        </w:rPr>
        <w:t>”) over the product of (A) such number of New Warrant Shares that the Company was required to deliver to the Holder by the Legend Removal Date and for which the Holder was required to purchase shares to timely satisfy delivery requirements, multiplied by (B) the weighted average price at which the Holder sold that number of shares of Common Stock.</w:t>
      </w:r>
    </w:p>
    <w:p>
      <w:pPr>
        <w:spacing w:after="0" w:line="19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If this offer is accepted and the transaction documents are executed by the Execution Time, as promptly as possible following the Execution Time, but in any event no later than 9 a.m., Eastern Time, on the Trading Day following the date hereof, the Company shall file a Current Report on Form 8-K with the Commission disclosing all material terms of the transactions contemplated hereunder, including the filing with the Commission of this letter agreement as an exhibit thereto within the time required by the Exchange Act. From and after the filing of such Current Report on Form 8-K, the Company represents to you that it shall have publicly disclosed all material, non-public information delivered to you by the Company, or any of its respective officers, directors, employees or agents in connection with the transactions contemplated hereunder. In addition, effective upon the filing of such Current Report on Form 8-K, the Company acknowledges and agrees that any and all confidentiality or similar obligations under any agreement, whether written or oral, between the Company, any of its Subsidiaries or any of their respective officers, directors, agents, employees or Affiliates on the one hand, and you and your Affiliates on the other hand, shall terminate. The Company represents, warrants and covenants that, upon acceptance of this offer, the Warrant Shares shall be issued free of any legends or restrictions on resale by Holder.</w:t>
      </w:r>
    </w:p>
    <w:p>
      <w:pPr>
        <w:sectPr>
          <w:pgSz w:w="11900" w:h="16838" w:orient="portrait"/>
          <w:cols w:equalWidth="0" w:num="1">
            <w:col w:w="11000"/>
          </w:cols>
          <w:pgMar w:left="440" w:top="270" w:right="459" w:bottom="1440" w:gutter="0" w:footer="0" w:header="0"/>
        </w:sectPr>
      </w:pPr>
    </w:p>
    <w:bookmarkStart w:id="7" w:name="page8"/>
    <w:bookmarkEnd w:id="7"/>
    <w:p>
      <w:pPr>
        <w:ind w:firstLine="440"/>
        <w:spacing w:after="0" w:line="24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later than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Trading Day following the date of the public disclosure of the transactions hereunder, the closing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occur at such location as the parties shall mutually agree. Unless otherwise directed by Maxim Group LLC (the “</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settlement of the Warrant Shares shall occur via “Delivery Versus Payment” (“</w:t>
      </w:r>
      <w:r>
        <w:rPr>
          <w:rFonts w:ascii="Times New Roman" w:cs="Times New Roman" w:eastAsia="Times New Roman" w:hAnsi="Times New Roman"/>
          <w:sz w:val="18"/>
          <w:szCs w:val="18"/>
          <w:u w:val="single" w:color="auto"/>
          <w:color w:val="auto"/>
        </w:rPr>
        <w:t>DVP</w:t>
      </w:r>
      <w:r>
        <w:rPr>
          <w:rFonts w:ascii="Times New Roman" w:cs="Times New Roman" w:eastAsia="Times New Roman" w:hAnsi="Times New Roman"/>
          <w:sz w:val="18"/>
          <w:szCs w:val="18"/>
          <w:color w:val="auto"/>
        </w:rPr>
        <w:t>”) (i.e., on the Closing Date (as defined below), the Company shall issue the Warrant Shares registered in the Holders’ names and addresses and released by the Transfer Agent directly to the account(s) at the Placement Agent identified by each Holder; upon receipt of such Warrant Shares, the Placement Agent shall promptly electronically deliver such Warrant Shares to the applicable Holder, and payment therefor shall be made by the Placement Agent (or its clearing firm) by wire transfer to the Company). The date of the Closing of the Warrant Exercise shall be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Notwithstanding the foregoing, to the extent that the Holder’s exercise of the Existing Warrants would result in the Holder exceeding the Beneficial Ownership Limitation, then the Warrant Shares from such exercise of Warrants that exceed the Beneficial Ownership Limitation shall be held in abeyance for the benefit of the Holder until such time, if ever, as would not result in the Holder exceeding the Beneficial Ownership Limitation.</w:t>
      </w:r>
    </w:p>
    <w:p>
      <w:pPr>
        <w:spacing w:after="0" w:line="196"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Company acknowledges and agrees that the obligations of the Holders under this letter agreement are several and not joint with the obligations of any other holder or holders of Existing Warrants or other warrants to purchase Common Stock of the Company (each, an “</w:t>
      </w:r>
      <w:r>
        <w:rPr>
          <w:rFonts w:ascii="Times New Roman" w:cs="Times New Roman" w:eastAsia="Times New Roman" w:hAnsi="Times New Roman"/>
          <w:sz w:val="18"/>
          <w:szCs w:val="18"/>
          <w:u w:val="single" w:color="auto"/>
          <w:color w:val="auto"/>
        </w:rPr>
        <w:t>Other Holder</w:t>
      </w:r>
      <w:r>
        <w:rPr>
          <w:rFonts w:ascii="Times New Roman" w:cs="Times New Roman" w:eastAsia="Times New Roman" w:hAnsi="Times New Roman"/>
          <w:sz w:val="18"/>
          <w:szCs w:val="18"/>
          <w:color w:val="auto"/>
        </w:rPr>
        <w:t>”) under any other agreement related to the exercise of such warrants (“</w:t>
      </w:r>
      <w:r>
        <w:rPr>
          <w:rFonts w:ascii="Times New Roman" w:cs="Times New Roman" w:eastAsia="Times New Roman" w:hAnsi="Times New Roman"/>
          <w:sz w:val="18"/>
          <w:szCs w:val="18"/>
          <w:u w:val="single" w:color="auto"/>
          <w:color w:val="auto"/>
        </w:rPr>
        <w:t>Other Warrant Exercise Agreement</w:t>
      </w:r>
      <w:r>
        <w:rPr>
          <w:rFonts w:ascii="Times New Roman" w:cs="Times New Roman" w:eastAsia="Times New Roman" w:hAnsi="Times New Roman"/>
          <w:sz w:val="18"/>
          <w:szCs w:val="18"/>
          <w:color w:val="auto"/>
        </w:rPr>
        <w:t>”), and the Holder shall not be responsible in any way for the performance of the obligations of any Other Holder or under any such Other Warrant Exercise Agreement. Nothing contained in this letter agreement, and no action taken by the Holders pursuant hereto, shall be deemed to constitute the Holder and the Other Holders as a partnership, an association, a joint venture or any other kind of entity, or create a presumption that the Holder and the Other Holders are in any way acting in concert or as a group with respect to such obligations or the transactions contemplated by this letter agreement and the Company acknowledges that the Holder and the Other Holders are not acting in concert or as a group with respect to such obligations or the transactions contemplated by this letter agreement or any Other Warrant Exercise Agreement. The Company and the Holder confirm that the Holder has independently participated in the negotiation of the transactions contemplated hereby with the advice of its own counsel and advisors. The Holder shall be entitled to independently protect and enforce its rights, including, without limitation, the rights arising out of this letter agreement, and it shall not be necessary for any Other Holder to be joined as an additional party in any proceeding for such purpose.</w:t>
      </w:r>
    </w:p>
    <w:p>
      <w:pPr>
        <w:spacing w:after="0" w:line="19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 shall pay all transfer agent fees, stamp taxes and other taxes and duties levied in connection with the delivery of any Warrant Shares. This letter agreement shall be construed and enforced in accordance with the laws of the State of New York, without regards to conflicts of laws principles. Each party hereby irrevocably submits to the exclusive jurisdiction of the state and federal courts sitting in the City of New York, Borough of Manhattan for the adjudication of any dispute hereunder or in connection herewith or with any transaction contemplated hereby.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w:t>
      </w:r>
      <w:r>
        <w:rPr>
          <w:rFonts w:ascii="Times New Roman" w:cs="Times New Roman" w:eastAsia="Times New Roman" w:hAnsi="Times New Roman"/>
          <w:sz w:val="14"/>
          <w:szCs w:val="14"/>
          <w:color w:val="auto"/>
        </w:rPr>
        <w:t>VAI</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Svai Sanford</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000"/>
          </w:cols>
          <w:pgMar w:left="440" w:top="270" w:right="4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 SIGNATURE PAGE FOLLOWS]</w:t>
      </w:r>
    </w:p>
    <w:p>
      <w:pPr>
        <w:sectPr>
          <w:pgSz w:w="11900" w:h="16838" w:orient="portrait"/>
          <w:cols w:equalWidth="0" w:num="1">
            <w:col w:w="9019"/>
          </w:cols>
          <w:pgMar w:left="1440" w:top="270"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3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Accepted and Agreed to:</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32"/>
        </w:trPr>
        <w:tc>
          <w:tcPr>
            <w:tcW w:w="4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xml:space="preserve">Name of Holder: </w:t>
            </w:r>
            <w:r>
              <w:rPr>
                <w:rFonts w:ascii="Times New Roman" w:cs="Times New Roman" w:eastAsia="Times New Roman" w:hAnsi="Times New Roman"/>
                <w:sz w:val="18"/>
                <w:szCs w:val="18"/>
                <w:b w:val="1"/>
                <w:bCs w:val="1"/>
                <w:color w:val="auto"/>
              </w:rPr>
              <w:t>Armistice Capital Master Fund Ltd.</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91"/>
        </w:trPr>
        <w:tc>
          <w:tcPr>
            <w:tcW w:w="4480" w:type="dxa"/>
            <w:vAlign w:val="bottom"/>
            <w:gridSpan w:val="8"/>
          </w:tcPr>
          <w:p>
            <w:pPr>
              <w:spacing w:after="0"/>
              <w:rPr>
                <w:sz w:val="20"/>
                <w:szCs w:val="20"/>
                <w:color w:val="auto"/>
              </w:rPr>
            </w:pPr>
            <w:r>
              <w:rPr>
                <w:rFonts w:ascii="Times New Roman" w:cs="Times New Roman" w:eastAsia="Times New Roman" w:hAnsi="Times New Roman"/>
                <w:sz w:val="18"/>
                <w:szCs w:val="18"/>
                <w:i w:val="1"/>
                <w:iCs w:val="1"/>
                <w:color w:val="auto"/>
                <w:w w:val="96"/>
              </w:rPr>
              <w:t>Signature of Authorized Signatory of Holder</w:t>
            </w:r>
            <w:r>
              <w:rPr>
                <w:rFonts w:ascii="Times New Roman" w:cs="Times New Roman" w:eastAsia="Times New Roman" w:hAnsi="Times New Roman"/>
                <w:sz w:val="18"/>
                <w:szCs w:val="18"/>
                <w:color w:val="auto"/>
                <w:w w:val="96"/>
              </w:rPr>
              <w:t>: /s/ Steven Boyd </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24"/>
                <w:szCs w:val="24"/>
                <w:color w:val="auto"/>
              </w:rPr>
            </w:pPr>
          </w:p>
        </w:tc>
      </w:tr>
      <w:tr>
        <w:trPr>
          <w:trHeight w:val="20"/>
        </w:trPr>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3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Name of Authorized Signatory: Steven Boyd 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412"/>
        </w:trPr>
        <w:tc>
          <w:tcPr>
            <w:tcW w:w="37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6"/>
              </w:rPr>
              <w:t>Title of Authorized Signatory: Managing Member 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2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Number of Existing Series B Common Warrants: </w:t>
      </w:r>
      <w:r>
        <w:rPr>
          <w:rFonts w:ascii="Times New Roman" w:cs="Times New Roman" w:eastAsia="Times New Roman" w:hAnsi="Times New Roman"/>
          <w:sz w:val="18"/>
          <w:szCs w:val="18"/>
          <w:b w:val="1"/>
          <w:bCs w:val="1"/>
          <w:color w:val="auto"/>
        </w:rPr>
        <w:t>3,246,753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Number of Existing Series B Common Warrants being exercised: </w:t>
      </w:r>
      <w:r>
        <w:rPr>
          <w:rFonts w:ascii="Times New Roman" w:cs="Times New Roman" w:eastAsia="Times New Roman" w:hAnsi="Times New Roman"/>
          <w:sz w:val="18"/>
          <w:szCs w:val="18"/>
          <w:b w:val="1"/>
          <w:bCs w:val="1"/>
          <w:color w:val="auto"/>
        </w:rPr>
        <w:t>3,246,753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Number of Existing Series C Common Warrants: </w:t>
      </w:r>
      <w:r>
        <w:rPr>
          <w:rFonts w:ascii="Times New Roman" w:cs="Times New Roman" w:eastAsia="Times New Roman" w:hAnsi="Times New Roman"/>
          <w:sz w:val="18"/>
          <w:szCs w:val="18"/>
          <w:b w:val="1"/>
          <w:bCs w:val="1"/>
          <w:color w:val="auto"/>
        </w:rPr>
        <w:t>3,333,333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Number of Existing Series C Common Warrants being exercised: </w:t>
      </w:r>
      <w:r>
        <w:rPr>
          <w:rFonts w:ascii="Times New Roman" w:cs="Times New Roman" w:eastAsia="Times New Roman" w:hAnsi="Times New Roman"/>
          <w:sz w:val="18"/>
          <w:szCs w:val="18"/>
          <w:b w:val="1"/>
          <w:bCs w:val="1"/>
          <w:color w:val="auto"/>
        </w:rPr>
        <w:t>3,333,333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Aggregate Warrant Exercise Price at the Reduced Exercise Price being exercised contemporaneously with signing this letter agreement: </w:t>
      </w:r>
      <w:r>
        <w:rPr>
          <w:rFonts w:ascii="Times New Roman" w:cs="Times New Roman" w:eastAsia="Times New Roman" w:hAnsi="Times New Roman"/>
          <w:sz w:val="17"/>
          <w:szCs w:val="17"/>
          <w:b w:val="1"/>
          <w:bCs w:val="1"/>
          <w:color w:val="auto"/>
        </w:rPr>
        <w:t>$4,277,055.90</w:t>
      </w:r>
    </w:p>
    <w:p>
      <w:pPr>
        <w:spacing w:after="0" w:line="20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Existing Warrant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New Warrants: (200% of the total Existing Warrants being exercised): </w:t>
      </w:r>
      <w:r>
        <w:rPr>
          <w:rFonts w:ascii="Times New Roman" w:cs="Times New Roman" w:eastAsia="Times New Roman" w:hAnsi="Times New Roman"/>
          <w:sz w:val="18"/>
          <w:szCs w:val="18"/>
          <w:b w:val="1"/>
          <w:bCs w:val="1"/>
          <w:color w:val="auto"/>
        </w:rPr>
        <w:t>13,160,172</w:t>
      </w:r>
    </w:p>
    <w:p>
      <w:pPr>
        <w:spacing w:after="0" w:line="18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New Warrant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X 9.99%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Instructions:</w:t>
      </w:r>
    </w:p>
    <w:p>
      <w:pPr>
        <w:sectPr>
          <w:pgSz w:w="11900" w:h="16838" w:orient="portrait"/>
          <w:cols w:equalWidth="0" w:num="1">
            <w:col w:w="10840"/>
          </w:cols>
          <w:pgMar w:left="440" w:top="270" w:right="619" w:bottom="1440" w:gutter="0" w:footer="0" w:header="0"/>
        </w:sectPr>
      </w:pPr>
    </w:p>
    <w:bookmarkStart w:id="10" w:name="page11"/>
    <w:bookmarkEnd w:id="10"/>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 SIGNATURE PAGE TO RANI INDUCEMENT OFFER]</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Representations, Warranties and Covenants of the Company</w:t>
      </w:r>
      <w:r>
        <w:rPr>
          <w:rFonts w:ascii="Times New Roman" w:cs="Times New Roman" w:eastAsia="Times New Roman" w:hAnsi="Times New Roman"/>
          <w:sz w:val="18"/>
          <w:szCs w:val="18"/>
          <w:color w:val="auto"/>
        </w:rPr>
        <w:t>. The Company hereby makes the following representations and warranties to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Holder:</w:t>
      </w:r>
    </w:p>
    <w:p>
      <w:pPr>
        <w:spacing w:after="0" w:line="112" w:lineRule="exact"/>
        <w:rPr>
          <w:sz w:val="20"/>
          <w:szCs w:val="20"/>
          <w:color w:val="auto"/>
        </w:rPr>
      </w:pPr>
    </w:p>
    <w:p>
      <w:pPr>
        <w:ind w:left="424" w:right="20" w:hanging="424"/>
        <w:spacing w:after="0" w:line="255"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Exchange Act, including pursuant to Section 13(a) or 15(d) thereof, for the one year preceding the date hereof (or such shorter period as the Company was required by law or regulation to file such material) (the foregoing materials, including the exhibits thereto and documents incorporated by reference therein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As of their respective dates, the SEC Reports complied in all material respects with the requirements of the Exchange Act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is not currently an issuer subject to Rule 144(i) under the Securities Act.</w:t>
      </w:r>
    </w:p>
    <w:p>
      <w:pPr>
        <w:spacing w:after="0" w:line="94" w:lineRule="exact"/>
        <w:rPr>
          <w:rFonts w:ascii="Times New Roman" w:cs="Times New Roman" w:eastAsia="Times New Roman" w:hAnsi="Times New Roman"/>
          <w:sz w:val="18"/>
          <w:szCs w:val="18"/>
          <w:color w:val="auto"/>
        </w:rPr>
      </w:pPr>
    </w:p>
    <w:p>
      <w:pPr>
        <w:ind w:left="424" w:right="40" w:hanging="424"/>
        <w:spacing w:after="0" w:line="253"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letter agreement and otherwise to carry out its obligations hereunder. The execution and delivery of this letter agreement by the Company and the consummation by the Company of the transactions contemplated hereby have been duly authorized by all necessary action on the part of the Company and no further action is required by the Company, its board of directors or its stockholders in connection therewith (other than the Shareholder Approval as defined below). This letter agreement has been duly executed by the Company and, when delivered in accordance with the terms 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99" w:lineRule="exact"/>
        <w:rPr>
          <w:rFonts w:ascii="Times New Roman" w:cs="Times New Roman" w:eastAsia="Times New Roman" w:hAnsi="Times New Roman"/>
          <w:sz w:val="18"/>
          <w:szCs w:val="18"/>
          <w:color w:val="auto"/>
        </w:rPr>
      </w:pPr>
    </w:p>
    <w:p>
      <w:pPr>
        <w:ind w:left="424" w:hanging="424"/>
        <w:spacing w:after="0" w:line="269" w:lineRule="auto"/>
        <w:tabs>
          <w:tab w:leader="none" w:pos="42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Conflicts</w:t>
      </w:r>
      <w:r>
        <w:rPr>
          <w:rFonts w:ascii="Times New Roman" w:cs="Times New Roman" w:eastAsia="Times New Roman" w:hAnsi="Times New Roman"/>
          <w:sz w:val="17"/>
          <w:szCs w:val="17"/>
          <w:color w:val="auto"/>
        </w:rPr>
        <w:t>. The execution, delivery and performance of this letter agreement by the Company and the consummation by the Company of the transactions contemplated hereby do not and will not: (i) conflict with or violate any provision of the Company’s certificate or articles of incorporation, bylaws or other organizational or charter documents; or (ii) conflict with, or constitute a default (or an event that with notice or lapse of time or both would become a default) under, result in the creation of any liens, claims, security interests, other encumbrances or defects upon any of the properties or assets of the Company in connection with, or give to others any rights of termination, amendment, acceleration or cancellation (with or without notice, lapse of time or both) of, any material agreement, credit facility, debt or other material instrument (evidencing Company debt or otherwise) or other material understanding to which such Company is a party or by which any property or asset of the Company is bound or affected; or (iii) conflict with or result in a violation of any law, rule, regulation, order, judgment, injunction, decree or other restriction of any court or governmental authority to which the Company is subject (including federal and state securities laws and regulations), or by which any property or asset of the Company is bound or affected, except, in the case of each of clauses (ii) and (iii), such as could not have or reasonably be expected to result in a material adverse effect upon the business, prospects, properties, operations, condition (financial or otherwise) or results of operations of the Company, taken as a whole, or in its ability to perform its obligations under this letter agreement.</w:t>
      </w:r>
    </w:p>
    <w:p>
      <w:pPr>
        <w:sectPr>
          <w:pgSz w:w="11900" w:h="16838" w:orient="portrait"/>
          <w:cols w:equalWidth="0" w:num="1">
            <w:col w:w="11004"/>
          </w:cols>
          <w:pgMar w:left="436" w:top="270" w:right="459" w:bottom="1440" w:gutter="0" w:footer="0" w:header="0"/>
        </w:sectPr>
      </w:pPr>
    </w:p>
    <w:bookmarkStart w:id="11" w:name="page12"/>
    <w:bookmarkEnd w:id="11"/>
    <w:p>
      <w:pPr>
        <w:ind w:left="424" w:hanging="424"/>
        <w:spacing w:after="0" w:line="25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Obligations</w:t>
      </w:r>
      <w:r>
        <w:rPr>
          <w:rFonts w:ascii="Times New Roman" w:cs="Times New Roman" w:eastAsia="Times New Roman" w:hAnsi="Times New Roman"/>
          <w:sz w:val="18"/>
          <w:szCs w:val="18"/>
          <w:color w:val="auto"/>
        </w:rPr>
        <w:t>. As soon as practicable (and in any event within forty-five (45) calendar days of the date of this letter agreement) (the “</w:t>
      </w:r>
      <w:r>
        <w:rPr>
          <w:rFonts w:ascii="Times New Roman" w:cs="Times New Roman" w:eastAsia="Times New Roman" w:hAnsi="Times New Roman"/>
          <w:sz w:val="18"/>
          <w:szCs w:val="18"/>
          <w:u w:val="single" w:color="auto"/>
          <w:color w:val="auto"/>
        </w:rPr>
        <w:t>Filing Date</w:t>
      </w:r>
      <w:r>
        <w:rPr>
          <w:rFonts w:ascii="Times New Roman" w:cs="Times New Roman" w:eastAsia="Times New Roman" w:hAnsi="Times New Roman"/>
          <w:sz w:val="18"/>
          <w:szCs w:val="18"/>
          <w:color w:val="auto"/>
        </w:rPr>
        <w:t>”), the Company shall file a registration statement on Form S-3 (or other appropriate form if the Company is not then S-3 eligible) providing for the resale of the New Warrant Shares by the holders of the New Warrants (the “</w:t>
      </w:r>
      <w:r>
        <w:rPr>
          <w:rFonts w:ascii="Times New Roman" w:cs="Times New Roman" w:eastAsia="Times New Roman" w:hAnsi="Times New Roman"/>
          <w:sz w:val="18"/>
          <w:szCs w:val="18"/>
          <w:u w:val="single" w:color="auto"/>
          <w:color w:val="auto"/>
        </w:rPr>
        <w:t>Resale Registration Statement</w:t>
      </w:r>
      <w:r>
        <w:rPr>
          <w:rFonts w:ascii="Times New Roman" w:cs="Times New Roman" w:eastAsia="Times New Roman" w:hAnsi="Times New Roman"/>
          <w:sz w:val="18"/>
          <w:szCs w:val="18"/>
          <w:color w:val="auto"/>
        </w:rPr>
        <w:t>”). The Company shall use best efforts to cause the Resale Registration Statement to become effective by the date on which Shareholder Approval is obtained (the “</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and to keep the Resale Registration Statement effective at all times until no holder of the New Warrants owns any New Warrants or New Warrant Shares. In the event that the Resale Registration Statement is not (i) filed by the Filing Date or (ii) declared effective by the Commission by the Effectiveness Date, then, in addition to any other rights the holders of New Warrants may have hereunder or under applicable law, on the Filing Date or the Effectiveness Date (each such date being referred to herein as an “</w:t>
      </w:r>
      <w:r>
        <w:rPr>
          <w:rFonts w:ascii="Times New Roman" w:cs="Times New Roman" w:eastAsia="Times New Roman" w:hAnsi="Times New Roman"/>
          <w:sz w:val="18"/>
          <w:szCs w:val="18"/>
          <w:u w:val="single" w:color="auto"/>
          <w:color w:val="auto"/>
        </w:rPr>
        <w:t>Event Date</w:t>
      </w:r>
      <w:r>
        <w:rPr>
          <w:rFonts w:ascii="Times New Roman" w:cs="Times New Roman" w:eastAsia="Times New Roman" w:hAnsi="Times New Roman"/>
          <w:sz w:val="18"/>
          <w:szCs w:val="18"/>
          <w:color w:val="auto"/>
        </w:rPr>
        <w:t>”) and on each monthly anniversary of such Event Date (if the Resale Registration Statement shall not have been filed or declared effective by the applicable Event Date) until the Resale Registration Statement is filed or declared effective, the Company shall pay to each holder of New Warrants an amount in cash, as partial liquidated damages and not as a penalty, equal to the product of 1.0% multiplied by the aggregate exercise price of the New Warrants held by each holder of the New Warrants; provided, however, in no event shall payments made pursuant to this provision exceed an aggregate of 5% of the aggregate exercise price of the New Warrants. If the Company fails to pay any partial liquidated damages pursuant to this Section in full within seven days after the date payable, the Company will pay interest thereon at a rate of 18% per annum (or such lesser maximum amount that is permitted to be paid by applicable law) to the holders of the New Warrants, accruing daily from the date such partial liquidated damages are due until such amounts, plus all such interest thereon, are paid in full. The partial liquidated damages pursuant to the terms hereof shall apply on a daily pro rata basis for any portion of a month prior to the Resale Registration Statement being filed or declared effective, as the case may be.</w:t>
      </w:r>
    </w:p>
    <w:p>
      <w:pPr>
        <w:spacing w:after="0" w:line="9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The transactions contemplated under this letter agreement comply with all the rules and regulations of the Nasdaq Global Market.</w:t>
      </w:r>
    </w:p>
    <w:p>
      <w:pPr>
        <w:spacing w:after="0" w:line="130" w:lineRule="exact"/>
        <w:rPr>
          <w:rFonts w:ascii="Times New Roman" w:cs="Times New Roman" w:eastAsia="Times New Roman" w:hAnsi="Times New Roman"/>
          <w:sz w:val="18"/>
          <w:szCs w:val="18"/>
          <w:color w:val="auto"/>
        </w:rPr>
      </w:pPr>
    </w:p>
    <w:p>
      <w:pPr>
        <w:ind w:left="424" w:right="20" w:hanging="424"/>
        <w:spacing w:after="0" w:line="256"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this letter agreement, other than: (i) the filings required pursuant to this letter agreement, (ii) application(s) or notice to each applicable Trading Market for the listing of the New Warrant Shares for trading thereon in the time and manner required thereby, (iii) the filing of Form D with the Commission, (iv) the Shareholder Approval for the exercise of the New Warrants and (v) such filings as are required to be made under applicable state securities laws.</w:t>
      </w:r>
    </w:p>
    <w:p>
      <w:pPr>
        <w:spacing w:after="0" w:line="92" w:lineRule="exact"/>
        <w:rPr>
          <w:rFonts w:ascii="Times New Roman" w:cs="Times New Roman" w:eastAsia="Times New Roman" w:hAnsi="Times New Roman"/>
          <w:sz w:val="18"/>
          <w:szCs w:val="18"/>
          <w:color w:val="auto"/>
        </w:rPr>
      </w:pPr>
    </w:p>
    <w:p>
      <w:pPr>
        <w:ind w:left="424" w:right="60" w:hanging="424"/>
        <w:spacing w:after="0" w:line="253"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best efforts to maintain the listing or quotation of the Common Stock on the Trading Market on which it is currently listed, and concurrently with the Closing, the Company shall apply to list or quote all of the New Warrant Shares on such Trading Market and promptly secure the listing of all of the New Warrant Shares on such Trading Market. The Company further agrees, if the Company applies to have the Common Stock traded on any other Trading Market, it will then include in such application all of the New Warrant Shares, and will take such other action as is necessary to cause all of the New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ectPr>
          <w:pgSz w:w="11900" w:h="16838" w:orient="portrait"/>
          <w:cols w:equalWidth="0" w:num="1">
            <w:col w:w="11004"/>
          </w:cols>
          <w:pgMar w:left="436" w:top="270" w:right="459" w:bottom="1440" w:gutter="0" w:footer="0" w:header="0"/>
        </w:sectPr>
      </w:pPr>
    </w:p>
    <w:bookmarkStart w:id="12" w:name="page13"/>
    <w:bookmarkEnd w:id="12"/>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Subsequent Equity Sales.</w:t>
      </w:r>
    </w:p>
    <w:p>
      <w:pPr>
        <w:spacing w:after="0" w:line="117" w:lineRule="exact"/>
        <w:rPr>
          <w:rFonts w:ascii="Times New Roman" w:cs="Times New Roman" w:eastAsia="Times New Roman" w:hAnsi="Times New Roman"/>
          <w:sz w:val="18"/>
          <w:szCs w:val="18"/>
          <w:color w:val="auto"/>
        </w:rPr>
      </w:pPr>
    </w:p>
    <w:p>
      <w:pPr>
        <w:ind w:left="444"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50 days after the Closing Date, neither the Company nor any Subsidiary shall (A) issue, enter into any agreement to issue or announce the issuance or proposed issuance of any Common Stock or Common Stock Equivalents or (B) file any registration statement or any amendment or supplement to any existing registration statement (other than the Resale Registration Statement referred to herein or a registration statement on Form S-8 in connection with any employee benefit plan). Notwithstanding the foregoing, this Section (h)(i) shall not apply in respect of an Exempt Issuance. “Exempt Issuance” means the issuance of (a) securities to employees, officers, consultants or directors of the Company pursuant to any equity incentive, stock or option plan duly adopted for such purpose, (b) securities upon the exercise or exchange of or conversion of any Securities issued hereunder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(c) securities issued pursuant to any joint venture, commercial or collaborative relationship, or the acquisition or license by the Company of the securities, businesses, property or other assets of another person approved by a majority of the disinterested directors of the Company, provided that either (1) such securities are issued as “restricted securities” (as defined in Rule 144) and carry no registration rights that require or permit the filing of any registration statement in connection therewith during the prohibition period herein or (2) such purchaser is prohibited from selling, transferring or otherwise disposing of such securities during the prohibition period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and</w:t>
      </w:r>
    </w:p>
    <w:p>
      <w:pPr>
        <w:spacing w:after="0" w:line="9" w:lineRule="exact"/>
        <w:rPr>
          <w:rFonts w:ascii="Times New Roman" w:cs="Times New Roman" w:eastAsia="Times New Roman" w:hAnsi="Times New Roman"/>
          <w:sz w:val="18"/>
          <w:szCs w:val="18"/>
          <w:color w:val="auto"/>
        </w:rPr>
      </w:pPr>
    </w:p>
    <w:p>
      <w:pPr>
        <w:ind w:left="444" w:right="1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issuances to one or more lenders in connection with the Company’s entry into a debt financing transaction, provided that such issuances shall only be in the form of warrants to purchase shares of Common Stock and carry no registration rights that require or permit the filing of any registration statement in connection therewith during the prohibition period herein.</w:t>
      </w:r>
    </w:p>
    <w:p>
      <w:pPr>
        <w:spacing w:after="0" w:line="78" w:lineRule="exact"/>
        <w:rPr>
          <w:sz w:val="20"/>
          <w:szCs w:val="20"/>
          <w:color w:val="auto"/>
        </w:rPr>
      </w:pPr>
    </w:p>
    <w:p>
      <w:pPr>
        <w:ind w:left="444"/>
        <w:spacing w:after="0" w:line="270" w:lineRule="auto"/>
        <w:rPr>
          <w:sz w:val="20"/>
          <w:szCs w:val="20"/>
          <w:color w:val="auto"/>
        </w:rPr>
      </w:pPr>
      <w:r>
        <w:rPr>
          <w:rFonts w:ascii="Times New Roman" w:cs="Times New Roman" w:eastAsia="Times New Roman" w:hAnsi="Times New Roman"/>
          <w:sz w:val="17"/>
          <w:szCs w:val="17"/>
          <w:color w:val="auto"/>
        </w:rPr>
        <w:t>From the date hereof until 90 days following the Closing Date, the Company shall be prohibited from effecting or entering into an agreement to effect any issuance by the Company nor any Subsidiary of Common Stock or Common Stock Equivalents (or a combination of units thereof) involving a Variable Rate Transaction. “Variable Rate Transaction” means a transaction in which the Company (i) issues or sells any debt or equity securities that are convertible into, exchangeable or exercisable for, or include the right to receive, additional shares of Common Stock either</w:t>
      </w:r>
    </w:p>
    <w:p>
      <w:pPr>
        <w:spacing w:after="0" w:line="3" w:lineRule="exact"/>
        <w:rPr>
          <w:sz w:val="20"/>
          <w:szCs w:val="20"/>
          <w:color w:val="auto"/>
        </w:rPr>
      </w:pPr>
    </w:p>
    <w:p>
      <w:pPr>
        <w:ind w:left="444" w:right="40" w:hanging="4"/>
        <w:spacing w:after="0" w:line="250" w:lineRule="auto"/>
        <w:tabs>
          <w:tab w:leader="none" w:pos="73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and regardless of whether such agreement is subsequently canceled;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from and after 50 days following the Closing Date, shares of Common Stock can be sold and issued pursuant to an existing controlled equity offering sales agreement between the Company and</w:t>
      </w:r>
    </w:p>
    <w:p>
      <w:pPr>
        <w:spacing w:after="0" w:line="3" w:lineRule="exact"/>
        <w:rPr>
          <w:rFonts w:ascii="Times New Roman" w:cs="Times New Roman" w:eastAsia="Times New Roman" w:hAnsi="Times New Roman"/>
          <w:sz w:val="18"/>
          <w:szCs w:val="18"/>
          <w:color w:val="auto"/>
        </w:rPr>
      </w:pPr>
    </w:p>
    <w:p>
      <w:pPr>
        <w:ind w:left="444"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 Wainwright &amp; Co., LLC under an “at-the-market” offering program if sales under the “at-the-market” offering program are made at a price per share of not less than $1.00. The Holder shall be entitled to obtain injunctive relief against the Company to preclude any such issuance, which remedy shall be in addition to any right to collect damages.</w:t>
      </w:r>
    </w:p>
    <w:p>
      <w:pPr>
        <w:sectPr>
          <w:pgSz w:w="11900" w:h="16838" w:orient="portrait"/>
          <w:cols w:equalWidth="0" w:num="1">
            <w:col w:w="11024"/>
          </w:cols>
          <w:pgMar w:left="436" w:top="270" w:right="439" w:bottom="1440" w:gutter="0" w:footer="0" w:header="0"/>
        </w:sectPr>
      </w:pPr>
    </w:p>
    <w:bookmarkStart w:id="13" w:name="page14"/>
    <w:bookmarkEnd w:id="13"/>
    <w:p>
      <w:pPr>
        <w:ind w:left="424" w:hanging="424"/>
        <w:spacing w:after="0" w:line="258"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D; Blue Sky Filings</w:t>
      </w:r>
      <w:r>
        <w:rPr>
          <w:rFonts w:ascii="Times New Roman" w:cs="Times New Roman" w:eastAsia="Times New Roman" w:hAnsi="Times New Roman"/>
          <w:sz w:val="18"/>
          <w:szCs w:val="18"/>
          <w:color w:val="auto"/>
        </w:rPr>
        <w:t>. If required, the Company agrees to timely file a Form D with respect to the New Warrants and New Warrant Shares as required under Regulation D and to provide a copy thereof, promptly upon request of any Holder. The Company shall take such action as the Company shall reasonably determine is necessary in order to obtain an exemption for, or to qualify the New Warrants and New Warrant Shares for, sale to the Holder at Closing under applicable securities or “Blue Sky” laws of the states of the United States, and shall provide evidence of such actions promptly upon request of any Holder.</w:t>
      </w:r>
    </w:p>
    <w:p>
      <w:pPr>
        <w:spacing w:after="0" w:line="88" w:lineRule="exact"/>
        <w:rPr>
          <w:rFonts w:ascii="Times New Roman" w:cs="Times New Roman" w:eastAsia="Times New Roman" w:hAnsi="Times New Roman"/>
          <w:sz w:val="18"/>
          <w:szCs w:val="18"/>
          <w:color w:val="auto"/>
        </w:rPr>
      </w:pPr>
    </w:p>
    <w:p>
      <w:pPr>
        <w:ind w:left="424" w:right="20" w:hanging="424"/>
        <w:spacing w:after="0" w:line="254"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Approval</w:t>
      </w:r>
      <w:r>
        <w:rPr>
          <w:rFonts w:ascii="Times New Roman" w:cs="Times New Roman" w:eastAsia="Times New Roman" w:hAnsi="Times New Roman"/>
          <w:sz w:val="18"/>
          <w:szCs w:val="18"/>
          <w:color w:val="auto"/>
        </w:rPr>
        <w:t>. The Company will hold a special or annual meeting of stockholders (or in lieu of holding a special or annual meeting of the stockholders, through written consent by holders of a majority of the Company’s voting shares then outstanding), no later than the 90th calendar date following the date hereof for the purpose of seeking the Shareholder Approval, with the recommendation of the Company’s Board of Directors that such proposal be approved, and the Company shall solicit proxies from its stockholders in connection therewith in the same manner as all other management proposals in such proxy statement and all management-appointed proxyholders shall vote their proxies in favor of such proposal at such meeting. If the Company does not obtain Shareholder Approval at the first meeting, the Company shall call a meeting every ninety (90) days thereafter to seek Shareholder Approval until the earlier of the date on which Shareholder Approval is obtained or the New Warrants are no longer outstanding.</w:t>
      </w:r>
    </w:p>
    <w:p>
      <w:pPr>
        <w:sectPr>
          <w:pgSz w:w="11900" w:h="16838" w:orient="portrait"/>
          <w:cols w:equalWidth="0" w:num="1">
            <w:col w:w="11024"/>
          </w:cols>
          <w:pgMar w:left="436" w:top="270" w:right="439" w:bottom="1440" w:gutter="0" w:footer="0" w:header="0"/>
        </w:sectPr>
      </w:pPr>
    </w:p>
    <w:bookmarkStart w:id="14" w:name="page15"/>
    <w:bookmarkEnd w:id="14"/>
    <w:p>
      <w:pPr>
        <w:jc w:val="center"/>
        <w:ind w:right="-100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1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u w:val="single" w:color="auto"/>
          <w:color w:val="auto"/>
        </w:rPr>
        <w:t>EXISTING WARRANTS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B Common Warrants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C Common Warrants of the Company</w:t>
      </w:r>
    </w:p>
    <w:p>
      <w:pPr>
        <w:sectPr>
          <w:pgSz w:w="11900" w:h="16838" w:orient="portrait"/>
          <w:cols w:equalWidth="0" w:num="1">
            <w:col w:w="10019"/>
          </w:cols>
          <w:pgMar w:left="440" w:top="270" w:right="1440"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NEW WARRANTS</w:t>
      </w:r>
    </w:p>
    <w:p>
      <w:pPr>
        <w:sectPr>
          <w:pgSz w:w="11900" w:h="16838" w:orient="portrait"/>
          <w:cols w:equalWidth="0" w:num="1">
            <w:col w:w="9019"/>
          </w:cols>
          <w:pgMar w:left="1440" w:top="270"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SERIES D COMMON STOCK PURCHASE WARRANT</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ectPr>
          <w:pgSz w:w="11900" w:h="16838" w:orient="portrait"/>
          <w:cols w:equalWidth="0" w:num="1">
            <w:col w:w="11020"/>
          </w:cols>
          <w:pgMar w:left="440" w:top="117" w:right="4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__________</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Date: May __, 2025</w:t>
      </w:r>
    </w:p>
    <w:p>
      <w:pPr>
        <w:spacing w:after="0" w:line="200" w:lineRule="exact"/>
        <w:rPr>
          <w:sz w:val="20"/>
          <w:szCs w:val="20"/>
          <w:color w:val="auto"/>
        </w:rPr>
      </w:pPr>
    </w:p>
    <w:p>
      <w:pPr>
        <w:sectPr>
          <w:pgSz w:w="11900" w:h="16838" w:orient="portrait"/>
          <w:cols w:equalWidth="0" w:num="2">
            <w:col w:w="8180" w:space="720"/>
            <w:col w:w="2120"/>
          </w:cols>
          <w:pgMar w:left="440" w:top="117" w:right="439" w:bottom="1440" w:gutter="0" w:footer="0" w:header="0"/>
          <w:type w:val="continuous"/>
        </w:sectPr>
      </w:pPr>
    </w:p>
    <w:p>
      <w:pPr>
        <w:spacing w:after="0" w:line="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SERIES D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_____________ or its</w:t>
      </w:r>
    </w:p>
    <w:p>
      <w:pPr>
        <w:spacing w:after="0" w:line="2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Shareholder Approval Date (as defined below)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the date that is the five year anniversary of the Shareholder Approval Date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Rani Therapeutics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to______________ shares of Common Stock (as subject to adjustment</w:t>
      </w:r>
    </w:p>
    <w:p>
      <w:pPr>
        <w:spacing w:after="0" w:line="2"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The purchase price of one share of Common Stock under this Warrant shall be equal to the Exercise Price, as defined in Section 2(b).</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Warrant, the following terms have the meanings indicated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w:t>
      </w:r>
    </w:p>
    <w:p>
      <w:pPr>
        <w:spacing w:after="0" w:line="99"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w:t>
      </w:r>
    </w:p>
    <w:p>
      <w:pPr>
        <w:sectPr>
          <w:pgSz w:w="11900" w:h="16838" w:orient="portrait"/>
          <w:cols w:equalWidth="0" w:num="1">
            <w:col w:w="11020"/>
          </w:cols>
          <w:pgMar w:left="440" w:top="117" w:right="439" w:bottom="1440" w:gutter="0" w:footer="0" w:header="0"/>
          <w:type w:val="continuous"/>
        </w:sectPr>
      </w:pPr>
    </w:p>
    <w:bookmarkStart w:id="17" w:name="page18"/>
    <w:bookmarkEnd w:id="17"/>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w:t>
      </w:r>
      <w:r>
        <w:rPr>
          <w:rFonts w:ascii="Times New Roman" w:cs="Times New Roman" w:eastAsia="Times New Roman" w:hAnsi="Times New Roman"/>
          <w:sz w:val="18"/>
          <w:szCs w:val="18"/>
          <w:color w:val="auto"/>
        </w:rPr>
        <w:t>k” means the common stock of the Company, par value $0.0001 per share, and any other class of securities into which such securities may hereafter be reclassified or changed.</w:t>
      </w:r>
    </w:p>
    <w:p>
      <w:pPr>
        <w:spacing w:after="0" w:line="162"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means that certain letter agreement between the initial Holder hereof and the Company, dated as of May 20, 2025, pursuant to which such initial Holder agreed to exercise one or more warrants to purchase shares of Common Stock and the Company agreed to issue to the initial Holder this Warrant.</w:t>
      </w:r>
    </w:p>
    <w:p>
      <w:pPr>
        <w:spacing w:after="0" w:line="176"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right="26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Rule 144</w:t>
      </w:r>
      <w:r>
        <w:rPr>
          <w:rFonts w:ascii="Times New Roman" w:cs="Times New Roman" w:eastAsia="Times New Roman" w:hAnsi="Times New Roman"/>
          <w:sz w:val="17"/>
          <w:szCs w:val="17"/>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 Approval</w:t>
      </w:r>
      <w:r>
        <w:rPr>
          <w:rFonts w:ascii="Times New Roman" w:cs="Times New Roman" w:eastAsia="Times New Roman" w:hAnsi="Times New Roman"/>
          <w:sz w:val="18"/>
          <w:szCs w:val="18"/>
          <w:color w:val="auto"/>
        </w:rPr>
        <w:t>” means such approval as may be required by the applicable rules and regulations of the Nasdaq Stock Market (or any successor entity) with respect to the issuance of shares of Common Stock underlying this Warrant.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 Approval Date</w:t>
      </w:r>
      <w:r>
        <w:rPr>
          <w:rFonts w:ascii="Times New Roman" w:cs="Times New Roman" w:eastAsia="Times New Roman" w:hAnsi="Times New Roman"/>
          <w:sz w:val="18"/>
          <w:szCs w:val="18"/>
          <w:color w:val="auto"/>
        </w:rPr>
        <w:t>” means the date on which Shareholder Approval is received and deemed effective under Delaware law.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required to be listed pursuant to Item 601(b)(21) of Regulation S-K.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ectPr>
          <w:pgSz w:w="11900" w:h="16838" w:orient="portrait"/>
          <w:cols w:equalWidth="0" w:num="1">
            <w:col w:w="10960"/>
          </w:cols>
          <w:pgMar w:left="440" w:top="270" w:right="499" w:bottom="1440" w:gutter="0" w:footer="0" w:header="0"/>
        </w:sectPr>
      </w:pPr>
    </w:p>
    <w:bookmarkStart w:id="18" w:name="page19"/>
    <w:bookmarkEnd w:id="18"/>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Equiniti Trust Company, LLC, the current transfer agent of the Company, with a mailing address of 6201 15th Avenue, Brooklyn, NY 11219, and any successor transfer agent of the Company.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this Warrant and other Common Stock purchase warrants issued by the Company pursuant to the Letter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firstLine="419"/>
        <w:spacing w:after="0" w:line="268" w:lineRule="auto"/>
        <w:tabs>
          <w:tab w:leader="none" w:pos="104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Warrant</w:t>
      </w:r>
      <w:r>
        <w:rPr>
          <w:rFonts w:ascii="Times New Roman" w:cs="Times New Roman" w:eastAsia="Times New Roman" w:hAnsi="Times New Roman"/>
          <w:sz w:val="17"/>
          <w:szCs w:val="17"/>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7"/>
          <w:szCs w:val="17"/>
          <w:u w:val="single" w:color="auto"/>
          <w:color w:val="auto"/>
        </w:rPr>
        <w:t>Notice of Exercise</w:t>
      </w:r>
      <w:r>
        <w:rPr>
          <w:rFonts w:ascii="Times New Roman" w:cs="Times New Roman" w:eastAsia="Times New Roman" w:hAnsi="Times New Roman"/>
          <w:sz w:val="17"/>
          <w:szCs w:val="17"/>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7"/>
          <w:szCs w:val="17"/>
          <w:b w:val="1"/>
          <w:bCs w:val="1"/>
          <w:color w:val="auto"/>
        </w:rPr>
        <w:t>The Holder and any assignee, by acceptance of this Warrant, acknowledge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69" w:lineRule="exact"/>
        <w:rPr>
          <w:rFonts w:ascii="Times New Roman" w:cs="Times New Roman" w:eastAsia="Times New Roman" w:hAnsi="Times New Roman"/>
          <w:sz w:val="17"/>
          <w:szCs w:val="17"/>
          <w:color w:val="auto"/>
        </w:rPr>
      </w:pPr>
    </w:p>
    <w:p>
      <w:pPr>
        <w:ind w:left="1060" w:hanging="201"/>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Warrant shall be $0.65, subject to adjustment hereunder (the</w:t>
      </w:r>
    </w:p>
    <w:p>
      <w:pPr>
        <w:spacing w:after="0" w:line="27" w:lineRule="exact"/>
        <w:rPr>
          <w:sz w:val="20"/>
          <w:szCs w:val="20"/>
          <w:color w:val="auto"/>
        </w:rPr>
      </w:pPr>
    </w:p>
    <w:p>
      <w:pPr>
        <w:ind w:left="440" w:right="1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may only be paid in cash, unless at the time of exercise there is no effective registration statement registering and the prospectus contained therein is not available for the issuance of the Warrant Shares to the Holder, then this Warrant may only be exercised pursuant to the “cashless exercise” provisions of Section 2(c) below.</w:t>
      </w:r>
    </w:p>
    <w:p>
      <w:pPr>
        <w:sectPr>
          <w:pgSz w:w="11900" w:h="16838" w:orient="portrait"/>
          <w:cols w:equalWidth="0" w:num="1">
            <w:col w:w="10980"/>
          </w:cols>
          <w:pgMar w:left="440" w:top="270" w:right="479" w:bottom="1440" w:gutter="0" w:footer="0" w:header="0"/>
        </w:sectPr>
      </w:pPr>
    </w:p>
    <w:bookmarkStart w:id="19" w:name="page20"/>
    <w:bookmarkEnd w:id="19"/>
    <w:p>
      <w:pPr>
        <w:jc w:val="both"/>
        <w:ind w:left="440" w:right="120" w:firstLine="419"/>
        <w:spacing w:after="0" w:line="261" w:lineRule="auto"/>
        <w:tabs>
          <w:tab w:leader="none" w:pos="104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Warrant Shares by the Holder, then this Warrant may only be exercised, in whole or in part, at such time by means of a “cashless exercise” in which the Holder shall be entitled to receive a number of Warrant Shares equal to the quotient obtained by dividing [(A-B) (X)] by (A), where:</w:t>
      </w:r>
    </w:p>
    <w:p>
      <w:pPr>
        <w:spacing w:after="0" w:line="85" w:lineRule="exact"/>
        <w:rPr>
          <w:sz w:val="20"/>
          <w:szCs w:val="20"/>
          <w:color w:val="auto"/>
        </w:rPr>
      </w:pPr>
    </w:p>
    <w:p>
      <w:pPr>
        <w:ind w:left="1440" w:right="60" w:hanging="661"/>
        <w:spacing w:after="0" w:line="269" w:lineRule="auto"/>
        <w:tabs>
          <w:tab w:leader="none" w:pos="122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as applicable: (i) the VWAP (as defined below)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the Bid Price of the Common Stock on the principal Trading Market as reported by Bloomberg L.P. (“</w:t>
      </w:r>
      <w:r>
        <w:rPr>
          <w:rFonts w:ascii="Times New Roman" w:cs="Times New Roman" w:eastAsia="Times New Roman" w:hAnsi="Times New Roman"/>
          <w:sz w:val="17"/>
          <w:szCs w:val="17"/>
          <w:u w:val="single" w:color="auto"/>
          <w:color w:val="auto"/>
        </w:rPr>
        <w:t>Bloomberg</w:t>
      </w:r>
      <w:r>
        <w:rPr>
          <w:rFonts w:ascii="Times New Roman" w:cs="Times New Roman" w:eastAsia="Times New Roman" w:hAnsi="Times New Roman"/>
          <w:sz w:val="17"/>
          <w:szCs w:val="17"/>
          <w:color w:val="auto"/>
        </w:rPr>
        <w:t>”) as of the time of the</w:t>
      </w:r>
    </w:p>
    <w:p>
      <w:pPr>
        <w:sectPr>
          <w:pgSz w:w="11900" w:h="16838" w:orient="portrait"/>
          <w:cols w:equalWidth="0" w:num="1">
            <w:col w:w="11000"/>
          </w:cols>
          <w:pgMar w:left="440" w:top="27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ind w:right="40"/>
        <w:spacing w:after="0" w:line="253" w:lineRule="auto"/>
        <w:rPr>
          <w:sz w:val="20"/>
          <w:szCs w:val="20"/>
          <w:color w:val="auto"/>
        </w:rPr>
      </w:pPr>
      <w:r>
        <w:rPr>
          <w:rFonts w:ascii="Times New Roman" w:cs="Times New Roman" w:eastAsia="Times New Roman" w:hAnsi="Times New Roman"/>
          <w:sz w:val="18"/>
          <w:szCs w:val="18"/>
          <w:color w:val="auto"/>
        </w:rPr>
        <w:t>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79" w:lineRule="exact"/>
        <w:rPr>
          <w:sz w:val="20"/>
          <w:szCs w:val="20"/>
          <w:color w:val="auto"/>
        </w:rPr>
      </w:pPr>
    </w:p>
    <w:p>
      <w:pPr>
        <w:sectPr>
          <w:pgSz w:w="11900" w:h="16838" w:orient="portrait"/>
          <w:cols w:equalWidth="0" w:num="4">
            <w:col w:w="40" w:space="140"/>
            <w:col w:w="40" w:space="140"/>
            <w:col w:w="360" w:space="720"/>
            <w:col w:w="9560"/>
          </w:cols>
          <w:pgMar w:left="440" w:top="270" w:right="459" w:bottom="1440" w:gutter="0" w:footer="0" w:header="0"/>
          <w:type w:val="continuous"/>
        </w:sectPr>
      </w:pPr>
    </w:p>
    <w:p>
      <w:pPr>
        <w:ind w:left="1220" w:hanging="441"/>
        <w:spacing w:after="0"/>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117" w:lineRule="exact"/>
        <w:rPr>
          <w:sz w:val="20"/>
          <w:szCs w:val="20"/>
          <w:color w:val="auto"/>
        </w:rPr>
      </w:pPr>
    </w:p>
    <w:p>
      <w:pPr>
        <w:ind w:left="1440" w:right="200" w:hanging="661"/>
        <w:spacing w:after="0" w:line="282" w:lineRule="auto"/>
        <w:tabs>
          <w:tab w:leader="none" w:pos="12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54" w:lineRule="exact"/>
        <w:rPr>
          <w:sz w:val="20"/>
          <w:szCs w:val="20"/>
          <w:color w:val="auto"/>
        </w:rPr>
      </w:pPr>
    </w:p>
    <w:p>
      <w:pPr>
        <w:ind w:left="440" w:firstLine="423"/>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holding period of the Warrant Shares being issued may be tacked on to the holding period of this Warrant. The Company agrees not to take any position contrary to this Section 2(c).</w:t>
      </w:r>
    </w:p>
    <w:p>
      <w:pPr>
        <w:spacing w:after="0" w:line="68" w:lineRule="exact"/>
        <w:rPr>
          <w:sz w:val="20"/>
          <w:szCs w:val="20"/>
          <w:color w:val="auto"/>
        </w:rPr>
      </w:pPr>
    </w:p>
    <w:p>
      <w:pPr>
        <w:ind w:left="440" w:right="180" w:firstLine="423"/>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Bid Price</w:t>
      </w:r>
      <w:r>
        <w:rPr>
          <w:rFonts w:ascii="Times New Roman" w:cs="Times New Roman" w:eastAsia="Times New Roman" w:hAnsi="Times New Roman"/>
          <w:sz w:val="17"/>
          <w:szCs w:val="17"/>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Venture Market (“</w:t>
      </w:r>
      <w:r>
        <w:rPr>
          <w:rFonts w:ascii="Times New Roman" w:cs="Times New Roman" w:eastAsia="Times New Roman" w:hAnsi="Times New Roman"/>
          <w:sz w:val="17"/>
          <w:szCs w:val="17"/>
          <w:u w:val="single" w:color="auto"/>
          <w:color w:val="auto"/>
        </w:rPr>
        <w:t>OTCQB</w:t>
      </w:r>
      <w:r>
        <w:rPr>
          <w:rFonts w:ascii="Times New Roman" w:cs="Times New Roman" w:eastAsia="Times New Roman" w:hAnsi="Times New Roman"/>
          <w:sz w:val="17"/>
          <w:szCs w:val="17"/>
          <w:color w:val="auto"/>
        </w:rPr>
        <w:t>”) or OTCQX Best Market (“</w:t>
      </w:r>
      <w:r>
        <w:rPr>
          <w:rFonts w:ascii="Times New Roman" w:cs="Times New Roman" w:eastAsia="Times New Roman" w:hAnsi="Times New Roman"/>
          <w:sz w:val="17"/>
          <w:szCs w:val="17"/>
          <w:u w:val="single" w:color="auto"/>
          <w:color w:val="auto"/>
        </w:rPr>
        <w:t>OTCQX</w:t>
      </w:r>
      <w:r>
        <w:rPr>
          <w:rFonts w:ascii="Times New Roman" w:cs="Times New Roman" w:eastAsia="Times New Roman" w:hAnsi="Times New Roman"/>
          <w:sz w:val="17"/>
          <w:szCs w:val="17"/>
          <w:color w:val="auto"/>
        </w:rPr>
        <w:t>”) is not a Trading Market, the volume weighted average price of the Common Stock for such date (or the nearest preceding date) on OTCQB or OTCQX as</w:t>
      </w:r>
    </w:p>
    <w:p>
      <w:pPr>
        <w:sectPr>
          <w:pgSz w:w="11900" w:h="16838" w:orient="portrait"/>
          <w:cols w:equalWidth="0" w:num="1">
            <w:col w:w="11000"/>
          </w:cols>
          <w:pgMar w:left="440" w:top="270" w:right="459" w:bottom="1440" w:gutter="0" w:footer="0" w:header="0"/>
          <w:type w:val="continuous"/>
        </w:sectPr>
      </w:pPr>
    </w:p>
    <w:bookmarkStart w:id="20" w:name="page21"/>
    <w:bookmarkEnd w:id="20"/>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75" w:lineRule="exact"/>
        <w:rPr>
          <w:sz w:val="20"/>
          <w:szCs w:val="20"/>
          <w:color w:val="auto"/>
        </w:rPr>
      </w:pPr>
    </w:p>
    <w:p>
      <w:pPr>
        <w:ind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w:t>
      </w:r>
      <w:r>
        <w:rPr>
          <w:rFonts w:ascii="Times New Roman" w:cs="Times New Roman" w:eastAsia="Times New Roman" w:hAnsi="Times New Roman"/>
          <w:sz w:val="18"/>
          <w:szCs w:val="18"/>
          <w:u w:val="single" w:color="auto"/>
          <w:color w:val="auto"/>
        </w:rPr>
        <w:t>Pink Market</w:t>
      </w:r>
      <w:r>
        <w:rPr>
          <w:rFonts w:ascii="Times New Roman" w:cs="Times New Roman" w:eastAsia="Times New Roman" w:hAnsi="Times New Roman"/>
          <w:sz w:val="18"/>
          <w:szCs w:val="18"/>
          <w:color w:val="auto"/>
        </w:rPr>
        <w: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86" w:lineRule="exact"/>
        <w:rPr>
          <w:sz w:val="20"/>
          <w:szCs w:val="20"/>
          <w:color w:val="auto"/>
        </w:rPr>
      </w:pPr>
    </w:p>
    <w:p>
      <w:pPr>
        <w:ind w:right="200" w:firstLine="423"/>
        <w:spacing w:after="0" w:line="282" w:lineRule="auto"/>
        <w:rPr>
          <w:sz w:val="20"/>
          <w:szCs w:val="20"/>
          <w:color w:val="auto"/>
        </w:rPr>
      </w:pPr>
      <w:r>
        <w:rPr>
          <w:rFonts w:ascii="Times New Roman" w:cs="Times New Roman" w:eastAsia="Times New Roman" w:hAnsi="Times New Roman"/>
          <w:sz w:val="18"/>
          <w:szCs w:val="18"/>
          <w:color w:val="auto"/>
        </w:rPr>
        <w:t>Notwithstanding anything herein to the contrary, on the Termination Date, in the event this Section 2(c) is applicable this Warrant shall be automatically exercised via cashless exercise pursuant to this Section 2(c).</w:t>
      </w:r>
    </w:p>
    <w:p>
      <w:pPr>
        <w:spacing w:after="0" w:line="54" w:lineRule="exact"/>
        <w:rPr>
          <w:sz w:val="20"/>
          <w:szCs w:val="20"/>
          <w:color w:val="auto"/>
        </w:rPr>
      </w:pPr>
    </w:p>
    <w:p>
      <w:pPr>
        <w:ind w:left="620" w:hanging="201"/>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520" w:hanging="149"/>
        <w:spacing w:after="0"/>
        <w:tabs>
          <w:tab w:leader="none" w:pos="15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w:t>
      </w:r>
    </w:p>
    <w:p>
      <w:pPr>
        <w:spacing w:after="0" w:line="27" w:lineRule="exact"/>
        <w:rPr>
          <w:rFonts w:ascii="Times New Roman" w:cs="Times New Roman" w:eastAsia="Times New Roman" w:hAnsi="Times New Roman"/>
          <w:sz w:val="18"/>
          <w:szCs w:val="18"/>
          <w:color w:val="auto"/>
        </w:rPr>
      </w:pPr>
    </w:p>
    <w:p>
      <w:pPr>
        <w:ind w:left="980"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w:t>
      </w:r>
    </w:p>
    <w:p>
      <w:pPr>
        <w:sectPr>
          <w:pgSz w:w="11900" w:h="16838" w:orient="portrait"/>
          <w:cols w:equalWidth="0" w:num="1">
            <w:col w:w="10540"/>
          </w:cols>
          <w:pgMar w:left="880" w:top="270" w:right="479" w:bottom="1440" w:gutter="0" w:footer="0" w:header="0"/>
        </w:sectPr>
      </w:pPr>
    </w:p>
    <w:bookmarkStart w:id="21" w:name="page22"/>
    <w:bookmarkEnd w:id="21"/>
    <w:p>
      <w:pPr>
        <w:ind w:left="420"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delivery to the Company of the Notice of Exercise and (ii) the number of Trading Days comprising the Standard Settlement Period after the delivery to the Company of the aggregate Exercise Price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89" w:lineRule="exact"/>
        <w:rPr>
          <w:sz w:val="20"/>
          <w:szCs w:val="20"/>
          <w:color w:val="auto"/>
        </w:rPr>
      </w:pPr>
    </w:p>
    <w:p>
      <w:pPr>
        <w:ind w:left="420" w:firstLine="391"/>
        <w:spacing w:after="0" w:line="261" w:lineRule="auto"/>
        <w:tabs>
          <w:tab w:leader="none" w:pos="99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71" w:lineRule="exact"/>
        <w:rPr>
          <w:rFonts w:ascii="Times New Roman" w:cs="Times New Roman" w:eastAsia="Times New Roman" w:hAnsi="Times New Roman"/>
          <w:sz w:val="18"/>
          <w:szCs w:val="18"/>
          <w:color w:val="auto"/>
        </w:rPr>
      </w:pPr>
    </w:p>
    <w:p>
      <w:pPr>
        <w:ind w:left="420" w:firstLine="391"/>
        <w:spacing w:after="0" w:line="282" w:lineRule="auto"/>
        <w:tabs>
          <w:tab w:leader="none" w:pos="10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53" w:lineRule="exact"/>
        <w:rPr>
          <w:rFonts w:ascii="Times New Roman" w:cs="Times New Roman" w:eastAsia="Times New Roman" w:hAnsi="Times New Roman"/>
          <w:sz w:val="18"/>
          <w:szCs w:val="18"/>
          <w:color w:val="auto"/>
        </w:rPr>
      </w:pPr>
    </w:p>
    <w:p>
      <w:pPr>
        <w:ind w:left="420" w:right="80" w:firstLine="391"/>
        <w:spacing w:after="0" w:line="256" w:lineRule="auto"/>
        <w:tabs>
          <w:tab w:leader="none" w:pos="102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w:t>
      </w:r>
    </w:p>
    <w:p>
      <w:pPr>
        <w:sectPr>
          <w:pgSz w:w="11900" w:h="16838" w:orient="portrait"/>
          <w:cols w:equalWidth="0" w:num="1">
            <w:col w:w="10000"/>
          </w:cols>
          <w:pgMar w:left="1440" w:top="270" w:right="459" w:bottom="1440" w:gutter="0" w:footer="0" w:header="0"/>
        </w:sectPr>
      </w:pPr>
    </w:p>
    <w:bookmarkStart w:id="22" w:name="page23"/>
    <w:bookmarkEnd w:id="22"/>
    <w:p>
      <w:pPr>
        <w:ind w:left="4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88" w:lineRule="exact"/>
        <w:rPr>
          <w:sz w:val="20"/>
          <w:szCs w:val="20"/>
          <w:color w:val="auto"/>
        </w:rPr>
      </w:pPr>
    </w:p>
    <w:p>
      <w:pPr>
        <w:ind w:left="420" w:firstLine="383"/>
        <w:spacing w:after="0" w:line="261"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72" w:lineRule="exact"/>
        <w:rPr>
          <w:sz w:val="20"/>
          <w:szCs w:val="20"/>
          <w:color w:val="auto"/>
        </w:rPr>
      </w:pPr>
    </w:p>
    <w:p>
      <w:pPr>
        <w:ind w:left="420" w:right="20" w:firstLine="391"/>
        <w:spacing w:after="0" w:line="254" w:lineRule="auto"/>
        <w:tabs>
          <w:tab w:leader="none" w:pos="103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ectPr>
          <w:pgSz w:w="11900" w:h="16838" w:orient="portrait"/>
          <w:cols w:equalWidth="0" w:num="1">
            <w:col w:w="10000"/>
          </w:cols>
          <w:pgMar w:left="1440" w:top="270" w:right="459" w:bottom="1440" w:gutter="0" w:footer="0" w:header="0"/>
        </w:sectPr>
      </w:pPr>
    </w:p>
    <w:bookmarkStart w:id="23" w:name="page24"/>
    <w:bookmarkEnd w:id="23"/>
    <w:p>
      <w:pPr>
        <w:ind w:left="984" w:right="200" w:firstLine="391"/>
        <w:spacing w:after="0" w:line="282" w:lineRule="auto"/>
        <w:tabs>
          <w:tab w:leader="none" w:pos="1647"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53" w:lineRule="exact"/>
        <w:rPr>
          <w:rFonts w:ascii="Times New Roman" w:cs="Times New Roman" w:eastAsia="Times New Roman" w:hAnsi="Times New Roman"/>
          <w:sz w:val="18"/>
          <w:szCs w:val="18"/>
          <w:color w:val="auto"/>
        </w:rPr>
      </w:pPr>
    </w:p>
    <w:p>
      <w:pPr>
        <w:ind w:left="4" w:right="40" w:firstLine="419"/>
        <w:spacing w:after="0" w:line="268" w:lineRule="auto"/>
        <w:tabs>
          <w:tab w:leader="none" w:pos="611"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w:t>
      </w:r>
      <w:r>
        <w:rPr>
          <w:rFonts w:ascii="Times New Roman" w:cs="Times New Roman" w:eastAsia="Times New Roman" w:hAnsi="Times New Roman"/>
          <w:sz w:val="17"/>
          <w:szCs w:val="17"/>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w:t>
      </w:r>
    </w:p>
    <w:p>
      <w:pPr>
        <w:ind w:left="4" w:hanging="4"/>
        <w:spacing w:after="0" w:line="251" w:lineRule="auto"/>
        <w:tabs>
          <w:tab w:leader="none" w:pos="2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w:t>
      </w:r>
    </w:p>
    <w:p>
      <w:pPr>
        <w:sectPr>
          <w:pgSz w:w="11900" w:h="16838" w:orient="portrait"/>
          <w:cols w:equalWidth="0" w:num="1">
            <w:col w:w="10564"/>
          </w:cols>
          <w:pgMar w:left="876" w:top="270" w:right="459" w:bottom="1440" w:gutter="0" w:footer="0" w:header="0"/>
        </w:sectPr>
      </w:pPr>
    </w:p>
    <w:bookmarkStart w:id="24" w:name="page25"/>
    <w:bookmarkEnd w:id="24"/>
    <w:p>
      <w:pPr>
        <w:ind w:right="1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Ownership Limitation</w:t>
      </w:r>
      <w:r>
        <w:rPr>
          <w:rFonts w:ascii="Times New Roman" w:cs="Times New Roman" w:eastAsia="Times New Roman" w:hAnsi="Times New Roman"/>
          <w:sz w:val="18"/>
          <w:szCs w:val="18"/>
          <w:color w:val="auto"/>
        </w:rPr>
        <w:t>” shall be 9.99%.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69" w:lineRule="auto"/>
        <w:tabs>
          <w:tab w:leader="none" w:pos="60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Dividends and Splits</w:t>
      </w:r>
      <w:r>
        <w:rPr>
          <w:rFonts w:ascii="Times New Roman" w:cs="Times New Roman" w:eastAsia="Times New Roman" w:hAnsi="Times New Roman"/>
          <w:sz w:val="17"/>
          <w:szCs w:val="17"/>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73" w:lineRule="exact"/>
        <w:rPr>
          <w:rFonts w:ascii="Times New Roman" w:cs="Times New Roman" w:eastAsia="Times New Roman" w:hAnsi="Times New Roman"/>
          <w:sz w:val="17"/>
          <w:szCs w:val="17"/>
          <w:color w:val="auto"/>
        </w:rPr>
      </w:pPr>
    </w:p>
    <w:p>
      <w:pPr>
        <w:ind w:right="100" w:firstLine="419"/>
        <w:spacing w:after="0" w:line="254" w:lineRule="auto"/>
        <w:tabs>
          <w:tab w:leader="none" w:pos="6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w:t>
      </w:r>
    </w:p>
    <w:p>
      <w:pPr>
        <w:sectPr>
          <w:pgSz w:w="11900" w:h="16838" w:orient="portrait"/>
          <w:cols w:equalWidth="0" w:num="1">
            <w:col w:w="10560"/>
          </w:cols>
          <w:pgMar w:left="880" w:top="270" w:right="459" w:bottom="1440" w:gutter="0" w:footer="0" w:header="0"/>
        </w:sectPr>
      </w:pPr>
    </w:p>
    <w:bookmarkStart w:id="25" w:name="page26"/>
    <w:bookmarkEnd w:id="25"/>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72" w:lineRule="exact"/>
        <w:rPr>
          <w:sz w:val="20"/>
          <w:szCs w:val="20"/>
          <w:color w:val="auto"/>
        </w:rPr>
      </w:pPr>
    </w:p>
    <w:p>
      <w:pPr>
        <w:ind w:firstLine="419"/>
        <w:spacing w:after="0" w:line="252" w:lineRule="auto"/>
        <w:tabs>
          <w:tab w:leader="none" w:pos="6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spacing w:after="0" w:line="89" w:lineRule="exact"/>
        <w:rPr>
          <w:rFonts w:ascii="Times New Roman" w:cs="Times New Roman" w:eastAsia="Times New Roman" w:hAnsi="Times New Roman"/>
          <w:sz w:val="18"/>
          <w:szCs w:val="18"/>
          <w:color w:val="auto"/>
        </w:rPr>
      </w:pPr>
    </w:p>
    <w:p>
      <w:pPr>
        <w:ind w:right="20" w:firstLine="419"/>
        <w:spacing w:after="0" w:line="253" w:lineRule="auto"/>
        <w:tabs>
          <w:tab w:leader="none" w:pos="6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shares of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w:t>
      </w:r>
    </w:p>
    <w:p>
      <w:pPr>
        <w:sectPr>
          <w:pgSz w:w="11900" w:h="16838" w:orient="portrait"/>
          <w:cols w:equalWidth="0" w:num="1">
            <w:col w:w="10520"/>
          </w:cols>
          <w:pgMar w:left="880" w:top="270"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share purchase agreement or other business combination (including, without limitation, a reorganization, recapitalization, spin-off, merger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scheme of arrangement) with another Person or group of Persons whereby such other Person or group acquires greater than 50%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shares of Common Stock or greater than 50% of the voting power of the common equity of the Company (which, for the avoidance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doubt, shall not include transactions consummated by the Company for the principal purpose of raising capital for the Company) (each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Warrant, the Holder shall have the right to receive, for each Warrant Share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would have been issuable upon such exercise immediately prior to the occurrence of such Fundamental Transaction, at the option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(without regard to any limitation in Section 2(e) on the exercise of this Warrant), the number of shares of Common Stock of the successor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 as a result of such Fundamental Transaction by a holder of the number of shares of Common Stock for which this Warrant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exercisable immediately prior to such Fundamental Transaction (without regard to any limitation in Section 2(e) on the exercise of this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any such exercise, the determination of the Exercise Price shall be appropriately adjusted to apply to such Alternate Consideration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amount of Alternate Consideration issuable in respect of one share of Common Stock in such Fundamental Transaction,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apportion the Exercise Price among the Alternate Consideration in a reasonable manner reflecting the relative value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different components of the Alternate Consideration. If holders of Common Stock are given any choice as to the securities, cash or property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in a Fundamental Transaction, then the Holder shall be given the same choice as to the Alternate Consideration it receives upon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of this Warrant following such Fundamental Transaction. Notwithstanding anything to the contrary, in the event of a Fundamental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the Holder shall, at the Holder’s option, exercisable at any time concurrently with, or within 30 days after, the consummation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Fundamental Transaction (or, if later, the date of the public announcement of the applicable Fundamental Transaction) be entitled to receive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or any Successor Entity the same type or form of consideration (and in the same proportion), at the Black Scholes Value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unexercised portion of this Warrant, that is being offered and paid to the holders of Common Stock of the Company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Fundamental Transaction, whether that consideration be in the form of cash, stock or any combination thereof, or whether the holders of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Stock are given the choice to receive from among alternative forms of consideration in connection with the Fundamental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holders of Common Stock of the Company are not offered or paid any consideration in such Fundamental Transaction, such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Common Stock will be deemed to have received common stock of the Successor Entity (which Successor Entity may be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such Fundamental Transaction) in such Fundamental Transaction. “</w:t>
      </w: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means the value of this Warrant based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Black-Scholes Option Pricing Model obtained from the “OV” function on Bloomberg determined as of the day of consummation of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Fundamental Transaction for pricing purposes and reflecting (A) a risk-free interest rate corresponding to the U.S. Treasury rate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period equal to the time between the date of the public announcement of the applicable contemplated Fundamental Transaction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Date, (B) the 100 day</w:t>
      </w:r>
    </w:p>
    <w:p>
      <w:pPr>
        <w:sectPr>
          <w:pgSz w:w="11900" w:h="16838" w:orient="portrait"/>
          <w:cols w:equalWidth="0" w:num="1">
            <w:col w:w="10560"/>
          </w:cols>
          <w:pgMar w:left="880" w:top="270" w:right="459" w:bottom="1440" w:gutter="0" w:footer="0" w:header="0"/>
        </w:sectPr>
      </w:pPr>
    </w:p>
    <w:bookmarkStart w:id="27" w:name="page28"/>
    <w:bookmarkEnd w:id="27"/>
    <w:p>
      <w:pPr>
        <w:ind w:left="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volatility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sum of the price per share being offered in cash, if any, plus the value of any non-cash consideration, if any, being offered in such Fundamental Transaction and, (D) a remaining option time equal to the time between the date of the public announcement of the applicable contemplated Fundamental Transaction and the Termination Date and (E) a zero cost of borrow.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Letter Agreement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Letter Agreement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Letter Agreement with the same effect as if the Company and such Successor Entity or Successor Entities, jointly and severally, had been named as the Company herein. For the avoidance of doubt, the Holder shall be entitled to the benefits of the provisions of this Section 3(d) regardless of</w:t>
      </w:r>
    </w:p>
    <w:p>
      <w:pPr>
        <w:spacing w:after="0" w:line="8" w:lineRule="exact"/>
        <w:rPr>
          <w:sz w:val="20"/>
          <w:szCs w:val="20"/>
          <w:color w:val="auto"/>
        </w:rPr>
      </w:pPr>
    </w:p>
    <w:p>
      <w:pPr>
        <w:ind w:left="4" w:right="80" w:hanging="4"/>
        <w:spacing w:after="0" w:line="260" w:lineRule="auto"/>
        <w:tabs>
          <w:tab w:leader="none" w:pos="21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has sufficient authorized shares of Common Stock for the issuance of Warrant Shares and/or (ii) whether a Fundamental Transaction occurs prior to the Initial Exercise Date.</w:t>
      </w:r>
    </w:p>
    <w:p>
      <w:pPr>
        <w:spacing w:after="0" w:line="73" w:lineRule="exact"/>
        <w:rPr>
          <w:rFonts w:ascii="Times New Roman" w:cs="Times New Roman" w:eastAsia="Times New Roman" w:hAnsi="Times New Roman"/>
          <w:sz w:val="18"/>
          <w:szCs w:val="18"/>
          <w:color w:val="auto"/>
        </w:rPr>
      </w:pPr>
    </w:p>
    <w:p>
      <w:pPr>
        <w:ind w:left="4" w:right="60" w:firstLine="419"/>
        <w:spacing w:after="0" w:line="266" w:lineRule="auto"/>
        <w:tabs>
          <w:tab w:leader="none" w:pos="61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ectPr>
          <w:pgSz w:w="11900" w:h="16838" w:orient="portrait"/>
          <w:cols w:equalWidth="0" w:num="1">
            <w:col w:w="10564"/>
          </w:cols>
          <w:pgMar w:left="876" w:top="270" w:right="459" w:bottom="1440" w:gutter="0" w:footer="0" w:header="0"/>
        </w:sectPr>
      </w:pPr>
    </w:p>
    <w:bookmarkStart w:id="28" w:name="page29"/>
    <w:bookmarkEnd w:id="28"/>
    <w:p>
      <w:pPr>
        <w:ind w:left="161" w:hanging="161"/>
        <w:spacing w:after="0"/>
        <w:tabs>
          <w:tab w:leader="none" w:pos="16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to Holder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561" w:right="460" w:firstLine="391"/>
        <w:spacing w:after="0" w:line="289" w:lineRule="auto"/>
        <w:tabs>
          <w:tab w:leader="none" w:pos="1084"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49" w:lineRule="exact"/>
        <w:rPr>
          <w:rFonts w:ascii="Times New Roman" w:cs="Times New Roman" w:eastAsia="Times New Roman" w:hAnsi="Times New Roman"/>
          <w:sz w:val="17"/>
          <w:szCs w:val="17"/>
          <w:color w:val="auto"/>
        </w:rPr>
      </w:pPr>
    </w:p>
    <w:p>
      <w:pPr>
        <w:ind w:left="561" w:firstLine="391"/>
        <w:spacing w:after="0" w:line="252" w:lineRule="auto"/>
        <w:tabs>
          <w:tab w:leader="none" w:pos="113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ectPr>
          <w:pgSz w:w="11900" w:h="16838" w:orient="portrait"/>
          <w:cols w:equalWidth="0" w:num="1">
            <w:col w:w="10141"/>
          </w:cols>
          <w:pgMar w:left="1299" w:top="270" w:right="459" w:bottom="1440" w:gutter="0" w:footer="0" w:header="0"/>
        </w:sectPr>
      </w:pPr>
    </w:p>
    <w:bookmarkStart w:id="29" w:name="page30"/>
    <w:bookmarkEnd w:id="29"/>
    <w:p>
      <w:pPr>
        <w:jc w:val="both"/>
        <w:ind w:right="40" w:firstLine="419"/>
        <w:spacing w:after="0" w:line="266" w:lineRule="auto"/>
        <w:tabs>
          <w:tab w:leader="none" w:pos="61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Voluntary Adjustment By Company</w:t>
      </w:r>
      <w:r>
        <w:rPr>
          <w:rFonts w:ascii="Times New Roman" w:cs="Times New Roman" w:eastAsia="Times New Roman" w:hAnsi="Times New Roman"/>
          <w:sz w:val="18"/>
          <w:szCs w:val="18"/>
          <w:color w:val="auto"/>
        </w:rPr>
        <w:t>. Subject to the rules and regulations of the Trading Market, the Company may at any time during the term of this Warrant reduce the then current Exercise Price to any amount and for any period of time deemed appropriate by the board of directors of the Company.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19"/>
        <w:spacing w:after="0" w:line="253" w:lineRule="auto"/>
        <w:tabs>
          <w:tab w:leader="none" w:pos="60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the Letter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81" w:lineRule="exact"/>
        <w:rPr>
          <w:rFonts w:ascii="Times New Roman" w:cs="Times New Roman" w:eastAsia="Times New Roman" w:hAnsi="Times New Roman"/>
          <w:sz w:val="18"/>
          <w:szCs w:val="18"/>
          <w:color w:val="auto"/>
        </w:rPr>
      </w:pPr>
    </w:p>
    <w:p>
      <w:pPr>
        <w:ind w:right="20" w:firstLine="419"/>
        <w:spacing w:after="0" w:line="256" w:lineRule="auto"/>
        <w:tabs>
          <w:tab w:leader="none" w:pos="6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Issuance Date of this Warrant and shall be identical with this Warrant except as to the number of Warrant Shares issuable pursuant thereto.</w:t>
      </w:r>
    </w:p>
    <w:p>
      <w:pPr>
        <w:spacing w:after="0" w:line="79" w:lineRule="exact"/>
        <w:rPr>
          <w:rFonts w:ascii="Times New Roman" w:cs="Times New Roman" w:eastAsia="Times New Roman" w:hAnsi="Times New Roman"/>
          <w:sz w:val="18"/>
          <w:szCs w:val="18"/>
          <w:color w:val="auto"/>
        </w:rPr>
      </w:pPr>
    </w:p>
    <w:p>
      <w:pPr>
        <w:ind w:firstLine="419"/>
        <w:spacing w:after="0" w:line="261" w:lineRule="auto"/>
        <w:tabs>
          <w:tab w:leader="none" w:pos="60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ectPr>
          <w:pgSz w:w="11900" w:h="16838" w:orient="portrait"/>
          <w:cols w:equalWidth="0" w:num="1">
            <w:col w:w="10540"/>
          </w:cols>
          <w:pgMar w:left="880" w:top="270" w:right="479" w:bottom="1440" w:gutter="0" w:footer="0" w:header="0"/>
        </w:sectPr>
      </w:pPr>
    </w:p>
    <w:bookmarkStart w:id="30" w:name="page31"/>
    <w:bookmarkEnd w:id="30"/>
    <w:p>
      <w:pPr>
        <w:ind w:firstLine="419"/>
        <w:spacing w:after="0" w:line="256" w:lineRule="auto"/>
        <w:tabs>
          <w:tab w:leader="none" w:pos="6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provide to the Company an opinion of counsel in form and substance reasonably satisfactory to the Company to the effect that the transfer of this Warrant does not require registration under the Securities Act.</w:t>
      </w:r>
    </w:p>
    <w:p>
      <w:pPr>
        <w:spacing w:after="0" w:line="79" w:lineRule="exact"/>
        <w:rPr>
          <w:rFonts w:ascii="Times New Roman" w:cs="Times New Roman" w:eastAsia="Times New Roman" w:hAnsi="Times New Roman"/>
          <w:sz w:val="18"/>
          <w:szCs w:val="18"/>
          <w:color w:val="auto"/>
        </w:rPr>
      </w:pPr>
    </w:p>
    <w:p>
      <w:pPr>
        <w:ind w:right="140" w:firstLine="419"/>
        <w:spacing w:after="0" w:line="261" w:lineRule="auto"/>
        <w:tabs>
          <w:tab w:leader="none" w:pos="60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419"/>
        <w:spacing w:after="0" w:line="281" w:lineRule="auto"/>
        <w:tabs>
          <w:tab w:leader="none" w:pos="608"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Rights as Stockholder Until Exercise; No Settlement in Cash</w:t>
      </w:r>
      <w:r>
        <w:rPr>
          <w:rFonts w:ascii="Times New Roman" w:cs="Times New Roman" w:eastAsia="Times New Roman" w:hAnsi="Times New Roman"/>
          <w:sz w:val="17"/>
          <w:szCs w:val="17"/>
          <w:color w:val="auto"/>
        </w:rPr>
        <w:t xml:space="preserve">.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w:t>
      </w:r>
      <w:r>
        <w:rPr>
          <w:rFonts w:ascii="Times New Roman" w:cs="Times New Roman" w:eastAsia="Times New Roman" w:hAnsi="Times New Roman"/>
          <w:sz w:val="17"/>
          <w:szCs w:val="17"/>
          <w:b w:val="1"/>
          <w:bCs w:val="1"/>
          <w:color w:val="auto"/>
        </w:rPr>
        <w:t>in no event shall the Company be required to net cash settle this Warrant</w:t>
      </w:r>
      <w:r>
        <w:rPr>
          <w:rFonts w:ascii="Times New Roman" w:cs="Times New Roman" w:eastAsia="Times New Roman" w:hAnsi="Times New Roman"/>
          <w:sz w:val="17"/>
          <w:szCs w:val="17"/>
          <w:color w:val="auto"/>
        </w:rPr>
        <w:t>.</w:t>
      </w:r>
    </w:p>
    <w:p>
      <w:pPr>
        <w:spacing w:after="0" w:line="56" w:lineRule="exact"/>
        <w:rPr>
          <w:rFonts w:ascii="Times New Roman" w:cs="Times New Roman" w:eastAsia="Times New Roman" w:hAnsi="Times New Roman"/>
          <w:sz w:val="17"/>
          <w:szCs w:val="17"/>
          <w:color w:val="auto"/>
        </w:rPr>
      </w:pPr>
    </w:p>
    <w:p>
      <w:pPr>
        <w:ind w:right="180" w:firstLine="419"/>
        <w:spacing w:after="0" w:line="258" w:lineRule="auto"/>
        <w:tabs>
          <w:tab w:leader="none" w:pos="61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75" w:lineRule="exact"/>
        <w:rPr>
          <w:rFonts w:ascii="Times New Roman" w:cs="Times New Roman" w:eastAsia="Times New Roman" w:hAnsi="Times New Roman"/>
          <w:sz w:val="18"/>
          <w:szCs w:val="18"/>
          <w:color w:val="auto"/>
        </w:rPr>
      </w:pPr>
    </w:p>
    <w:p>
      <w:pPr>
        <w:ind w:right="400" w:firstLine="419"/>
        <w:spacing w:after="0" w:line="312" w:lineRule="auto"/>
        <w:tabs>
          <w:tab w:leader="none" w:pos="608"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31" w:lineRule="exact"/>
        <w:rPr>
          <w:rFonts w:ascii="Times New Roman" w:cs="Times New Roman" w:eastAsia="Times New Roman" w:hAnsi="Times New Roman"/>
          <w:sz w:val="17"/>
          <w:szCs w:val="17"/>
          <w:color w:val="auto"/>
        </w:rPr>
      </w:pPr>
    </w:p>
    <w:p>
      <w:pPr>
        <w:ind w:left="620" w:hanging="201"/>
        <w:spacing w:after="0"/>
        <w:tabs>
          <w:tab w:leader="none" w:pos="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right="20" w:firstLine="401"/>
        <w:spacing w:after="0" w:line="261"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w:t>
      </w:r>
    </w:p>
    <w:p>
      <w:pPr>
        <w:sectPr>
          <w:pgSz w:w="11900" w:h="16838" w:orient="portrait"/>
          <w:cols w:equalWidth="0" w:num="1">
            <w:col w:w="10560"/>
          </w:cols>
          <w:pgMar w:left="880" w:top="270" w:right="459" w:bottom="1440" w:gutter="0" w:footer="0" w:header="0"/>
        </w:sectPr>
      </w:pPr>
    </w:p>
    <w:bookmarkStart w:id="31" w:name="page32"/>
    <w:bookmarkEnd w:id="31"/>
    <w:p>
      <w:pPr>
        <w:ind w:left="121"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81" w:lineRule="exact"/>
        <w:rPr>
          <w:sz w:val="20"/>
          <w:szCs w:val="20"/>
          <w:color w:val="auto"/>
        </w:rPr>
      </w:pPr>
    </w:p>
    <w:p>
      <w:pPr>
        <w:ind w:left="121" w:firstLine="401"/>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86" w:lineRule="exact"/>
        <w:rPr>
          <w:sz w:val="20"/>
          <w:szCs w:val="20"/>
          <w:color w:val="auto"/>
        </w:rPr>
      </w:pPr>
    </w:p>
    <w:p>
      <w:pPr>
        <w:jc w:val="both"/>
        <w:ind w:left="121" w:right="100" w:firstLine="401"/>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68" w:lineRule="exact"/>
        <w:rPr>
          <w:sz w:val="20"/>
          <w:szCs w:val="20"/>
          <w:color w:val="auto"/>
        </w:rPr>
      </w:pPr>
    </w:p>
    <w:p>
      <w:pPr>
        <w:ind w:left="-419" w:right="340" w:firstLine="419"/>
        <w:spacing w:after="0" w:line="282" w:lineRule="auto"/>
        <w:tabs>
          <w:tab w:leader="none" w:pos="18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Letter Agreement.</w:t>
      </w:r>
    </w:p>
    <w:p>
      <w:pPr>
        <w:spacing w:after="0" w:line="53" w:lineRule="exact"/>
        <w:rPr>
          <w:rFonts w:ascii="Times New Roman" w:cs="Times New Roman" w:eastAsia="Times New Roman" w:hAnsi="Times New Roman"/>
          <w:sz w:val="18"/>
          <w:szCs w:val="18"/>
          <w:color w:val="auto"/>
        </w:rPr>
      </w:pPr>
    </w:p>
    <w:p>
      <w:pPr>
        <w:ind w:left="-419" w:right="480" w:firstLine="419"/>
        <w:spacing w:after="0" w:line="282" w:lineRule="auto"/>
        <w:tabs>
          <w:tab w:leader="none" w:pos="16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ectPr>
          <w:pgSz w:w="11900" w:h="16838" w:orient="portrait"/>
          <w:cols w:equalWidth="0" w:num="1">
            <w:col w:w="10141"/>
          </w:cols>
          <w:pgMar w:left="1299" w:top="270" w:right="459" w:bottom="1440" w:gutter="0" w:footer="0" w:header="0"/>
        </w:sectPr>
      </w:pPr>
    </w:p>
    <w:bookmarkStart w:id="32" w:name="page33"/>
    <w:bookmarkEnd w:id="32"/>
    <w:p>
      <w:pPr>
        <w:ind w:left="4" w:firstLine="419"/>
        <w:spacing w:after="0" w:line="256" w:lineRule="auto"/>
        <w:tabs>
          <w:tab w:leader="none" w:pos="62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Letter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79" w:lineRule="exact"/>
        <w:rPr>
          <w:rFonts w:ascii="Times New Roman" w:cs="Times New Roman" w:eastAsia="Times New Roman" w:hAnsi="Times New Roman"/>
          <w:sz w:val="18"/>
          <w:szCs w:val="18"/>
          <w:color w:val="auto"/>
        </w:rPr>
      </w:pPr>
    </w:p>
    <w:p>
      <w:pPr>
        <w:ind w:left="4" w:right="20" w:firstLine="419"/>
        <w:spacing w:after="0" w:line="252" w:lineRule="auto"/>
        <w:tabs>
          <w:tab w:leader="none" w:pos="62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2051 Ringwood Ave, San Jose, CA 95131, Attention: Chief Financial Officer, email address: svai@ranitherapeutics.com,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the Holder at the e-mail address or address of the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w:t>
      </w:r>
    </w:p>
    <w:p>
      <w:pPr>
        <w:spacing w:after="0" w:line="3" w:lineRule="exact"/>
        <w:rPr>
          <w:rFonts w:ascii="Times New Roman" w:cs="Times New Roman" w:eastAsia="Times New Roman" w:hAnsi="Times New Roman"/>
          <w:sz w:val="18"/>
          <w:szCs w:val="18"/>
          <w:color w:val="auto"/>
        </w:rPr>
      </w:pPr>
    </w:p>
    <w:p>
      <w:pPr>
        <w:ind w:left="4" w:right="740" w:hanging="4"/>
        <w:spacing w:after="0" w:line="255" w:lineRule="auto"/>
        <w:tabs>
          <w:tab w:leader="none" w:pos="30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actual receipt by the party to whom such notice is required to be given. To the extent that any notice provided by the Company hereunder constitutes, or contains, material, non-public information regarding the Company or any Subsidiaries, the Company shall simultaneously file such notice with the Commission pursuant to a Current Report on Form 8-K.</w:t>
      </w:r>
    </w:p>
    <w:p>
      <w:pPr>
        <w:spacing w:after="0" w:line="77" w:lineRule="exact"/>
        <w:rPr>
          <w:rFonts w:ascii="Times New Roman" w:cs="Times New Roman" w:eastAsia="Times New Roman" w:hAnsi="Times New Roman"/>
          <w:sz w:val="18"/>
          <w:szCs w:val="18"/>
          <w:color w:val="auto"/>
        </w:rPr>
      </w:pPr>
    </w:p>
    <w:p>
      <w:pPr>
        <w:jc w:val="both"/>
        <w:ind w:left="4" w:right="200" w:firstLine="419"/>
        <w:spacing w:after="0" w:line="261" w:lineRule="auto"/>
        <w:tabs>
          <w:tab w:leader="none" w:pos="58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71" w:lineRule="exact"/>
        <w:rPr>
          <w:rFonts w:ascii="Times New Roman" w:cs="Times New Roman" w:eastAsia="Times New Roman" w:hAnsi="Times New Roman"/>
          <w:sz w:val="18"/>
          <w:szCs w:val="18"/>
          <w:color w:val="auto"/>
        </w:rPr>
      </w:pPr>
    </w:p>
    <w:p>
      <w:pPr>
        <w:ind w:left="4" w:firstLine="419"/>
        <w:spacing w:after="0" w:line="261" w:lineRule="auto"/>
        <w:tabs>
          <w:tab w:leader="none" w:pos="58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ectPr>
          <w:pgSz w:w="11900" w:h="16838" w:orient="portrait"/>
          <w:cols w:equalWidth="0" w:num="1">
            <w:col w:w="10564"/>
          </w:cols>
          <w:pgMar w:left="876" w:top="270" w:right="459" w:bottom="1440" w:gutter="0" w:footer="0" w:header="0"/>
        </w:sectPr>
      </w:pPr>
    </w:p>
    <w:bookmarkStart w:id="33" w:name="page34"/>
    <w:bookmarkEnd w:id="33"/>
    <w:p>
      <w:pPr>
        <w:jc w:val="both"/>
        <w:ind w:firstLine="419"/>
        <w:spacing w:after="0" w:line="261" w:lineRule="auto"/>
        <w:tabs>
          <w:tab w:leader="none" w:pos="61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71" w:lineRule="exact"/>
        <w:rPr>
          <w:rFonts w:ascii="Times New Roman" w:cs="Times New Roman" w:eastAsia="Times New Roman" w:hAnsi="Times New Roman"/>
          <w:sz w:val="18"/>
          <w:szCs w:val="18"/>
          <w:color w:val="auto"/>
        </w:rPr>
      </w:pPr>
    </w:p>
    <w:p>
      <w:pPr>
        <w:ind w:left="580" w:hanging="161"/>
        <w:spacing w:after="0"/>
        <w:tabs>
          <w:tab w:leader="none" w:pos="5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w:t>
      </w:r>
    </w:p>
    <w:p>
      <w:pPr>
        <w:spacing w:after="0" w:line="98" w:lineRule="exact"/>
        <w:rPr>
          <w:rFonts w:ascii="Times New Roman" w:cs="Times New Roman" w:eastAsia="Times New Roman" w:hAnsi="Times New Roman"/>
          <w:sz w:val="18"/>
          <w:szCs w:val="18"/>
          <w:color w:val="auto"/>
        </w:rPr>
      </w:pPr>
    </w:p>
    <w:p>
      <w:pPr>
        <w:ind w:right="20" w:firstLine="419"/>
        <w:spacing w:after="0" w:line="266" w:lineRule="auto"/>
        <w:tabs>
          <w:tab w:leader="none" w:pos="66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67" w:lineRule="exact"/>
        <w:rPr>
          <w:rFonts w:ascii="Times New Roman" w:cs="Times New Roman" w:eastAsia="Times New Roman" w:hAnsi="Times New Roman"/>
          <w:sz w:val="18"/>
          <w:szCs w:val="18"/>
          <w:color w:val="auto"/>
        </w:rPr>
      </w:pPr>
    </w:p>
    <w:p>
      <w:pPr>
        <w:ind w:right="40" w:firstLine="419"/>
        <w:spacing w:after="0" w:line="282" w:lineRule="auto"/>
        <w:tabs>
          <w:tab w:leader="none" w:pos="61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0560"/>
          </w:cols>
          <w:pgMar w:left="880" w:top="270" w:right="459" w:bottom="1440" w:gutter="0" w:footer="0" w:header="0"/>
        </w:sectPr>
      </w:pPr>
    </w:p>
    <w:bookmarkStart w:id="34" w:name="page35"/>
    <w:bookmarkEnd w:id="34"/>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caused this Warrant to be executed by its officer thereunto duly authorized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Talat Imran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980"/>
          </w:cols>
          <w:pgMar w:left="440" w:top="270" w:right="479" w:bottom="1440" w:gutter="0" w:footer="0" w:header="0"/>
        </w:sectPr>
      </w:pPr>
    </w:p>
    <w:bookmarkStart w:id="35" w:name="page36"/>
    <w:bookmarkEnd w:id="35"/>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OF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RANI THERAPEUTICS HOLDINGS, INC.</w:t>
      </w:r>
    </w:p>
    <w:p>
      <w:pPr>
        <w:spacing w:after="0" w:line="117" w:lineRule="exact"/>
        <w:rPr>
          <w:sz w:val="20"/>
          <w:szCs w:val="20"/>
          <w:color w:val="auto"/>
        </w:rPr>
      </w:pPr>
    </w:p>
    <w:p>
      <w:pPr>
        <w:ind w:right="100" w:firstLine="987"/>
        <w:spacing w:after="0" w:line="282" w:lineRule="auto"/>
        <w:tabs>
          <w:tab w:leader="none" w:pos="124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117" w:lineRule="exact"/>
        <w:rPr>
          <w:sz w:val="20"/>
          <w:szCs w:val="20"/>
          <w:color w:val="auto"/>
        </w:rPr>
      </w:pPr>
    </w:p>
    <w:p>
      <w:pPr>
        <w:ind w:left="1420" w:right="260"/>
        <w:spacing w:after="0" w:line="266" w:lineRule="auto"/>
        <w:rPr>
          <w:sz w:val="20"/>
          <w:szCs w:val="20"/>
          <w:color w:val="auto"/>
        </w:rPr>
      </w:pPr>
      <w:r>
        <w:rPr>
          <w:rFonts w:ascii="Times New Roman" w:cs="Times New Roman" w:eastAsia="Times New Roman" w:hAnsi="Times New Roman"/>
          <w:sz w:val="18"/>
          <w:szCs w:val="18"/>
          <w:color w:val="auto"/>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 Please issue said Warrant Shares in the name of the undersigned or in such other name as is specified below: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17145</wp:posOffset>
            </wp:positionV>
            <wp:extent cx="20313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17145</wp:posOffset>
            </wp:positionV>
            <wp:extent cx="20313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17145</wp:posOffset>
            </wp:positionV>
            <wp:extent cx="20313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17145</wp:posOffset>
            </wp:positionV>
            <wp:extent cx="20313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19" w:lineRule="exact"/>
        <w:rPr>
          <w:sz w:val="20"/>
          <w:szCs w:val="20"/>
          <w:color w:val="auto"/>
        </w:rPr>
      </w:pPr>
    </w:p>
    <w:p>
      <w:pPr>
        <w:ind w:firstLine="987"/>
        <w:spacing w:after="0" w:line="282" w:lineRule="auto"/>
        <w:tabs>
          <w:tab w:leader="none" w:pos="12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 1933, as amended.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17145</wp:posOffset>
            </wp:positionV>
            <wp:extent cx="57346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34685" cy="825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18415</wp:posOffset>
            </wp:positionV>
            <wp:extent cx="44748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1497330</wp:posOffset>
            </wp:positionH>
            <wp:positionV relativeFrom="paragraph">
              <wp:posOffset>17145</wp:posOffset>
            </wp:positionV>
            <wp:extent cx="54946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9465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17145</wp:posOffset>
            </wp:positionV>
            <wp:extent cx="55206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17145</wp:posOffset>
            </wp:positionV>
            <wp:extent cx="67119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ectPr>
          <w:pgSz w:w="11900" w:h="16838" w:orient="portrait"/>
          <w:cols w:equalWidth="0" w:num="1">
            <w:col w:w="10800"/>
          </w:cols>
          <w:pgMar w:left="440" w:top="266" w:right="659" w:bottom="1440" w:gutter="0" w:footer="0" w:header="0"/>
        </w:sectPr>
      </w:pPr>
    </w:p>
    <w:bookmarkStart w:id="36" w:name="page37"/>
    <w:bookmarkEnd w:id="36"/>
    <w:p>
      <w:pPr>
        <w:jc w:val="center"/>
        <w:ind w:right="-3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FORM</w:t>
      </w:r>
    </w:p>
    <w:p>
      <w:pPr>
        <w:spacing w:after="0" w:line="223"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(To assign the foregoing Warrant, execute this form and supply required information. Do not use this form to exercise the Warrant to purchase shares.)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(Please Print)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(Please Print)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 __________________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 ___________________</w:t>
      </w:r>
    </w:p>
    <w:sectPr>
      <w:pgSz w:w="11900" w:h="16838" w:orient="portrait"/>
      <w:cols w:equalWidth="0" w:num="1">
        <w:col w:w="10660"/>
      </w:cols>
      <w:pgMar w:left="440" w:top="270"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lowerLetter"/>
      <w:start w:val="1"/>
    </w:lvl>
  </w:abstractNum>
  <w:abstractNum w:abstractNumId="3">
    <w:nsid w:val="3F2DBA31"/>
    <w:multiLevelType w:val="hybridMultilevel"/>
    <w:lvl w:ilvl="0">
      <w:lvlJc w:val="left"/>
      <w:lvlText w:val="%1)"/>
      <w:numFmt w:val="lowerLetter"/>
      <w:start w:val="1"/>
    </w:lvl>
  </w:abstractNum>
  <w:abstractNum w:abstractNumId="4">
    <w:nsid w:val="7C83E458"/>
    <w:multiLevelType w:val="hybridMultilevel"/>
    <w:lvl w:ilvl="0">
      <w:lvlJc w:val="left"/>
      <w:lvlText w:val="%1)"/>
      <w:numFmt w:val="lowerLetter"/>
      <w:start w:val="4"/>
    </w:lvl>
  </w:abstractNum>
  <w:abstractNum w:abstractNumId="5">
    <w:nsid w:val="257130A3"/>
    <w:multiLevelType w:val="hybridMultilevel"/>
    <w:lvl w:ilvl="0">
      <w:lvlJc w:val="left"/>
      <w:lvlText w:val="%1)"/>
      <w:numFmt w:val="lowerLetter"/>
      <w:start w:val="8"/>
    </w:lvl>
  </w:abstractNum>
  <w:abstractNum w:abstractNumId="6">
    <w:nsid w:val="62BBD95A"/>
    <w:multiLevelType w:val="hybridMultilevel"/>
    <w:lvl w:ilvl="0">
      <w:lvlJc w:val="left"/>
      <w:lvlText w:val="(%1)"/>
      <w:numFmt w:val="upperLetter"/>
      <w:start w:val="1"/>
    </w:lvl>
  </w:abstractNum>
  <w:abstractNum w:abstractNumId="7">
    <w:nsid w:val="436C6125"/>
    <w:multiLevelType w:val="hybridMultilevel"/>
    <w:lvl w:ilvl="0">
      <w:lvlJc w:val="left"/>
      <w:lvlText w:val="%1)"/>
      <w:numFmt w:val="lowerLetter"/>
      <w:start w:val="9"/>
    </w:lvl>
  </w:abstractNum>
  <w:abstractNum w:abstractNumId="8">
    <w:nsid w:val="628C895D"/>
    <w:multiLevelType w:val="hybridMultilevel"/>
    <w:lvl w:ilvl="0">
      <w:lvlJc w:val="left"/>
      <w:lvlText w:val="%1)"/>
      <w:numFmt w:val="lowerLetter"/>
      <w:start w:val="1"/>
    </w:lvl>
  </w:abstractNum>
  <w:abstractNum w:abstractNumId="9">
    <w:nsid w:val="333AB105"/>
    <w:multiLevelType w:val="hybridMultilevel"/>
    <w:lvl w:ilvl="0">
      <w:lvlJc w:val="left"/>
      <w:lvlText w:val="%1)"/>
      <w:numFmt w:val="lowerLetter"/>
      <w:start w:val="3"/>
    </w:lvl>
  </w:abstractNum>
  <w:abstractNum w:abstractNumId="10">
    <w:nsid w:val="721DA317"/>
    <w:multiLevelType w:val="hybridMultilevel"/>
    <w:lvl w:ilvl="0">
      <w:lvlJc w:val="left"/>
      <w:lvlText w:val="(%1)"/>
      <w:numFmt w:val="upperLetter"/>
      <w:start w:val="1"/>
    </w:lvl>
  </w:abstractNum>
  <w:abstractNum w:abstractNumId="11">
    <w:nsid w:val="2443A858"/>
    <w:multiLevelType w:val="hybridMultilevel"/>
    <w:lvl w:ilvl="0">
      <w:lvlJc w:val="left"/>
      <w:lvlText w:val="(%1)"/>
      <w:numFmt w:val="upperLetter"/>
      <w:start w:val="2"/>
    </w:lvl>
  </w:abstractNum>
  <w:abstractNum w:abstractNumId="12">
    <w:nsid w:val="2D1D5AE9"/>
    <w:multiLevelType w:val="hybridMultilevel"/>
    <w:lvl w:ilvl="0">
      <w:lvlJc w:val="left"/>
      <w:lvlText w:val="(%1)"/>
      <w:numFmt w:val="upperLetter"/>
      <w:start w:val="24"/>
    </w:lvl>
  </w:abstractNum>
  <w:abstractNum w:abstractNumId="13">
    <w:nsid w:val="6763845E"/>
    <w:multiLevelType w:val="hybridMultilevel"/>
    <w:lvl w:ilvl="0">
      <w:lvlJc w:val="left"/>
      <w:lvlText w:val="%1)"/>
      <w:numFmt w:val="lowerLetter"/>
      <w:start w:val="4"/>
    </w:lvl>
    <w:lvl w:ilvl="1">
      <w:lvlJc w:val="left"/>
      <w:lvlText w:val="%2."/>
      <w:numFmt w:val="lowerRoman"/>
      <w:start w:val="1"/>
    </w:lvl>
  </w:abstractNum>
  <w:abstractNum w:abstractNumId="14">
    <w:nsid w:val="75A2A8D4"/>
    <w:multiLevelType w:val="hybridMultilevel"/>
    <w:lvl w:ilvl="0">
      <w:lvlJc w:val="left"/>
      <w:lvlText w:val="%1."/>
      <w:numFmt w:val="lowerRoman"/>
      <w:start w:val="2"/>
    </w:lvl>
  </w:abstractNum>
  <w:abstractNum w:abstractNumId="15">
    <w:nsid w:val="8EDBDAB"/>
    <w:multiLevelType w:val="hybridMultilevel"/>
    <w:lvl w:ilvl="0">
      <w:lvlJc w:val="left"/>
      <w:lvlText w:val="%1."/>
      <w:numFmt w:val="lowerRoman"/>
      <w:start w:val="6"/>
    </w:lvl>
  </w:abstractNum>
  <w:abstractNum w:abstractNumId="16">
    <w:nsid w:val="79838CB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7"/>
    </w:lvl>
  </w:abstractNum>
  <w:abstractNum w:abstractNumId="17">
    <w:nsid w:val="4353D0CD"/>
    <w:multiLevelType w:val="hybridMultilevel"/>
    <w:lvl w:ilvl="0">
      <w:lvlJc w:val="left"/>
      <w:lvlText w:val="%1"/>
      <w:numFmt w:val="lowerRoman"/>
      <w:start w:val="1"/>
    </w:lvl>
    <w:lvl w:ilvl="1">
      <w:lvlJc w:val="left"/>
      <w:lvlText w:val="%2)"/>
      <w:numFmt w:val="lowerLetter"/>
      <w:start w:val="5"/>
    </w:lvl>
    <w:lvl w:ilvl="2">
      <w:lvlJc w:val="left"/>
      <w:lvlText w:val="%3"/>
      <w:numFmt w:val="lowerRoman"/>
      <w:start w:val="1"/>
    </w:lvl>
  </w:abstractNum>
  <w:abstractNum w:abstractNumId="18">
    <w:nsid w:val="B03E0C6"/>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19">
    <w:nsid w:val="189A769B"/>
    <w:multiLevelType w:val="hybridMultilevel"/>
    <w:lvl w:ilvl="0">
      <w:lvlJc w:val="left"/>
      <w:lvlText w:val="%1)"/>
      <w:numFmt w:val="lowerLetter"/>
      <w:start w:val="1"/>
    </w:lvl>
  </w:abstractNum>
  <w:abstractNum w:abstractNumId="20">
    <w:nsid w:val="54E49EB4"/>
    <w:multiLevelType w:val="hybridMultilevel"/>
    <w:lvl w:ilvl="0">
      <w:lvlJc w:val="left"/>
      <w:lvlText w:val="%1)"/>
      <w:numFmt w:val="lowerLetter"/>
      <w:start w:val="3"/>
    </w:lvl>
  </w:abstractNum>
  <w:abstractNum w:abstractNumId="21">
    <w:nsid w:val="71F32454"/>
    <w:multiLevelType w:val="hybridMultilevel"/>
    <w:lvl w:ilvl="0">
      <w:lvlJc w:val="left"/>
      <w:lvlText w:val="(%1)"/>
      <w:numFmt w:val="lowerRoman"/>
      <w:start w:val="1"/>
    </w:lvl>
    <w:lvl w:ilvl="1">
      <w:lvlJc w:val="left"/>
      <w:lvlText w:val="%2)"/>
      <w:numFmt w:val="lowerLetter"/>
      <w:start w:val="5"/>
    </w:lvl>
  </w:abstractNum>
  <w:abstractNum w:abstractNumId="22">
    <w:nsid w:val="2CA88611"/>
    <w:multiLevelType w:val="hybridMultilevel"/>
    <w:lvl w:ilvl="0">
      <w:lvlJc w:val="left"/>
      <w:lvlText w:val="%1)"/>
      <w:numFmt w:val="lowerLetter"/>
      <w:start w:val="6"/>
    </w:lvl>
    <w:lvl w:ilvl="1">
      <w:lvlJc w:val="left"/>
      <w:lvlText w:val="%2."/>
      <w:numFmt w:val="lowerRoman"/>
      <w:start w:val="1"/>
    </w:lvl>
  </w:abstractNum>
  <w:abstractNum w:abstractNumId="23">
    <w:nsid w:val="836C40E"/>
    <w:multiLevelType w:val="hybridMultilevel"/>
    <w:lvl w:ilvl="0">
      <w:lvlJc w:val="left"/>
      <w:lvlText w:val="%1)"/>
      <w:numFmt w:val="lowerLetter"/>
      <w:start w:val="7"/>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lowerLetter"/>
      <w:start w:val="4"/>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lowerLetter"/>
      <w:start w:val="5"/>
    </w:lvl>
  </w:abstractNum>
  <w:abstractNum w:abstractNumId="28">
    <w:nsid w:val="7C3DBD3D"/>
    <w:multiLevelType w:val="hybridMultilevel"/>
    <w:lvl w:ilvl="0">
      <w:lvlJc w:val="left"/>
      <w:lvlText w:val="%1"/>
      <w:numFmt w:val="lowerRoman"/>
      <w:start w:val="1"/>
    </w:lvl>
    <w:lvl w:ilvl="1">
      <w:lvlJc w:val="left"/>
      <w:lvlText w:val="%2)"/>
      <w:numFmt w:val="lowerLetter"/>
      <w:start w:val="7"/>
    </w:lvl>
  </w:abstractNum>
  <w:abstractNum w:abstractNumId="29">
    <w:nsid w:val="737B8DDC"/>
    <w:multiLevelType w:val="hybridMultilevel"/>
    <w:lvl w:ilvl="0">
      <w:lvlJc w:val="left"/>
      <w:lvlText w:val="(%1)"/>
      <w:numFmt w:val="lowerRoman"/>
      <w:start w:val="4"/>
    </w:lvl>
    <w:lvl w:ilvl="1">
      <w:lvlJc w:val="left"/>
      <w:lvlText w:val="%2)"/>
      <w:numFmt w:val="lowerLetter"/>
      <w:start w:val="9"/>
    </w:lvl>
  </w:abstractNum>
  <w:abstractNum w:abstractNumId="30">
    <w:nsid w:val="6CEAF087"/>
    <w:multiLevelType w:val="hybridMultilevel"/>
    <w:lvl w:ilvl="0">
      <w:lvlJc w:val="left"/>
      <w:lvlText w:val="%1)"/>
      <w:numFmt w:val="lowerLetter"/>
      <w:start w:val="1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2025-05-20T08:06:06Z</dcterms:created>
  <dcterms:modified xsi:type="dcterms:W3CDTF">2025-05-20T08:06:06Z</dcterms:modified>
</cp:coreProperties>
</file>