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March 26, 2026, Rani Therapeutics Holdings, Inc. (the “Company”) issued a press release providing a corporate update and announcing its financial results for the fourth quarter and year ended December 31, 2025.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Rani Therapeutics Holdings, Inc. dated March 26,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4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26, 2026</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517015" cy="763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Fourth Quarter and Full Year 2025 Financial Results; Provides Corporate Update</w:t>
      </w:r>
    </w:p>
    <w:p>
      <w:pPr>
        <w:spacing w:after="0" w:line="119" w:lineRule="exact"/>
        <w:rPr>
          <w:sz w:val="20"/>
          <w:szCs w:val="20"/>
          <w:color w:val="auto"/>
        </w:rPr>
      </w:pPr>
    </w:p>
    <w:p>
      <w:pPr>
        <w:ind w:left="220" w:right="220" w:firstLine="97"/>
        <w:spacing w:after="0" w:line="315" w:lineRule="auto"/>
        <w:tabs>
          <w:tab w:leader="none" w:pos="415" w:val="left"/>
        </w:tabs>
        <w:numPr>
          <w:ilvl w:val="1"/>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Announced up to $1.085 billion collaboration with Chugai Pharmaceutical Co. for multiple high-value therapeutics and completed $60.3 million oversubscribed private placement led by Samsara BioCapital with participation from RA Capital Management, Special Situations Funds, and Invus –</w:t>
      </w:r>
    </w:p>
    <w:p>
      <w:pPr>
        <w:spacing w:after="0" w:line="67" w:lineRule="exact"/>
        <w:rPr>
          <w:rFonts w:ascii="Times New Roman" w:cs="Times New Roman" w:eastAsia="Times New Roman" w:hAnsi="Times New Roman"/>
          <w:sz w:val="17"/>
          <w:szCs w:val="17"/>
          <w:i w:val="1"/>
          <w:iCs w:val="1"/>
          <w:color w:val="auto"/>
        </w:rPr>
      </w:pPr>
    </w:p>
    <w:p>
      <w:pPr>
        <w:ind w:left="2120" w:hanging="102"/>
        <w:spacing w:after="0"/>
        <w:tabs>
          <w:tab w:leader="none" w:pos="2120" w:val="left"/>
        </w:tabs>
        <w:numPr>
          <w:ilvl w:val="3"/>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preclinical data demonstrating successful oral delivery of semaglutide via RaniPill® –</w:t>
      </w:r>
    </w:p>
    <w:p>
      <w:pPr>
        <w:spacing w:after="0" w:line="144" w:lineRule="exact"/>
        <w:rPr>
          <w:rFonts w:ascii="Times New Roman" w:cs="Times New Roman" w:eastAsia="Times New Roman" w:hAnsi="Times New Roman"/>
          <w:sz w:val="18"/>
          <w:szCs w:val="18"/>
          <w:i w:val="1"/>
          <w:iCs w:val="1"/>
          <w:color w:val="auto"/>
        </w:rPr>
      </w:pPr>
    </w:p>
    <w:p>
      <w:pPr>
        <w:ind w:left="340" w:hanging="108"/>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preclinical data demonstrating the bioequivalence of RT-114, a bispecific GLP-1/GLP-2 dual agonist (PG-102) delivered orally via the</w:t>
      </w:r>
    </w:p>
    <w:p>
      <w:pPr>
        <w:spacing w:after="0" w:line="29" w:lineRule="exact"/>
        <w:rPr>
          <w:rFonts w:ascii="Times New Roman" w:cs="Times New Roman" w:eastAsia="Times New Roman" w:hAnsi="Times New Roman"/>
          <w:sz w:val="18"/>
          <w:szCs w:val="18"/>
          <w:i w:val="1"/>
          <w:iCs w:val="1"/>
          <w:color w:val="auto"/>
        </w:rPr>
      </w:pPr>
    </w:p>
    <w:p>
      <w:pPr>
        <w:ind w:left="33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RaniPill® capsule, to subcutaneous administration of PG-102 –</w:t>
      </w:r>
    </w:p>
    <w:p>
      <w:pPr>
        <w:spacing w:after="0" w:line="137" w:lineRule="exact"/>
        <w:rPr>
          <w:rFonts w:ascii="Times New Roman" w:cs="Times New Roman" w:eastAsia="Times New Roman" w:hAnsi="Times New Roman"/>
          <w:sz w:val="18"/>
          <w:szCs w:val="18"/>
          <w:i w:val="1"/>
          <w:iCs w:val="1"/>
          <w:color w:val="auto"/>
        </w:rPr>
      </w:pPr>
    </w:p>
    <w:p>
      <w:pPr>
        <w:ind w:left="1900" w:hanging="95"/>
        <w:spacing w:after="0"/>
        <w:tabs>
          <w:tab w:leader="none" w:pos="190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Initiated Phase 1 Study of RT-114 RaniPill® for the treatment of obesity in collaboration with ProGen –</w:t>
      </w:r>
    </w:p>
    <w:p>
      <w:pPr>
        <w:spacing w:after="0" w:line="117" w:lineRule="exact"/>
        <w:rPr>
          <w:rFonts w:ascii="Times New Roman" w:cs="Times New Roman" w:eastAsia="Times New Roman" w:hAnsi="Times New Roman"/>
          <w:sz w:val="18"/>
          <w:szCs w:val="18"/>
          <w:i w:val="1"/>
          <w:iCs w:val="1"/>
          <w:color w:val="auto"/>
        </w:rPr>
      </w:pPr>
    </w:p>
    <w:p>
      <w:pPr>
        <w:ind w:left="3700" w:hanging="100"/>
        <w:spacing w:after="0"/>
        <w:tabs>
          <w:tab w:leader="none" w:pos="3700" w:val="left"/>
        </w:tabs>
        <w:numPr>
          <w:ilvl w:val="4"/>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today at 4:30 p.m. ET / 1:30 p.m. PT -</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March 26, 2026 </w:t>
      </w:r>
      <w:r>
        <w:rPr>
          <w:rFonts w:ascii="Times New Roman" w:cs="Times New Roman" w:eastAsia="Times New Roman" w:hAnsi="Times New Roman"/>
          <w:sz w:val="18"/>
          <w:szCs w:val="18"/>
          <w:color w:val="auto"/>
        </w:rPr>
        <w:t>-- 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reported financial results for the quarter and full year ended December 31, 2025 and provided a corporate update.</w:t>
      </w:r>
    </w:p>
    <w:p>
      <w:pPr>
        <w:spacing w:after="0" w:line="121"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“We entered 2026 at an important inflection point, highlighted by the initiation of our Phase 1 study of RT-114, our first orally administered GLP-1/GLP-2 (PG-102) dual agonist delivered via the RaniPill® capsule,” said Talat Imran, Chief Executive Officer of Rani Therapeutics. “Throughout 2025, we generated a robust body of preclinical evidence for RT-114 and our oral semaglutide, demonstrating the potential of the RaniPill® platform to enable oral delivery of complex incretin-based therapies. We also strengthened our balance sheet through an oversubscribed private placement led by a premier syndicate of investors and entered into a collaboration and license agreement with Chugai. With the initiation of our Phase 1 trial of 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114 in December 2025, we are well positioned to advance our first oral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dual agonist into clinical development and continue unlocking the potential of the RaniPill® platform across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therapeutic areas. We look forward to building on the momentum of 2025 as we execute on our clinical, strategic, and partnership objectives in the year ahead.”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Highlights:</w:t>
      </w:r>
    </w:p>
    <w:p>
      <w:pPr>
        <w:spacing w:after="0" w:line="333" w:lineRule="exact"/>
        <w:rPr>
          <w:sz w:val="20"/>
          <w:szCs w:val="20"/>
          <w:color w:val="auto"/>
        </w:rPr>
      </w:pPr>
    </w:p>
    <w:p>
      <w:pPr>
        <w:ind w:left="760" w:right="30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Collaboration and license agreement up to $1.085 billion with Chugai</w:t>
      </w:r>
      <w:r>
        <w:rPr>
          <w:rFonts w:ascii="Times New Roman" w:cs="Times New Roman" w:eastAsia="Times New Roman" w:hAnsi="Times New Roman"/>
          <w:sz w:val="18"/>
          <w:szCs w:val="18"/>
          <w:color w:val="auto"/>
        </w:rPr>
        <w:t>. In October 2025, Rani entered into a Collaboration and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Chugai for up to $1.085 billion to develop an oral therapy combining the RaniPill® platform with Chugai’s rare disease antibody. Chugai has an option to expand rights to five additional drug targets. The partnership demonstrates RaniPill®’s potential to convert injectable biologics into oral therapies, improving patient adherence and accessibility.</w:t>
      </w:r>
    </w:p>
    <w:p>
      <w:pPr>
        <w:spacing w:after="0" w:line="68" w:lineRule="exact"/>
        <w:rPr>
          <w:rFonts w:ascii="Times New Roman" w:cs="Times New Roman" w:eastAsia="Times New Roman" w:hAnsi="Times New Roman"/>
          <w:sz w:val="18"/>
          <w:szCs w:val="18"/>
          <w:color w:val="auto"/>
        </w:rPr>
      </w:pPr>
    </w:p>
    <w:p>
      <w:pPr>
        <w:ind w:left="760" w:right="1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$60.3 million oversubscribed private placement</w:t>
      </w:r>
      <w:r>
        <w:rPr>
          <w:rFonts w:ascii="Times New Roman" w:cs="Times New Roman" w:eastAsia="Times New Roman" w:hAnsi="Times New Roman"/>
          <w:sz w:val="18"/>
          <w:szCs w:val="18"/>
          <w:color w:val="auto"/>
        </w:rPr>
        <w:t>. In October 2025, concurrently with the Chugai Collaboration and License Agreement,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raised approximately $60.3 million inclusive of $6.0 million debt conversion of outstanding debt due to Avenue Venture Opportunities Fund (“Avenue”), reducing the Company’s total debt obligations.</w:t>
      </w:r>
    </w:p>
    <w:p>
      <w:pPr>
        <w:spacing w:after="0" w:line="62" w:lineRule="exact"/>
        <w:rPr>
          <w:rFonts w:ascii="Times New Roman" w:cs="Times New Roman" w:eastAsia="Times New Roman" w:hAnsi="Times New Roman"/>
          <w:sz w:val="18"/>
          <w:szCs w:val="18"/>
          <w:color w:val="auto"/>
        </w:rPr>
      </w:pPr>
    </w:p>
    <w:p>
      <w:pPr>
        <w:ind w:left="760" w:right="22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Preclinical data demonstrating successful oral delivery of semaglutide via RaniPill® capsule. </w:t>
      </w:r>
      <w:r>
        <w:rPr>
          <w:rFonts w:ascii="Times New Roman" w:cs="Times New Roman" w:eastAsia="Times New Roman" w:hAnsi="Times New Roman"/>
          <w:sz w:val="18"/>
          <w:szCs w:val="18"/>
          <w:color w:val="auto"/>
        </w:rPr>
        <w:t>In February 2025, Rani released preclinical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that demonstrated semaglutide administered orally via the RaniPill® capsule (RT-116) resulted in comparable bioavailability, pharmacokinetics and weight loss to subcutaneous administration of semaglutide. RT-116 was well tolerated with no serious adverse events.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2" w:lineRule="exact"/>
        <w:rPr>
          <w:sz w:val="20"/>
          <w:szCs w:val="20"/>
          <w:color w:val="auto"/>
        </w:rPr>
      </w:pPr>
    </w:p>
    <w:p>
      <w:pPr>
        <w:ind w:left="760" w:right="180" w:hanging="378"/>
        <w:spacing w:after="0" w:line="26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Preclinical data demonstrating bioequivalence of RT-114, a bispecific GLP-1/GLP-2 receptor agonist (PG-102) delivered orally via the RaniPill® capsule, to subcutaneously administered PG-102. </w:t>
      </w:r>
      <w:r>
        <w:rPr>
          <w:rFonts w:ascii="Times New Roman" w:cs="Times New Roman" w:eastAsia="Times New Roman" w:hAnsi="Times New Roman"/>
          <w:sz w:val="18"/>
          <w:szCs w:val="18"/>
          <w:color w:val="auto"/>
        </w:rPr>
        <w:t>In March 2025, Rani released new preclinical data, where RT-114 yielded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 bioavailability of 111% compared to PG-102 delivered subcutaneously with comparable pharmacokinetic profiles demonstrating bioequivalence.</w:t>
      </w:r>
    </w:p>
    <w:p>
      <w:pPr>
        <w:spacing w:after="0" w:line="68" w:lineRule="exact"/>
        <w:rPr>
          <w:rFonts w:ascii="Times New Roman" w:cs="Times New Roman" w:eastAsia="Times New Roman" w:hAnsi="Times New Roman"/>
          <w:sz w:val="18"/>
          <w:szCs w:val="18"/>
          <w:color w:val="auto"/>
        </w:rPr>
      </w:pPr>
    </w:p>
    <w:p>
      <w:pPr>
        <w:ind w:left="760" w:right="34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Initiated Phase 1 study of RT-114 via RaniPill® for the treatment of obesity in collaboration with ProGen. </w:t>
      </w:r>
      <w:r>
        <w:rPr>
          <w:rFonts w:ascii="Times New Roman" w:cs="Times New Roman" w:eastAsia="Times New Roman" w:hAnsi="Times New Roman"/>
          <w:sz w:val="18"/>
          <w:szCs w:val="18"/>
          <w:color w:val="auto"/>
        </w:rPr>
        <w:t>In December 2025,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a Phase 1 clinical trial to evaluate the safety, tolerability, bioavailability and pharmacokinetics and pharmacodynamics of single and multiple doses of RT-114.</w:t>
      </w:r>
    </w:p>
    <w:p>
      <w:pPr>
        <w:spacing w:after="0" w:line="62" w:lineRule="exact"/>
        <w:rPr>
          <w:rFonts w:ascii="Times New Roman" w:cs="Times New Roman" w:eastAsia="Times New Roman" w:hAnsi="Times New Roman"/>
          <w:sz w:val="18"/>
          <w:szCs w:val="18"/>
          <w:color w:val="auto"/>
        </w:rPr>
      </w:pPr>
    </w:p>
    <w:p>
      <w:pPr>
        <w:ind w:left="760" w:right="52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Presented preclinical data on semaglutide delivered orally via RaniPill® at ObesityWeek® 2025. </w:t>
      </w:r>
      <w:r>
        <w:rPr>
          <w:rFonts w:ascii="Times New Roman" w:cs="Times New Roman" w:eastAsia="Times New Roman" w:hAnsi="Times New Roman"/>
          <w:sz w:val="18"/>
          <w:szCs w:val="18"/>
          <w:color w:val="auto"/>
        </w:rPr>
        <w:t>In November 2025, Rani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preclinical data demonstrating that oral semaglutide administered via the RaniPill® (RT-116) demonstrated comparable bioavailability, pharmacokinetics and weight loss to subcutaneous administration.</w:t>
      </w:r>
    </w:p>
    <w:p>
      <w:pPr>
        <w:spacing w:after="0" w:line="62" w:lineRule="exact"/>
        <w:rPr>
          <w:rFonts w:ascii="Times New Roman" w:cs="Times New Roman" w:eastAsia="Times New Roman" w:hAnsi="Times New Roman"/>
          <w:sz w:val="18"/>
          <w:szCs w:val="18"/>
          <w:color w:val="auto"/>
        </w:rPr>
      </w:pPr>
    </w:p>
    <w:p>
      <w:pPr>
        <w:ind w:left="760" w:right="640" w:hanging="378"/>
        <w:spacing w:after="0" w:line="28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Late breaking presentation oral, novel, bispecific GLP-1/GLP-2 receptor agonist at ENDO 2025. </w:t>
      </w:r>
      <w:r>
        <w:rPr>
          <w:rFonts w:ascii="Times New Roman" w:cs="Times New Roman" w:eastAsia="Times New Roman" w:hAnsi="Times New Roman"/>
          <w:sz w:val="18"/>
          <w:szCs w:val="18"/>
          <w:color w:val="auto"/>
        </w:rPr>
        <w:t>In July 2025, Rani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of preclinical data on oral delivery of RT-114 achieving bioequivalence to subcutaneous injection in canines.</w:t>
      </w:r>
    </w:p>
    <w:p>
      <w:pPr>
        <w:spacing w:after="0" w:line="46" w:lineRule="exact"/>
        <w:rPr>
          <w:rFonts w:ascii="Times New Roman" w:cs="Times New Roman" w:eastAsia="Times New Roman" w:hAnsi="Times New Roman"/>
          <w:sz w:val="18"/>
          <w:szCs w:val="18"/>
          <w:color w:val="auto"/>
        </w:rPr>
      </w:pPr>
    </w:p>
    <w:p>
      <w:pPr>
        <w:ind w:left="760" w:right="200" w:hanging="378"/>
        <w:spacing w:after="0" w:line="291"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Satisfied outstanding debt obligations. </w:t>
      </w:r>
      <w:r>
        <w:rPr>
          <w:rFonts w:ascii="Times New Roman" w:cs="Times New Roman" w:eastAsia="Times New Roman" w:hAnsi="Times New Roman"/>
          <w:sz w:val="17"/>
          <w:szCs w:val="17"/>
          <w:color w:val="auto"/>
        </w:rPr>
        <w:t>In December 2025, Rani repaid all outstanding debt due to Avenue, including the remaining principal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of $6.2 million, accrued interest, a final payment of $1.7 million, and a prepayment fee of $0.1 million. Upon repayment of these amounts, all obligations due to Avenue were fully satisfied. Rani no longer has any outstanding debt obligations as of December 31, 2025.</w:t>
      </w:r>
    </w:p>
    <w:p>
      <w:pPr>
        <w:spacing w:after="0" w:line="44" w:lineRule="exact"/>
        <w:rPr>
          <w:rFonts w:ascii="Times New Roman" w:cs="Times New Roman" w:eastAsia="Times New Roman" w:hAnsi="Times New Roman"/>
          <w:sz w:val="17"/>
          <w:szCs w:val="17"/>
          <w:color w:val="auto"/>
        </w:rPr>
      </w:pPr>
    </w:p>
    <w:p>
      <w:pPr>
        <w:ind w:left="760" w:right="8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Abraham Bassan and Vasudev Bailey, Ph.D. to Board of Directors. </w:t>
      </w:r>
      <w:r>
        <w:rPr>
          <w:rFonts w:ascii="Times New Roman" w:cs="Times New Roman" w:eastAsia="Times New Roman" w:hAnsi="Times New Roman"/>
          <w:sz w:val="18"/>
          <w:szCs w:val="18"/>
          <w:color w:val="auto"/>
        </w:rPr>
        <w:t>In October 2025, concurrently with the closing of the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Rani announced the appointment of Abraham (“Abe”) Bassan, Partner at Samsara BioCapital, and Vasudev Bailey, Ph.D., General Partner at Anomaly Ventures to its Board of Directors.</w:t>
      </w:r>
    </w:p>
    <w:p>
      <w:pPr>
        <w:spacing w:after="0" w:line="62" w:lineRule="exact"/>
        <w:rPr>
          <w:rFonts w:ascii="Times New Roman" w:cs="Times New Roman" w:eastAsia="Times New Roman" w:hAnsi="Times New Roman"/>
          <w:sz w:val="18"/>
          <w:szCs w:val="18"/>
          <w:color w:val="auto"/>
        </w:rPr>
      </w:pPr>
    </w:p>
    <w:p>
      <w:pPr>
        <w:ind w:left="760" w:right="420" w:hanging="378"/>
        <w:spacing w:after="0" w:line="28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Promoted Alireza Javadi, Ph.D. to Chief Technical Officer. </w:t>
      </w:r>
      <w:r>
        <w:rPr>
          <w:rFonts w:ascii="Times New Roman" w:cs="Times New Roman" w:eastAsia="Times New Roman" w:hAnsi="Times New Roman"/>
          <w:sz w:val="18"/>
          <w:szCs w:val="18"/>
          <w:color w:val="auto"/>
        </w:rPr>
        <w:t>In January 2026, Rani announced the promotion of Alireza Javadi, Ph.D.,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Technical Officer.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Results:</w:t>
      </w:r>
    </w:p>
    <w:p>
      <w:pPr>
        <w:spacing w:after="0" w:line="117" w:lineRule="exact"/>
        <w:rPr>
          <w:sz w:val="20"/>
          <w:szCs w:val="20"/>
          <w:color w:val="auto"/>
        </w:rPr>
      </w:pPr>
    </w:p>
    <w:p>
      <w:pPr>
        <w:jc w:val="both"/>
        <w:ind w:left="76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December 31, 2025 totaled $49.7 million, compared to $27.6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 Rani expects its cash, cash equivalents and marketable securities, including an expected technology transfer milestone payment pursuant to the Chugai agreement, to be sufficient to fund its operations into the fourth quarter of 2027.</w:t>
      </w:r>
    </w:p>
    <w:p>
      <w:pPr>
        <w:spacing w:after="0" w:line="62" w:lineRule="exact"/>
        <w:rPr>
          <w:rFonts w:ascii="Times New Roman" w:cs="Times New Roman" w:eastAsia="Times New Roman" w:hAnsi="Times New Roman"/>
          <w:sz w:val="18"/>
          <w:szCs w:val="18"/>
          <w:color w:val="auto"/>
        </w:rPr>
      </w:pPr>
    </w:p>
    <w:p>
      <w:pPr>
        <w:ind w:left="760" w:right="120" w:hanging="378"/>
        <w:spacing w:after="0" w:line="220" w:lineRule="exact"/>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revenue </w:t>
      </w:r>
      <w:r>
        <w:rPr>
          <w:rFonts w:ascii="Times New Roman" w:cs="Times New Roman" w:eastAsia="Times New Roman" w:hAnsi="Times New Roman"/>
          <w:sz w:val="18"/>
          <w:szCs w:val="18"/>
          <w:color w:val="auto"/>
        </w:rPr>
        <w:t>for the three and twelve months ended December 31, 2025 were $1.5 million and $1.6 million, respectively. Of this,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was attributed to a License and Collaboration Agreement and $0.1 million was attributed to evaluation services performed for a customer. Although the Chugai agreement included a $10 million upfront payment,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recognition guidance requires us to recognize that amount over time as we satisfy our performance obligations. For comparison, there was $1.0 million of contract revenue for the same periods in 2024, all related to evaluation services for a customer.</w:t>
      </w:r>
    </w:p>
    <w:p>
      <w:pPr>
        <w:spacing w:after="0" w:line="88" w:lineRule="exact"/>
        <w:rPr>
          <w:rFonts w:ascii="Times New Roman" w:cs="Times New Roman" w:eastAsia="Times New Roman" w:hAnsi="Times New Roman"/>
          <w:sz w:val="18"/>
          <w:szCs w:val="18"/>
          <w:color w:val="auto"/>
        </w:rPr>
      </w:pPr>
    </w:p>
    <w:p>
      <w:pPr>
        <w:ind w:left="760" w:right="40" w:hanging="378"/>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and twelve months ended December 31, 2025 were $4.9 million and $20.2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$6.8 million and $26.7 million for the same periods in 2024, respectively. The decrease of $6.5 million in R&amp;D expenses in 2025 was primarily attributed to lower compensation costs of $5.3 million, $0.6 million reduction in facilities, materials and supplies, $0.5 million reduction in third-party services, and $0.1 million decrease in other expenses. These reductions reflect cost containment efforts, including the temporary pause or termination of certain R&amp;D programs. We expect the R&amp;D expenses to increase in future periods as we resume some of these programs and continue to invest in platform development.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2" w:lineRule="exact"/>
        <w:rPr>
          <w:sz w:val="20"/>
          <w:szCs w:val="20"/>
          <w:color w:val="auto"/>
        </w:rPr>
      </w:pPr>
    </w:p>
    <w:p>
      <w:pPr>
        <w:ind w:left="760" w:right="120" w:hanging="378"/>
        <w:spacing w:after="0" w:line="26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and twelve months ended December 31, 2025 were $5.1 million and $19.7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$5.5 million and $23.9 million for the same periods in 2024, respectively. The decrease of $4.2 million in G&amp;A expenses in 2025 was primarily attributed to the cost-containment initiative reducing compensation costs of $2.6 million, $0.5 million reduction in third-party services, $0.7 million reduction in other costs, and $0.4 million reduction in facilities, materials and supplies.</w:t>
      </w:r>
    </w:p>
    <w:p>
      <w:pPr>
        <w:spacing w:after="0" w:line="68"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Impairment loss </w:t>
      </w:r>
      <w:r>
        <w:rPr>
          <w:rFonts w:ascii="Times New Roman" w:cs="Times New Roman" w:eastAsia="Times New Roman" w:hAnsi="Times New Roman"/>
          <w:sz w:val="18"/>
          <w:szCs w:val="18"/>
          <w:color w:val="auto"/>
        </w:rPr>
        <w:t>for the three and twelve months ended December 31, 2024 were $3.7 million and was attributable to construction-in-progress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and equipment. No impairment loss was recognized for the same periods in 2025.</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and twelve months ended December 31, 2025 were $9.1 million and $41.0 million, respectively, compared to $15.7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$56.6 million for the same periods in 2024, respectively, including non-cash stock-based compensation expense of $2.2 million for the fourth quarter and $11.8 million for the full year 2025, compared to $4.0 million and $16.0 million for the same periods in 2024,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Rani will host a corresponding conference call today at 4:30 p.m. ET / 1:30 p.m. PT to discuss the results and provide a business update. Individuals interested in listening to the live webcast of the conference call may do so by using the link in the “Investors” section of the company’s website at www.ranitherapeutics.com. A webcast replay will be available in the investor relations section on the company’s website following the completion of the call.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potential of the RaniPill® platform to enable oral delivery of complex incretin-based therapies and validation of such potential through clinical trials and collaborations, including its collaboration with Chugai, Rani’s potential to achieve and receive milestone payments under the Chugai agreement, the potential of the RaniPill® platform to convert injectable biologics into oral therapies across high-value therapeutic areas,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“look forward,” “intend,” “potential,”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2025,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0" w:lineRule="exact"/>
        <w:rPr>
          <w:sz w:val="20"/>
          <w:szCs w:val="20"/>
          <w:color w:val="auto"/>
        </w:rPr>
      </w:pPr>
    </w:p>
    <w:p>
      <w:pPr>
        <w:spacing w:after="0" w:line="39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97,622 and 33,430 issued and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23,970 and 23,972 issued and</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(132,580)</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(102,907)</w:t>
            </w:r>
          </w:p>
        </w:tc>
      </w:tr>
      <w:tr>
        <w:trPr>
          <w:trHeight w:val="210"/>
        </w:trPr>
        <w:tc>
          <w:tcPr>
            <w:tcW w:w="76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top w:val="single" w:sz="8" w:color="CFF0FC"/>
            </w:tcBorders>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r>
      <w:tr>
        <w:trPr>
          <w:trHeight w:val="857"/>
        </w:trPr>
        <w:tc>
          <w:tcPr>
            <w:tcW w:w="76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-5665470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-5665470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-5108575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-1482090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14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(8,534)</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(38,310)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(53,314)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(26,566)</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(10,306)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(29,673)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80" w:type="dxa"/>
            <w:vAlign w:val="bottom"/>
            <w:shd w:val="clear" w:color="auto" w:fill="CFF0FC"/>
          </w:tcPr>
          <w:p>
            <w:pPr>
              <w:ind w:left="60"/>
              <w:spacing w:after="0" w:line="178"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gridSpan w:val="2"/>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420" w:type="dxa"/>
            <w:vAlign w:val="bottom"/>
            <w:gridSpan w:val="2"/>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147,093</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32,660</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66,138</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-2776855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-2776855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-2776855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-1653540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-1653540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-1653540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-1233805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-1233805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-1216660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2026-03-26T15:37:41Z</dcterms:created>
  <dcterms:modified xsi:type="dcterms:W3CDTF">2026-03-26T15:37:41Z</dcterms:modified>
</cp:coreProperties>
</file>