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August 7, 2025, Rani Therapeutics Holdings, Inc. (the “Company”) issued a press release providing a corporate update and announcing its financial results for the three and six months ended June 30, 2025. The full text of the press release is furnished as Exhibit 99.1 to this Current Report on Form 8-K and is incorporated herein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0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of Rani Therapeutics Holdings, Inc. dated August 7, 2025</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2025</w:t>
      </w:r>
      <w:r>
        <w:rPr>
          <w:sz w:val="20"/>
          <w:szCs w:val="20"/>
          <w:color w:val="auto"/>
        </w:rPr>
        <w:tab/>
      </w:r>
      <w:r>
        <w:rPr>
          <w:rFonts w:ascii="Times New Roman" w:cs="Times New Roman" w:eastAsia="Times New Roman" w:hAnsi="Times New Roman"/>
          <w:sz w:val="18"/>
          <w:szCs w:val="18"/>
          <w:color w:val="auto"/>
        </w:rPr>
        <w:t>By:</w:t>
        <w:tab/>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156845</wp:posOffset>
            </wp:positionV>
            <wp:extent cx="1499870"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98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Reports Second Quarter 2025 Financial Results; Provides Corporate Update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Announced strategic research collaboration with Chugai for two undisclosed molecules –</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Presented preclinical data demonstrating bioequivalence of novel, bispecific GLP-1/GLP-2 receptor agonist delivered orally via RaniPill (RT-114)</w:t>
      </w:r>
    </w:p>
    <w:p>
      <w:pPr>
        <w:spacing w:after="0" w:line="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i w:val="1"/>
          <w:iCs w:val="1"/>
          <w:color w:val="auto"/>
        </w:rPr>
        <w:t>compared to subcutaneous delivery at ENDO 2025 –</w:t>
      </w:r>
    </w:p>
    <w:p>
      <w:pPr>
        <w:spacing w:after="0" w:line="9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i w:val="1"/>
          <w:iCs w:val="1"/>
          <w:color w:val="auto"/>
        </w:rPr>
        <w:t>– Phase 1 study for RT-114 for the treatment of obesity expected to initiate in the second half of 2025 –</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Announced a warrant inducement transaction with an existing investor with gross proceeds of $4.3 million –</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 Announced pricing of $3.0 million registered direct offering –</w:t>
      </w:r>
    </w:p>
    <w:p>
      <w:pPr>
        <w:spacing w:after="0" w:line="200" w:lineRule="exact"/>
        <w:rPr>
          <w:sz w:val="20"/>
          <w:szCs w:val="20"/>
          <w:color w:val="auto"/>
        </w:rPr>
      </w:pP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JOSE, Calif., August 7, 2025 </w:t>
      </w:r>
      <w:r>
        <w:rPr>
          <w:rFonts w:ascii="Times New Roman" w:cs="Times New Roman" w:eastAsia="Times New Roman" w:hAnsi="Times New Roman"/>
          <w:sz w:val="18"/>
          <w:szCs w:val="18"/>
          <w:color w:val="auto"/>
        </w:rPr>
        <w:t>-- Rani Therapeutics Holdings, Inc. (“Rani Therapeutics” or “Rani”) (Nasdaq: RANI), a clinical-stage biotherapeutics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the oral delivery of biologics and drugs, today reported financial results for the second quarter ended June 30, 2025 and provided a corporate update.</w:t>
      </w:r>
    </w:p>
    <w:p>
      <w:pPr>
        <w:spacing w:after="0" w:line="121" w:lineRule="exact"/>
        <w:rPr>
          <w:sz w:val="20"/>
          <w:szCs w:val="20"/>
          <w:color w:val="auto"/>
        </w:rPr>
      </w:pPr>
    </w:p>
    <w:p>
      <w:pPr>
        <w:jc w:val="both"/>
        <w:ind w:firstLine="57"/>
        <w:spacing w:after="0" w:line="256" w:lineRule="auto"/>
        <w:rPr>
          <w:sz w:val="20"/>
          <w:szCs w:val="20"/>
          <w:color w:val="auto"/>
        </w:rPr>
      </w:pPr>
      <w:r>
        <w:rPr>
          <w:rFonts w:ascii="Times New Roman" w:cs="Times New Roman" w:eastAsia="Times New Roman" w:hAnsi="Times New Roman"/>
          <w:sz w:val="18"/>
          <w:szCs w:val="18"/>
          <w:color w:val="auto"/>
        </w:rPr>
        <w:t>“In the second quarter of 2025, we have announced a research collaboration with Chugai for two molecules with undisclosed targets,” said Talat Imran, Chief Executive Officer of Rani Therapeutics. “We believe this collaboration has the potential to transform into a long-term strategic partnership as we advance our pipeline of oral biologic therapies aimed at addressing the needs of patients with chronic diseases. Additionally, at ENDO 2025, we presented compelling preclinical data on our oral bispecific GLP-1/GLP-2 receptor agonist, RT-114. This data, demonstrating bioequivalence to subcutaneous injections in canines, highlights RT-114’s potential to revolutionize the obesity treatment landscape. Looking ahead to the second half of 2025, we remain focused on initiating a Phase 1 trial for RT-114 as a novel oral therapy for obesity.”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Highlights:</w:t>
      </w:r>
    </w:p>
    <w:p>
      <w:pPr>
        <w:spacing w:after="0" w:line="117" w:lineRule="exact"/>
        <w:rPr>
          <w:sz w:val="20"/>
          <w:szCs w:val="20"/>
          <w:color w:val="auto"/>
        </w:rPr>
      </w:pPr>
    </w:p>
    <w:p>
      <w:pPr>
        <w:jc w:val="both"/>
        <w:ind w:left="1020" w:hanging="503"/>
        <w:spacing w:after="0" w:line="26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Research Collaboration with Chugai. </w:t>
      </w:r>
      <w:r>
        <w:rPr>
          <w:rFonts w:ascii="Times New Roman" w:cs="Times New Roman" w:eastAsia="Times New Roman" w:hAnsi="Times New Roman"/>
          <w:sz w:val="18"/>
          <w:szCs w:val="18"/>
          <w:color w:val="auto"/>
        </w:rPr>
        <w:t>In May 2025, Rani announced that the company has entered into a Research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August 2024 for two molecules with undisclosed targets provided by Chugai. The full analysis confirms the RaniPill® delivery demonstrated comparable bioavailability to the subcutaneous route of delivery for both molecules studied.</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Late Breaking Presentation oral, novel, bispecific GLP-1/GLP-2 receptor agonist at ENDO 2025. </w:t>
      </w:r>
      <w:r>
        <w:rPr>
          <w:rFonts w:ascii="Times New Roman" w:cs="Times New Roman" w:eastAsia="Times New Roman" w:hAnsi="Times New Roman"/>
          <w:sz w:val="18"/>
          <w:szCs w:val="18"/>
          <w:color w:val="auto"/>
        </w:rPr>
        <w:t>In July 2025, Rani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 of preclinical data on oral delivery of a bispecific GLP-1/GLP-2 receptor agonist (PG-102) via a robotic pill (RT-114) achieving bioequivalence to subcutaneous injection in canines. Collectively, these compelling nonclinical results provide a robust rationale for initiating clinical development of RT-114 as a first-in-class oral anti-obesity therapy.</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$4.3 Million Warrant Inducement Transaction</w:t>
      </w:r>
      <w:r>
        <w:rPr>
          <w:rFonts w:ascii="Times New Roman" w:cs="Times New Roman" w:eastAsia="Times New Roman" w:hAnsi="Times New Roman"/>
          <w:sz w:val="18"/>
          <w:szCs w:val="18"/>
          <w:color w:val="auto"/>
        </w:rPr>
        <w:t>. In May 2025, Rani entered into a letter agreement with an existing institutional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investor exercised for cash all outstanding Series B and Series C warrants at a reduced exercise price of $0.65 per share, for gross proceeds of $4.3 million in consideration for the Company’s issuance of a new Series D common stock warrant to purchase an aggregate of 13,160,172 shares of Class A common stock.</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$3.0 Million Registered Direct Offering. </w:t>
      </w:r>
      <w:r>
        <w:rPr>
          <w:rFonts w:ascii="Times New Roman" w:cs="Times New Roman" w:eastAsia="Times New Roman" w:hAnsi="Times New Roman"/>
          <w:sz w:val="18"/>
          <w:szCs w:val="18"/>
          <w:color w:val="auto"/>
        </w:rPr>
        <w:t>In July 2025, Rani announced that it has entered into a securities purchase agreement with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institutional investor for the purchase and sale of 4,354,000 shares of Rani Therapeutics’ Class A common stock at a purchase price of $0.40 per share and pre-funded warrants to purchase 3,146,000 shares of Class A common stock at a purchase price of $0.3999 in a registered direct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Near-Term Milestone Expectations:</w:t>
      </w:r>
    </w:p>
    <w:p>
      <w:pPr>
        <w:spacing w:after="0" w:line="229"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1 clinical trial of RT-114 for the treatment of obesity expected in the second half of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117" w:lineRule="exact"/>
        <w:rPr>
          <w:sz w:val="20"/>
          <w:szCs w:val="20"/>
          <w:color w:val="auto"/>
        </w:rPr>
      </w:pPr>
    </w:p>
    <w:p>
      <w:pPr>
        <w:ind w:left="1020" w:right="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June 30, 2025 totaled $10.2 million, compared to $27.6 million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three months ended June 30, 2025 were $5.5 million, compared to $6.1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2024. The decrease of $0.6 million was primarily attributed to lower compensation costs.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three months ended June 30, 2025 were $5.0 million, compared to $6.4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2024. The decrease of $1.4 million was primarily attributed to lower compensation costs of $0.5 million, a reduction of $0.6 million of third-party services and $0.3 million in other services.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months ended June 30, 2025 was $11.2 million, compared to $13.4 million for the same period in 2024,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compensation expense of $3.3 million for the three months ended June 30, 2025, compared to $4.1 million for the same period in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Rani Therapeutics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potential of Rani’s collaborations and its ability to transform such collaborations into a long-term strategic partnerships, including its collaboration with Chugai; ability to advance its pipeline of oral biologic therapies; the expected initiation of a Phase 1 trial of RT-114 in the second half of 2025, the potential of Rani’s collaboration with Chugai to transform into a long-term strategic partnership, our ability to advance our pipeline of oral biologic therapies, the potential of the RaniPill® platform to enable oral delivery of multiple obesity treatments and validation of such potential through preclinical data, the potential of the RaniPill® platform to offer more convenient and accessible therapeutic options, the potential for RT-114 to become a first-in-class, orally administered GLP-1/GLP-2 dual agonist for the treatment of obesity, the potential for RT-114 to revolutionize the obesity treatment landscape and the potential to become a novel oral therapy for the treatment of obesity, the sufficiency of Rani’s cash reserves, the timing and extent of its expenses, and future financial performance. Because such statements are subject to risks and uncertainties, actual results may differ materially from those expressed or implied by such forward-looking statements. Words such as “confident,” “intend,” “potential,” “expect,”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2024, and subsequent filings and reports by Rani. All forward-looking statements contained in this press release speak only as of the date on which they were made and are based on management’s assumptions and estimates as of such date. Rani undertakes no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update such statements to reflect events that occur or circumstances that exist after the date on which they were made,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investors@ranitherapeutics.com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40" w:right="959" w:bottom="1440" w:gutter="0" w:footer="0" w:header="0"/>
        </w:sectPr>
      </w:pPr>
    </w:p>
    <w:bookmarkStart w:id="6" w:name="page7"/>
    <w:bookmarkEnd w:id="6"/>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r>
        <w:rPr>
          <w:rFonts w:ascii="Times New Roman" w:cs="Times New Roman" w:eastAsia="Times New Roman" w:hAnsi="Times New Roman"/>
          <w:sz w:val="18"/>
          <w:szCs w:val="18"/>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8"/>
                <w:szCs w:val="18"/>
                <w:color w:val="auto"/>
              </w:rPr>
            </w:pPr>
          </w:p>
        </w:tc>
      </w:tr>
      <w:tr>
        <w:trPr>
          <w:trHeight w:val="209"/>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50"/>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00" w:type="dxa"/>
            <w:vAlign w:val="bottom"/>
            <w:shd w:val="clear" w:color="auto" w:fill="CFF0FC"/>
          </w:tcPr>
          <w:p>
            <w:pPr>
              <w:spacing w:after="0"/>
              <w:rPr>
                <w:sz w:val="21"/>
                <w:szCs w:val="21"/>
                <w:color w:val="auto"/>
              </w:rPr>
            </w:pPr>
          </w:p>
        </w:tc>
      </w:tr>
      <w:tr>
        <w:trPr>
          <w:trHeight w:val="197"/>
        </w:trPr>
        <w:tc>
          <w:tcPr>
            <w:tcW w:w="7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18"/>
                <w:szCs w:val="18"/>
                <w:color w:val="auto"/>
              </w:rPr>
            </w:pPr>
          </w:p>
        </w:tc>
      </w:tr>
      <w:tr>
        <w:trPr>
          <w:trHeight w:val="210"/>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 June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 2025 and December 31, 2024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39,237 and 33,430 issued and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2025 and December 31, 2024,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23,970 and 23,972 issued and</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 and December 31, 2024, respectively</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104,889</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(116,863)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(102,907)</w:t>
            </w:r>
          </w:p>
        </w:tc>
      </w:tr>
      <w:tr>
        <w:trPr>
          <w:trHeight w:val="20"/>
        </w:trPr>
        <w:tc>
          <w:tcPr>
            <w:tcW w:w="7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(deficit)/equity attributable to Rani Therapeutics Holdings, Inc.</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FF0FC"/>
          </w:tcPr>
          <w:p>
            <w:pPr>
              <w:spacing w:after="0"/>
              <w:rPr>
                <w:sz w:val="18"/>
                <w:szCs w:val="18"/>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(deficit)/equity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100" w:type="dxa"/>
            <w:vAlign w:val="bottom"/>
            <w:shd w:val="clear" w:color="auto" w:fill="CFF0FC"/>
          </w:tcPr>
          <w:p>
            <w:pPr>
              <w:spacing w:after="0"/>
              <w:rPr>
                <w:sz w:val="21"/>
                <w:szCs w:val="21"/>
                <w:color w:val="auto"/>
              </w:rPr>
            </w:pPr>
          </w:p>
        </w:tc>
      </w:tr>
      <w:tr>
        <w:trPr>
          <w:trHeight w:val="1837"/>
        </w:trPr>
        <w:tc>
          <w:tcPr>
            <w:tcW w:w="762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-4859655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-4842510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-4842510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-4011295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-3445510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-1508125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(10,505)</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(26,557)</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(877)</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(11,224)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(13,361)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(23,962)</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(28,140)</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(4,532)</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(13,852)</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(6,805)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(13,956)</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(14,288)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60" w:type="dxa"/>
            <w:vAlign w:val="bottom"/>
            <w:shd w:val="clear" w:color="auto" w:fill="CFF0FC"/>
          </w:tcPr>
          <w:p>
            <w:pPr>
              <w:ind w:left="60"/>
              <w:spacing w:after="0" w:line="178"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w:t>
            </w:r>
          </w:p>
        </w:tc>
        <w:tc>
          <w:tcPr>
            <w:tcW w:w="44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vMerge w:val="restart"/>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gridSpan w:val="2"/>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4"/>
        </w:trPr>
        <w:tc>
          <w:tcPr>
            <w:tcW w:w="5560" w:type="dxa"/>
            <w:vAlign w:val="bottom"/>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Holdings, Inc., basic and diluted</w:t>
            </w:r>
          </w:p>
        </w:tc>
        <w:tc>
          <w:tcPr>
            <w:tcW w:w="440" w:type="dxa"/>
            <w:vAlign w:val="bottom"/>
            <w:gridSpan w:val="2"/>
            <w:vMerge w:val="continue"/>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1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36,542</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26,324</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34,999</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26,179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7"/>
        </w:trPr>
        <w:tc>
          <w:tcPr>
            <w:tcW w:w="5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-2652395</wp:posOffset>
            </wp:positionV>
            <wp:extent cx="10223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-2652395</wp:posOffset>
            </wp:positionV>
            <wp:extent cx="10223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-2652395</wp:posOffset>
            </wp:positionV>
            <wp:extent cx="939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-2652395</wp:posOffset>
            </wp:positionV>
            <wp:extent cx="939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-1936750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-1936750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-1936750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-1653540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-1653540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-1653540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-1233805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-1233805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-1216660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-1233805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-1216660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2025-08-07T15:23:31Z</dcterms:created>
  <dcterms:modified xsi:type="dcterms:W3CDTF">2025-08-07T15:23:31Z</dcterms:modified>
</cp:coreProperties>
</file>