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333-266444</w:t>
      </w:r>
    </w:p>
    <w:p>
      <w:pPr>
        <w:ind w:left="120"/>
        <w:spacing w:after="0" w:line="224" w:lineRule="auto"/>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1316355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73660</wp:posOffset>
            </wp:positionV>
            <wp:extent cx="2177415" cy="1097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7415"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4,354,000 Shares of Class A Common Stock</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Pre-Funded Warrants to Purchase 3,146,000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2" w:lineRule="exact"/>
        <w:rPr>
          <w:sz w:val="24"/>
          <w:szCs w:val="24"/>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4"/>
          <w:szCs w:val="14"/>
          <w:color w:val="auto"/>
        </w:rPr>
        <w:t>We are offering 4,354,000 shares of our Class A common stock, par value $0.0001 per share at the offering price of $0.40 per share of Class A common stock, in a registered direct offering directly to an investor pursuant to this prospectus supplement and the accompanying prospectus and a securities purchase agreement with such investor.</w:t>
      </w:r>
    </w:p>
    <w:p>
      <w:pPr>
        <w:spacing w:after="0" w:line="55" w:lineRule="exact"/>
        <w:rPr>
          <w:sz w:val="24"/>
          <w:szCs w:val="24"/>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4"/>
          <w:szCs w:val="14"/>
          <w:color w:val="auto"/>
        </w:rPr>
        <w:t>We are also offering pre-funded warrants to purchase 3,146,000 shares of our Class A common stock in lieu of shares of our Class A common stock to the investor pursuant to this prospectus supplement and the accompanying prospectus and a securities purchase agreement with such investor. Each pre-funded warrant is exercisable for one share of our Class A common stock at an exercise price of $0.0001 per share. The offering price per pre-funded warrant of $0.3999 is equal to the offering price per share of our Class A common stock of $0.40 less $0.0001. The pre-funded warrants are immediately exercisable and may be exercised at any time until all of the pre-funded warrants are exercised in full.</w:t>
      </w:r>
    </w:p>
    <w:p>
      <w:pPr>
        <w:spacing w:after="0" w:line="69" w:lineRule="exact"/>
        <w:rPr>
          <w:sz w:val="24"/>
          <w:szCs w:val="24"/>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4"/>
          <w:szCs w:val="14"/>
          <w:color w:val="auto"/>
        </w:rPr>
        <w:t>We refer to the shares of Class A common stock and the pre-funded warrants issued in this offering, collectively, as the securities. This prospectus supplement also relates to the offering of the shares of Class A common stock issuable upon exercise of the pre-funded warrants sold in this offering.</w:t>
      </w:r>
    </w:p>
    <w:p>
      <w:pPr>
        <w:spacing w:after="0" w:line="55" w:lineRule="exact"/>
        <w:rPr>
          <w:sz w:val="24"/>
          <w:szCs w:val="24"/>
          <w:color w:val="auto"/>
        </w:rPr>
      </w:pPr>
    </w:p>
    <w:p>
      <w:pPr>
        <w:jc w:val="both"/>
        <w:ind w:left="120" w:right="60" w:firstLine="440"/>
        <w:spacing w:after="0" w:line="241" w:lineRule="auto"/>
        <w:rPr>
          <w:sz w:val="20"/>
          <w:szCs w:val="20"/>
          <w:color w:val="auto"/>
        </w:rPr>
      </w:pPr>
      <w:r>
        <w:rPr>
          <w:rFonts w:ascii="Times New Roman" w:cs="Times New Roman" w:eastAsia="Times New Roman" w:hAnsi="Times New Roman"/>
          <w:sz w:val="14"/>
          <w:szCs w:val="14"/>
          <w:color w:val="auto"/>
        </w:rPr>
        <w:t>Our Class A common stock is listed on the Nasdaq Global Market under the symbol “RANI.” On July 14, 2025, the last sale price of our Class A common stock on the Nasdaq Global Market was $0.6984 per share. There is no established public trading market for the pre-funded warrants, and we do not expect a market to develop. In addition, we do not intend to apply for the listing of the pre-funded warrants on any national securities exchange. Without an active trading market, the liquidity of the pre-funded warrants will be limited.</w:t>
      </w:r>
    </w:p>
    <w:p>
      <w:pPr>
        <w:spacing w:after="0" w:line="69" w:lineRule="exact"/>
        <w:rPr>
          <w:sz w:val="24"/>
          <w:szCs w:val="24"/>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4"/>
          <w:szCs w:val="14"/>
          <w:color w:val="auto"/>
        </w:rPr>
        <w:t>We engaged Maxim Group LLC to act as our sole placement agent, or the Placement Agent, in connection with this offering. The Placement Agent is not purchasing the securities offered by us in this offering and is not required to arrange the purchase or sale of any specific number or dollar amount of securities.</w:t>
      </w:r>
    </w:p>
    <w:p>
      <w:pPr>
        <w:spacing w:after="0" w:line="55" w:lineRule="exact"/>
        <w:rPr>
          <w:sz w:val="24"/>
          <w:szCs w:val="24"/>
          <w:color w:val="auto"/>
        </w:rPr>
      </w:pPr>
    </w:p>
    <w:p>
      <w:pPr>
        <w:ind w:left="120" w:firstLine="440"/>
        <w:spacing w:after="0" w:line="231" w:lineRule="auto"/>
        <w:rPr>
          <w:sz w:val="20"/>
          <w:szCs w:val="20"/>
          <w:color w:val="auto"/>
        </w:rPr>
      </w:pPr>
      <w:r>
        <w:rPr>
          <w:rFonts w:ascii="Times New Roman" w:cs="Times New Roman" w:eastAsia="Times New Roman" w:hAnsi="Times New Roman"/>
          <w:sz w:val="14"/>
          <w:szCs w:val="14"/>
          <w:color w:val="auto"/>
        </w:rPr>
        <w:t>As of May 20, 2025, the aggregate market value of our outstanding Class A common stock held by non-affiliates, or our public float, was approximately $29.6 million, based on 39,542,217 shares of outstanding Class A common stock held by non-affiliates, and a price of $0.749 per share, which was the last reported sale price of our Class A common stock on the Nasdaq Global Market on May 20, 2025. We have not sold any shares pursuant to General Instruction I.B.6 of Form S-3 during the prior 12-calendar-month period that ends on and includes the date of this prospectus supplement. Accordingly, based on the foregoing, we are currently eligible under General Instruction I.B.6 of Form S-3 to offer and sell shares of our Class A common stock having an aggregate offering price of up to approximately $9.9 million. Pursuant to General Instruction I.B.6 of Form S-3, in no event will we sell securities in a public primary offering with a value exceeding one-third of our public float in any 12-month period so long as our public float remains below $75.0 million.</w:t>
      </w:r>
    </w:p>
    <w:p>
      <w:pPr>
        <w:spacing w:after="0" w:line="67" w:lineRule="exact"/>
        <w:rPr>
          <w:sz w:val="24"/>
          <w:szCs w:val="24"/>
          <w:color w:val="auto"/>
        </w:rPr>
      </w:pPr>
    </w:p>
    <w:p>
      <w:pPr>
        <w:ind w:left="120" w:right="14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We are an emerging growth company and a smaller reporting company as defined under the U.S. federal securities laws and, as such, may elect to comply with certain reduced public company reporting requirements for this and future filings. See the section titled “Prospectus Supplement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20"/>
          <w:szCs w:val="20"/>
          <w:b w:val="1"/>
          <w:bCs w:val="1"/>
          <w:color w:val="auto"/>
        </w:rPr>
        <w:t>Investing in our securities involves risks. See the section titled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S-10 of this prospectus supplement and the documents incorporated by reference into this prospectus supplement.</w:t>
      </w:r>
    </w:p>
    <w:p>
      <w:pPr>
        <w:spacing w:after="0" w:line="47"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660" w:type="dxa"/>
            <w:vAlign w:val="bottom"/>
            <w:gridSpan w:val="3"/>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00" w:type="dxa"/>
            <w:vAlign w:val="bottom"/>
            <w:gridSpan w:val="3"/>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66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Offering price</w:t>
            </w:r>
          </w:p>
        </w:tc>
        <w:tc>
          <w:tcPr>
            <w:tcW w:w="2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0.40</w:t>
            </w: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0.3999</w:t>
            </w:r>
          </w:p>
        </w:tc>
        <w:tc>
          <w:tcPr>
            <w:tcW w:w="5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2,999,685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Placement Agent fees</w:t>
            </w:r>
            <w:r>
              <w:rPr>
                <w:rFonts w:ascii="Times New Roman" w:cs="Times New Roman" w:eastAsia="Times New Roman" w:hAnsi="Times New Roman"/>
                <w:sz w:val="10"/>
                <w:szCs w:val="10"/>
                <w:color w:val="auto"/>
              </w:rPr>
              <w:t>(1)</w:t>
            </w:r>
          </w:p>
        </w:tc>
        <w:tc>
          <w:tcPr>
            <w:tcW w:w="2220" w:type="dxa"/>
            <w:vAlign w:val="bottom"/>
            <w:gridSpan w:val="2"/>
          </w:tcPr>
          <w:p>
            <w:pPr>
              <w:ind w:left="20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0.021</w:t>
            </w:r>
          </w:p>
        </w:tc>
        <w:tc>
          <w:tcPr>
            <w:tcW w:w="6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0.021</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0"/>
                <w:szCs w:val="10"/>
                <w:color w:val="auto"/>
              </w:rPr>
              <w:t>(2)</w:t>
            </w:r>
          </w:p>
        </w:tc>
        <w:tc>
          <w:tcPr>
            <w:tcW w:w="2220" w:type="dxa"/>
            <w:vAlign w:val="bottom"/>
            <w:gridSpan w:val="2"/>
            <w:shd w:val="clear" w:color="auto" w:fill="CCEEFF"/>
          </w:tcPr>
          <w:p>
            <w:pPr>
              <w:ind w:left="20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0.379</w:t>
            </w:r>
          </w:p>
        </w:tc>
        <w:tc>
          <w:tcPr>
            <w:tcW w:w="6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0.379</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2,842,202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“Plan of Distribution” for additional disclosure regarding the Placement Agent fees.</w:t>
      </w:r>
    </w:p>
    <w:p>
      <w:pPr>
        <w:spacing w:after="0" w:line="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summary of offering proceeds does not give effect to any proceeds from the exercise of the pre-funded warrants being issued in this offering.</w:t>
      </w:r>
    </w:p>
    <w:p>
      <w:pPr>
        <w:spacing w:after="0" w:line="78" w:lineRule="exact"/>
        <w:rPr>
          <w:sz w:val="24"/>
          <w:szCs w:val="24"/>
          <w:color w:val="auto"/>
        </w:rPr>
      </w:pPr>
    </w:p>
    <w:p>
      <w:pPr>
        <w:ind w:left="120" w:right="42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expect to deliver the securities against payment therefor on or about July 16, 2025.</w:t>
      </w:r>
    </w:p>
    <w:p>
      <w:pPr>
        <w:spacing w:after="0" w:line="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Maxim Group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July 14, 2025.</w:t>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6"/>
          </w:tcPr>
          <w:p>
            <w:pPr>
              <w:spacing w:after="0"/>
              <w:rPr>
                <w:sz w:val="16"/>
                <w:szCs w:val="16"/>
                <w:color w:val="auto"/>
              </w:rPr>
            </w:pP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0"/>
          </w:tcPr>
          <w:p>
            <w:pPr>
              <w:spacing w:after="0"/>
              <w:rPr>
                <w:sz w:val="17"/>
                <w:szCs w:val="17"/>
                <w:color w:val="auto"/>
              </w:rPr>
            </w:pPr>
          </w:p>
        </w:tc>
        <w:tc>
          <w:tcPr>
            <w:tcW w:w="540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100" w:type="dxa"/>
            <w:vAlign w:val="bottom"/>
            <w:gridSpan w:val="1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20" w:type="dxa"/>
            <w:vAlign w:val="bottom"/>
            <w:gridSpan w:val="1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41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52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6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50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4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6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4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20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66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6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7"/>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8"/>
            <w:shd w:val="clear" w:color="auto" w:fill="0000EE"/>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50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a part of a registration statement on Form S-3 that we filed with the Securities and Exchange Commission, or SEC, utilizing a “shelf” registration process. The prospectus supplement describes the specific terms of this offering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difference between the information contained in this prospectus supplement and the information contained in the accompanying prospectus or any document incorporated by reference, you should rely on the information in this prospectus supplement.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when we refer to the prospectus, we are referring to this prospectus supplement and the accompanying prospectus combined.</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make any representations other than those contained in or incorporated by reference in this prospectus supplement and the accompanying prospectus.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“Where You Can Find More Information” and “Incorporation of Certain Information by Reference.”</w:t>
      </w:r>
    </w:p>
    <w:p>
      <w:pPr>
        <w:spacing w:after="0" w:line="18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our securities only in jurisdictions where offers and sales are permitted. The distribution of this prospectus supplement and the accompanying prospectus and the offering of our securities in certain jurisdictions may be restricted by law.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w:t>
      </w:r>
    </w:p>
    <w:p>
      <w:pPr>
        <w:spacing w:after="0" w:line="18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suspended, and we are no longer offering, any securities pursuant to the prospectus supplement filed with the Securities and Exchange Commission on May 19, 2025 relating to the offer and sale of shares of our Class A common stock pursuant to the Sales Agreement dated August 24, 2022, with H.C. Wainwright &amp; Co., LLC, which we refer to as the Sales Agreement.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we use the terms “Rani,” “Company,” “we,” “us” and “our” in this prospectus supplement and the accompanying prospectus to refer to Rani Therapeutics Holdings, Inc., or Rani Holdings, together with its subsidiary, Rani Therapeutics, LLC, or Rani LLC.</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securities. Therefore, you should read the entire prospectus supplement and the accompanying prospectus carefully (including the documents incorporated by reference herein and therein), especially the “Risk Factors” section on page S-10 and in the documents incorporated by reference and our consolidated and condensed financial statements and the related notes incorporated by reference in this prospectus supplement and the accompanying prospectus, before deciding to invest in our securities.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jc w:val="both"/>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Our technology comprises a drug-agnostic oral delivery platform, the RaniPill capsule, which is designed to deliver a wide variety of drug substances, including antibodies, proteins, peptides, and oligonucleotides. We have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2025.</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RaniPill capsule technology could enable us to deliver most biologics currently on the market with convenient, oral dosing.</w:t>
      </w:r>
    </w:p>
    <w:p>
      <w:pPr>
        <w:spacing w:after="0" w:line="225"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our Class A common stock, to facilitate certain organizational transactions, and to operate the business of Rani LLC.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conducts all of Rani LLC’s business.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1"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our stockholders, (iii) Class C common stock, which has no voting rights, except as otherwise required by law and (iv) preferred stock.</w:t>
      </w:r>
    </w:p>
    <w:p>
      <w:pPr>
        <w:spacing w:after="0" w:line="85" w:lineRule="exact"/>
        <w:rPr>
          <w:rFonts w:ascii="Times New Roman" w:cs="Times New Roman" w:eastAsia="Times New Roman" w:hAnsi="Times New Roman"/>
          <w:sz w:val="18"/>
          <w:szCs w:val="18"/>
          <w:color w:val="auto"/>
        </w:rPr>
      </w:pPr>
    </w:p>
    <w:p>
      <w:pPr>
        <w:jc w:val="both"/>
        <w:ind w:left="1240" w:right="580" w:hanging="415"/>
        <w:spacing w:after="0" w:line="312"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45" w:lineRule="exact"/>
        <w:rPr>
          <w:rFonts w:ascii="Times New Roman" w:cs="Times New Roman" w:eastAsia="Times New Roman" w:hAnsi="Times New Roman"/>
          <w:sz w:val="17"/>
          <w:szCs w:val="17"/>
          <w:color w:val="auto"/>
        </w:rPr>
      </w:pPr>
    </w:p>
    <w:p>
      <w:pPr>
        <w:ind w:left="1240" w:right="40" w:hanging="415"/>
        <w:spacing w:after="0" w:line="255"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94"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or Tax Receivable Agreement, with certain of the Continuing LLC Owners.</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All shares of our Class B common stock are held by certain stockholders who held equity in Rani LLC before the IPO. Immediately following this offering, the Continuing LLC Owners will collectively hold more than 86.3% of the voting power of our outstanding capital stock, assuming no exercise of any pre-funded warrants issued in this offering. Because of the 10-to-1 voting ratio between our Class B common stock and Class A common stock, the Continuing LLC Owners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titled “Risk Factors” in this prospectus supplement. Some of the principal risks related to our business include the following:</w:t>
      </w:r>
    </w:p>
    <w:p>
      <w:pPr>
        <w:spacing w:after="0" w:line="81" w:lineRule="exact"/>
        <w:rPr>
          <w:sz w:val="20"/>
          <w:szCs w:val="20"/>
          <w:color w:val="auto"/>
        </w:rPr>
      </w:pPr>
    </w:p>
    <w:p>
      <w:pPr>
        <w:ind w:left="1240" w:right="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need to raise additional funding, which may not be available on acceptable terms. If we are unable to raise additional capital when needed, we may be forced to delay, limit, reduce or terminate our product development programs or other operations.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73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meet the requirements for continued listing on The Nasdaq Global Market. If we fail to meet the requirements for continued listing on The Nasdaq Global Market, trading in our common stock could be suspended and our common stock delisted from Nasdaq, which would have a negative effect on the price of our common stock and our ability to raise additional capital.</w:t>
      </w:r>
    </w:p>
    <w:p>
      <w:pPr>
        <w:spacing w:after="0" w:line="81" w:lineRule="exact"/>
        <w:rPr>
          <w:rFonts w:ascii="Times New Roman" w:cs="Times New Roman" w:eastAsia="Times New Roman" w:hAnsi="Times New Roman"/>
          <w:sz w:val="18"/>
          <w:szCs w:val="18"/>
          <w:color w:val="auto"/>
        </w:rPr>
      </w:pPr>
    </w:p>
    <w:p>
      <w:pPr>
        <w:jc w:val="both"/>
        <w:ind w:left="1240" w:right="140" w:hanging="415"/>
        <w:spacing w:after="0" w:line="312"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45" w:lineRule="exact"/>
        <w:rPr>
          <w:rFonts w:ascii="Times New Roman" w:cs="Times New Roman" w:eastAsia="Times New Roman" w:hAnsi="Times New Roman"/>
          <w:sz w:val="17"/>
          <w:szCs w:val="17"/>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contains restrictions that limit our flexibility in operating our business. In addition, we may be required to make a prepayment or repay our outstanding indebtedness earlier than we expect.</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conducted limited early clinical development, have not submitted an investigational new drug application to the U.S. Food and Drug Administration, or FDA, and we have never conducted later-stage clinical trials or submitted a Biologics License Application, or BLA, or New Drug Application and may be unable to do so for any of our product candidates.</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 with ProGen Co., Ltd. includes certain restrictions and obligations that may limit our flexibility in developing and commercializing RT-114 or require us to bear costs we otherwise would not incur or did not expect to incur.</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9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5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our ability to build and maintain our intellectual property portfolio.</w:t>
      </w:r>
    </w:p>
    <w:p>
      <w:pPr>
        <w:spacing w:after="0" w:line="130"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81"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88"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“Rani,” “Rani Therapeutics,” “RaniPill,” the Rani Therapeutics logo, the R logo and other trademarks or service marks of Rani appearing in this prospectus supplement are the property of Rani LLC.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27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As a result, the information that we provide to our stockholders may be different than you might receive from other public reporting companies in which you hold equity interests.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93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993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7"/>
          <w:szCs w:val="17"/>
          <w:color w:val="auto"/>
        </w:rPr>
        <w:t>4,354,000 shares.</w:t>
      </w:r>
    </w:p>
    <w:p>
      <w:pPr>
        <w:spacing w:after="0" w:line="14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Pre-funded warrants offered by us</w:t>
      </w:r>
      <w:r>
        <w:rPr>
          <w:sz w:val="20"/>
          <w:szCs w:val="20"/>
          <w:color w:val="auto"/>
        </w:rPr>
        <w:tab/>
      </w:r>
      <w:r>
        <w:rPr>
          <w:rFonts w:ascii="Times New Roman" w:cs="Times New Roman" w:eastAsia="Times New Roman" w:hAnsi="Times New Roman"/>
          <w:sz w:val="17"/>
          <w:szCs w:val="17"/>
          <w:color w:val="auto"/>
        </w:rPr>
        <w:t>We are also offering pre-funded warrants to purchase 3,146,000 shares of Class A common</w:t>
      </w:r>
    </w:p>
    <w:p>
      <w:pPr>
        <w:spacing w:after="0" w:line="31"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stock, in lieu of shares of Class A common stock. Each pre-funded warrant is exercisable for one share of our Class A common stock. The purchase price of each pre-funded warrant is equal to the price at which a share of Class A common stock is being sold in this offering, minus $0.0001 per share, and the exercise price of each pre-funded warrant is $0.0001 per share. The pre-funded warrants are exercisable immediately and may be exercised at any time until all of the pre-funded warrants are exercised in full. This offering also relates to the shares of Class A common stock issuable upon exercise of any pre-funded warrants sold in this offering. For additional information regarding the pre-funded warrants, see “Description of Securities We Are Offering—Pre-Funded Warrants” below.</w:t>
      </w:r>
    </w:p>
    <w:p>
      <w:pPr>
        <w:sectPr>
          <w:pgSz w:w="11900" w:h="16838" w:orient="portrait"/>
          <w:cols w:equalWidth="0" w:num="1">
            <w:col w:w="10920"/>
          </w:cols>
          <w:pgMar w:left="320" w:top="455" w:right="659" w:bottom="1440" w:gutter="0" w:footer="0" w:header="0"/>
        </w:sectPr>
      </w:pPr>
    </w:p>
    <w:p>
      <w:pPr>
        <w:spacing w:after="0" w:line="94" w:lineRule="exact"/>
        <w:rPr>
          <w:sz w:val="20"/>
          <w:szCs w:val="20"/>
          <w:color w:val="auto"/>
        </w:rPr>
      </w:pPr>
    </w:p>
    <w:p>
      <w:pPr>
        <w:ind w:left="380" w:right="2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37,924,253 shares, assuming no exercise of any pre-funded warrants issued in this offering. Assuming all the pre-funded warrants were immediately exercised, there would be 41,070,253 shares of Class A common stock outstanding after this offering.</w:t>
      </w:r>
    </w:p>
    <w:p>
      <w:pPr>
        <w:spacing w:after="0" w:line="77"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B common stock to be outstanding</w:t>
      </w:r>
      <w:r>
        <w:rPr>
          <w:sz w:val="20"/>
          <w:szCs w:val="20"/>
          <w:color w:val="auto"/>
        </w:rPr>
        <w:tab/>
      </w:r>
      <w:r>
        <w:rPr>
          <w:rFonts w:ascii="Times New Roman" w:cs="Times New Roman" w:eastAsia="Times New Roman" w:hAnsi="Times New Roman"/>
          <w:sz w:val="17"/>
          <w:szCs w:val="17"/>
          <w:color w:val="auto"/>
        </w:rPr>
        <w:t>23,971,852 shares.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immediately after this offering</w:t>
      </w:r>
    </w:p>
    <w:p>
      <w:pPr>
        <w:spacing w:after="0" w:line="12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C common stock to be outstanding</w:t>
      </w:r>
      <w:r>
        <w:rPr>
          <w:sz w:val="20"/>
          <w:szCs w:val="20"/>
          <w:color w:val="auto"/>
        </w:rPr>
        <w:tab/>
      </w:r>
      <w:r>
        <w:rPr>
          <w:rFonts w:ascii="Times New Roman" w:cs="Times New Roman" w:eastAsia="Times New Roman" w:hAnsi="Times New Roman"/>
          <w:sz w:val="17"/>
          <w:szCs w:val="17"/>
          <w:color w:val="auto"/>
        </w:rPr>
        <w:t>None.</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immediately after this offering</w:t>
      </w:r>
    </w:p>
    <w:p>
      <w:pPr>
        <w:sectPr>
          <w:pgSz w:w="11900" w:h="16838" w:orient="portrait"/>
          <w:cols w:equalWidth="0" w:num="1">
            <w:col w:w="10920"/>
          </w:cols>
          <w:pgMar w:left="320" w:top="455" w:right="659" w:bottom="1440" w:gutter="0" w:footer="0" w:header="0"/>
          <w:type w:val="continuous"/>
        </w:sectPr>
      </w:pP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A common stock immediately after this offering</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entitles its holder to one vote per share, and each share of Class B common stock entitles its holder to 10 votes per share. Holders of our Class C common stock have no voting rights, except as otherwise required by law. Holders of our Class A common stock and Class B common stock vote together as a single class on all matters presented to stockholders for their vote or approval, except as otherwise required by law. See the section titled “Description of Capital Stock” in the accompanying prospectus.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13.7%, assuming no exercise of any pre-funded warrants issued in this offering. Assuming all the pre-funded warrants were immediately exercised, the holders of Class A common stock would hold 14.6% of the voting power after this offering.</w:t>
      </w:r>
    </w:p>
    <w:p>
      <w:pPr>
        <w:spacing w:after="0" w:line="200" w:lineRule="exact"/>
        <w:rPr>
          <w:sz w:val="20"/>
          <w:szCs w:val="20"/>
          <w:color w:val="auto"/>
        </w:rPr>
      </w:pPr>
    </w:p>
    <w:p>
      <w:pPr>
        <w:sectPr>
          <w:pgSz w:w="11900" w:h="16838" w:orient="portrait"/>
          <w:cols w:equalWidth="0" w:num="2">
            <w:col w:w="4080" w:space="260"/>
            <w:col w:w="6580"/>
          </w:cols>
          <w:pgMar w:left="320" w:top="455" w:right="659" w:bottom="1440" w:gutter="0" w:footer="0" w:header="0"/>
          <w:type w:val="continuous"/>
        </w:sectPr>
      </w:pP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920"/>
          </w:cols>
          <w:pgMar w:left="320" w:top="455" w:right="6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396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held by holders of Class B common stock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86.3%, assuming no exercise of any pre-funded warrants issued in this offering. Assuming all the pre-funded warrants were immediately exercised, the holders of Class B common stock would hold 85.4% of the voting power after this offering.</w:t>
      </w:r>
    </w:p>
    <w:p>
      <w:pPr>
        <w:spacing w:after="0" w:line="77" w:lineRule="exact"/>
        <w:rPr>
          <w:sz w:val="20"/>
          <w:szCs w:val="20"/>
          <w:color w:val="auto"/>
        </w:rPr>
      </w:pPr>
    </w:p>
    <w:p>
      <w:pPr>
        <w:sectPr>
          <w:pgSz w:w="11900" w:h="16838" w:orient="portrait"/>
          <w:cols w:equalWidth="0" w:num="2">
            <w:col w:w="4080" w:space="260"/>
            <w:col w:w="6600"/>
          </w:cols>
          <w:pgMar w:left="320" w:top="455" w:right="63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Voting power held by holders of Class C common</w:t>
      </w:r>
      <w:r>
        <w:rPr>
          <w:sz w:val="20"/>
          <w:szCs w:val="20"/>
          <w:color w:val="auto"/>
        </w:rPr>
        <w:tab/>
      </w:r>
      <w:r>
        <w:rPr>
          <w:rFonts w:ascii="Times New Roman" w:cs="Times New Roman" w:eastAsia="Times New Roman" w:hAnsi="Times New Roman"/>
          <w:sz w:val="17"/>
          <w:szCs w:val="17"/>
          <w:color w:val="auto"/>
        </w:rPr>
        <w:t>None.</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 immediately after this offering</w:t>
      </w:r>
    </w:p>
    <w:p>
      <w:pPr>
        <w:sectPr>
          <w:pgSz w:w="11900" w:h="16838" w:orient="portrait"/>
          <w:cols w:equalWidth="0" w:num="1">
            <w:col w:w="10940"/>
          </w:cols>
          <w:pgMar w:left="320" w:top="455" w:right="639" w:bottom="1440" w:gutter="0" w:footer="0" w:header="0"/>
          <w:type w:val="continuous"/>
        </w:sectPr>
      </w:pPr>
    </w:p>
    <w:p>
      <w:pPr>
        <w:spacing w:after="0" w:line="122"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Rani LLC Agreement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93" w:lineRule="exact"/>
        <w:rPr>
          <w:sz w:val="20"/>
          <w:szCs w:val="20"/>
          <w:color w:val="auto"/>
        </w:rPr>
      </w:pPr>
    </w:p>
    <w:p>
      <w:pPr>
        <w:sectPr>
          <w:pgSz w:w="11900" w:h="16838" w:orient="portrait"/>
          <w:cols w:equalWidth="0" w:num="2">
            <w:col w:w="4020" w:space="320"/>
            <w:col w:w="6600"/>
          </w:cols>
          <w:pgMar w:left="320" w:top="455" w:right="639" w:bottom="1440" w:gutter="0" w:footer="0" w:header="0"/>
          <w:type w:val="continuous"/>
        </w:sect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estimate the net proceeds from this offering will be approximately $2.7 million, after</w:t>
      </w:r>
    </w:p>
    <w:p>
      <w:pPr>
        <w:spacing w:after="0" w:line="31" w:lineRule="exact"/>
        <w:rPr>
          <w:sz w:val="20"/>
          <w:szCs w:val="20"/>
          <w:color w:val="auto"/>
        </w:rPr>
      </w:pPr>
    </w:p>
    <w:p>
      <w:pPr>
        <w:ind w:left="4340" w:right="180"/>
        <w:spacing w:after="0" w:line="255" w:lineRule="auto"/>
        <w:rPr>
          <w:sz w:val="20"/>
          <w:szCs w:val="20"/>
          <w:color w:val="auto"/>
        </w:rPr>
      </w:pPr>
      <w:r>
        <w:rPr>
          <w:rFonts w:ascii="Times New Roman" w:cs="Times New Roman" w:eastAsia="Times New Roman" w:hAnsi="Times New Roman"/>
          <w:sz w:val="18"/>
          <w:szCs w:val="18"/>
          <w:color w:val="auto"/>
        </w:rPr>
        <w:t>deducting Placement Agent fees and estimated offering expenses payable by us, and excluding the proceeds, if any, from the exercise of the pre-funded warrants issued in this offering.</w:t>
      </w:r>
    </w:p>
    <w:p>
      <w:pPr>
        <w:spacing w:after="0" w:line="91" w:lineRule="exact"/>
        <w:rPr>
          <w:sz w:val="20"/>
          <w:szCs w:val="20"/>
          <w:color w:val="auto"/>
        </w:rPr>
      </w:pPr>
    </w:p>
    <w:p>
      <w:pPr>
        <w:ind w:left="4340" w:right="40"/>
        <w:spacing w:after="0" w:line="281" w:lineRule="auto"/>
        <w:rPr>
          <w:sz w:val="20"/>
          <w:szCs w:val="20"/>
          <w:color w:val="auto"/>
        </w:rPr>
      </w:pPr>
      <w:r>
        <w:rPr>
          <w:rFonts w:ascii="Times New Roman" w:cs="Times New Roman" w:eastAsia="Times New Roman" w:hAnsi="Times New Roman"/>
          <w:sz w:val="17"/>
          <w:szCs w:val="17"/>
          <w:color w:val="auto"/>
        </w:rPr>
        <w:t>We intend to use the net proceeds that we receive from this offering to purchase newly issued LLC Interests from Rani LLC. We intend to cause Rani LLC to use the net proceeds from this offering, for working capital and other general corporate purposes, which may include the acquisition or licensing of other products, businesses or technologies.</w:t>
      </w:r>
    </w:p>
    <w:p>
      <w:pPr>
        <w:spacing w:after="0" w:line="70" w:lineRule="exact"/>
        <w:rPr>
          <w:sz w:val="20"/>
          <w:szCs w:val="20"/>
          <w:color w:val="auto"/>
        </w:rPr>
      </w:pPr>
    </w:p>
    <w:p>
      <w:pPr>
        <w:ind w:left="4340" w:right="260"/>
        <w:spacing w:after="0" w:line="282" w:lineRule="auto"/>
        <w:rPr>
          <w:sz w:val="20"/>
          <w:szCs w:val="20"/>
          <w:color w:val="auto"/>
        </w:rPr>
      </w:pPr>
      <w:r>
        <w:rPr>
          <w:rFonts w:ascii="Times New Roman" w:cs="Times New Roman" w:eastAsia="Times New Roman" w:hAnsi="Times New Roman"/>
          <w:sz w:val="18"/>
          <w:szCs w:val="18"/>
          <w:color w:val="auto"/>
        </w:rPr>
        <w:t>See the section titled “Use of Proceeds” for a more complete description of the intended use of proceeds from this offering.</w:t>
      </w:r>
    </w:p>
    <w:p>
      <w:pPr>
        <w:spacing w:after="0" w:line="6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See the section titled “Risk Factors” and other information included and incorporated by</w:t>
      </w:r>
    </w:p>
    <w:p>
      <w:pPr>
        <w:spacing w:after="0" w:line="31" w:lineRule="exact"/>
        <w:rPr>
          <w:sz w:val="20"/>
          <w:szCs w:val="20"/>
          <w:color w:val="auto"/>
        </w:rPr>
      </w:pPr>
    </w:p>
    <w:p>
      <w:pPr>
        <w:ind w:left="4340" w:right="100"/>
        <w:spacing w:after="0" w:line="290" w:lineRule="auto"/>
        <w:rPr>
          <w:sz w:val="20"/>
          <w:szCs w:val="20"/>
          <w:color w:val="auto"/>
        </w:rPr>
      </w:pPr>
      <w:r>
        <w:rPr>
          <w:rFonts w:ascii="Times New Roman" w:cs="Times New Roman" w:eastAsia="Times New Roman" w:hAnsi="Times New Roman"/>
          <w:sz w:val="17"/>
          <w:szCs w:val="17"/>
          <w:color w:val="auto"/>
        </w:rPr>
        <w:t>reference in this prospectus supplement and the accompanying prospectus for a discussion of factors that you should carefully consider before deciding to invest in our securities.</w:t>
      </w:r>
    </w:p>
    <w:p>
      <w:pPr>
        <w:spacing w:after="0" w:line="59"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Nasdaq Global Market symbol</w:t>
      </w:r>
      <w:r>
        <w:rPr>
          <w:sz w:val="20"/>
          <w:szCs w:val="20"/>
          <w:color w:val="auto"/>
        </w:rPr>
        <w:tab/>
      </w:r>
      <w:r>
        <w:rPr>
          <w:rFonts w:ascii="Times New Roman" w:cs="Times New Roman" w:eastAsia="Times New Roman" w:hAnsi="Times New Roman"/>
          <w:sz w:val="17"/>
          <w:szCs w:val="17"/>
          <w:color w:val="auto"/>
        </w:rPr>
        <w:t>“RANI.” We do not intend to list the pre-funded warrants on the Nasdaq Global Market or</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any other national securities exchange or nationally recognized trading system.</w:t>
      </w:r>
    </w:p>
    <w:p>
      <w:pPr>
        <w:spacing w:after="0" w:line="220"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33,570,253 shares of Class A common stock outstanding as of March 31, 2025, and excludes:</w:t>
      </w:r>
    </w:p>
    <w:p>
      <w:pPr>
        <w:spacing w:after="0" w:line="67" w:lineRule="exact"/>
        <w:rPr>
          <w:sz w:val="20"/>
          <w:szCs w:val="20"/>
          <w:color w:val="auto"/>
        </w:rPr>
      </w:pPr>
    </w:p>
    <w:p>
      <w:pPr>
        <w:ind w:left="1240" w:right="4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11,381,681 shares of Class A common stock issuable upon the exercise of outstanding stock options as of March 31, 2025, with a weighted-average exercise price of $5.08 per share;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3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83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25,201,482 shares of Class A common stock issuable upon the exchange or redemption of outstanding LLC Interests as of March 31, 2025;</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653,094 shares of Class A common stock issuable upon the vesting of restricted stock units as of March 31,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6,656,422 shares of Class A common stock issuable upon the exercise of outstanding warrants as of March 31, 2025;</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3,685,170 shares reserved for future issuance under our 2021 Equity Incentive Plan as of March 31, 2025,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556,482 shares of Class A common stock reserved for future issuance under our 2021 Employee Stock Purchase Plan as of March 31, 2025, as well as any automatic increases in the number of shares of Class A common stock reserved for future issuance under this plan.</w:t>
      </w:r>
    </w:p>
    <w:p>
      <w:pPr>
        <w:spacing w:after="0" w:line="176"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following this offering does not include up to an aggregate of 13,160,172 shares of Class A common stock issuable upon the exercise of a Series D common stock warrant issued pursuant to a letter agreement with an existing institutional investor, dated May 20, 2025, and the issuance of 6,580,086 shares of Class A common stock upon the exercise of outstanding Series B and Series C common stock warrants pursuant to such letter agreement.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Additionally, the number of shares of common stock to be outstanding immediately following this offering does not include up to</w:t>
      </w:r>
    </w:p>
    <w:p>
      <w:pPr>
        <w:spacing w:after="0" w:line="27" w:lineRule="exact"/>
        <w:rPr>
          <w:sz w:val="20"/>
          <w:szCs w:val="20"/>
          <w:color w:val="auto"/>
        </w:rPr>
      </w:pPr>
    </w:p>
    <w:p>
      <w:pPr>
        <w:ind w:left="300"/>
        <w:spacing w:after="0" w:line="225" w:lineRule="auto"/>
        <w:rPr>
          <w:sz w:val="20"/>
          <w:szCs w:val="20"/>
          <w:color w:val="auto"/>
        </w:rPr>
      </w:pPr>
      <w:r>
        <w:rPr>
          <w:rFonts w:ascii="Times New Roman" w:cs="Times New Roman" w:eastAsia="Times New Roman" w:hAnsi="Times New Roman"/>
          <w:sz w:val="18"/>
          <w:szCs w:val="18"/>
          <w:color w:val="auto"/>
        </w:rPr>
        <w:t>$16.5 million of our Class A common stock that remained available for sale as of March 31, 2025 under the 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H.C. Wainwright &amp; Co., LLC, dated as of August 24, 2022. Since March 31, 2025, we have not sold any shares under the Sales Agreement. In connection with this offering, we have suspended, and we are no longer offering, any securities pursuant to the Sales Agreement.</w:t>
      </w:r>
    </w:p>
    <w:p>
      <w:pPr>
        <w:spacing w:after="0" w:line="19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All the information in this prospectus supplement excludes the additional share issuances and shares reserved for future issuance subsequent to March 31, 2025, as set forth above, and further assumes no exercise of outstanding warrants, stock options or vesting of restricted units, no redemption of outstanding LLC Interests and no exercise of the pre-funded warrants offered and sold in this offering.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Annual Report on Form 10-K for the year ended December 31, 2024 and in our Quarterly Report on Form 10-Q for the three months ended March 31, 2025, as filed with the SEC which are incorporated by reference in this prospectus supplement in their entirety, together with other information in this prospectus supplement, and the information and documents incorporated by reference in this prospectus supplement.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proceeds in ways that do not improve our business, financial condition or results of operations or enhance the value of our Class A common stock. The failure by our management to apply these funds effectively could result in financial losses that could harm our business, cause the price of our Class A common stock to decline and delay the development of our product candidates. Pending their use, we may invest the net proceeds from this offering in a manner that does not produce income or that loses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tangible net book value of their investment.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you purchase our Class A common stock (or pre-funded warrants in lieu thereof) in this offering, you will incur an immediate dilution of $0.44 in net tangible book value per share from the price you paid, based on the offering price of $0.40 per share of Class A common stock (or pre-funded warrant in lieu thereof). The exercise of the pre-funded warrants issued in this offering, the exercise of outstanding options or vesting of restricted units will result in further dilution. For a further description of the dilution that you will experience immediately after this offering, see the section titled “Dilution.”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For example, on August 24, 2022, we entered into the Sales Agreement, pursuant to which we may offer and sell, from time to time through a sales agent, shares of our Class A common stock having an aggregate offering price of up to $150.0 million. In connection with this offering, we have suspended, and we are no longer offering, any securities pursuant to the Sales Agreement.</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Class B common stock has 10 votes per share, our Class A common stock, which we are selling in this offering, has one vote per share and Class C common stock has no voting rights, except as required by law.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Immediately following this offering of securities, holders of our outstanding Class B common stock will collectively hold more than 86.3% of the voting power of our outstanding capital stock, assuming no exercise of any pre-funded warrants issued in this offering.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9.0% of all outstanding shares of our Class A common stock and Class B common stock.</w:t>
      </w:r>
    </w:p>
    <w:p>
      <w:pPr>
        <w:spacing w:after="0" w:line="183"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exchange of LLC Interests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Market. Without an active market, the liquidity of the pre-funded warrants will be limited.</w:t>
      </w:r>
    </w:p>
    <w:p>
      <w:pPr>
        <w:spacing w:after="0" w:line="28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Class A common stock.</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Class A common stock upon exercise of such pre-funded warrants, the holders will have no rights with respect to the shares of our Class A common stock underlying such pre-funded warrants, such as voting rights or the rights to receive dividends. Upon exercise of the pre-funded warrants, the holders will be entitled to exercise the rights of a Class A common stockholder only as to matters for which the record date occurs after the exercise.</w:t>
      </w:r>
    </w:p>
    <w:p>
      <w:pPr>
        <w:spacing w:after="0" w:line="284" w:lineRule="exact"/>
        <w:rPr>
          <w:sz w:val="20"/>
          <w:szCs w:val="20"/>
          <w:color w:val="auto"/>
        </w:rPr>
      </w:pPr>
    </w:p>
    <w:p>
      <w:pPr>
        <w:jc w:val="both"/>
        <w:ind w:left="12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or Nasdaq, and as a result our Class A common stock may be delisted. Delisting could adversely affect the liquidity of our Class A common stock and the market price of our Class A common stock could decrease, and our ability to obtain sufficient additional capital to fund our operations and to continue to operate as a going concern would be substantially impaired.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currently listed on the Nasdaq Global Market, which has minimum requirements that a company must meet in order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remain listed. These requirements include maintaining a minimum closing bid price of $1.00 per share, which closing bid price cannot fall below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per share for a period of more than 30 consecutive trading days, or the Bid Price Requirement. On June 20, 2025, we received a deficiency notice,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the Notice, from the Listing Qualifications Staff, or the Staff, of Nasdaq notifying us that, for the last 30 consecutive business days, the bid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Class A common stock had closed below $1.00 per share, thereby failing to satisfy the Bid Price Requirement set forth in the continued listing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Nasdaq Listing Rule 5450(a)(1). The Notice has no immediate effect on the listing of our Class A common stock on the Nasdaq Global Market. In accordance with Nasdaq Listing Rule 5810(c)(3)(A), we have 180 calendar days, or until December 17, 2025, to regain compliance with the Bid Price Requirement by having shares of our Class A common stock maintain a minimum closing bid price of at least $1.00 per share for a minimum of 10 consecutive trading days. In the event we do not regain compliance with the Bid Price Requirement prior to the expiration of the compliance period, unless Nasdaq exercises its discretion to extend this period, our Class A common stock may be subject to a delisting action by Nasdaq.</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reverse stock split may allow us to meet the Bid Price Requirement, but we cannot assure you that a reverse stock split will be approved by our stockholders or that any reverse stock split, if implemented, will be sufficient to enable us to maintain our Nasdaq listing. 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to continue to operate as a going concern would be substantially impaired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collaborators’, vendors’, suppliers’ and employees’ confidence in us and employee morale.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supplement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existing operations and continue as a going concern;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improve our liquidity and financial position in response to the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and the impact of any payments required to be made thereunder on our liquidity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Annual Report on Form 10-K for the year ended December 31, 2024 and our Quarterly Report on Form 10-Q for the three months ended March 31, 2025,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and accompanying prospectus, together with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securities in this offering of approximately $2.7 million, after deducting Placement Agent fees and estimated offering expenses payable by us, and excluding the proceeds, if any, from the exercise of the pre-funded warrants in this offering.</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purchase newly issued LLC Interests from Rani LLC. We intend to cause Rani LLC to use the net proceeds from this offering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83"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for these purposes.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in interest-bearing investment-grade securities or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the Continuing LLC Owners do not have any right to receive distributions from Rani Holdings in respect of their LLC Interests, we have presented dilution in pro forma net tangible book value per share assuming the Continuing LLC Owners had their LLC Interests redeemed or exchanged for newly issued shares of Class A common stock on a one-for-one basis (rather than for cash), and the cancellation for no consideration of all of their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investors. We have presented dilution in pro forma net tangible book value per share assuming the full exercise of the pre-funded warrants.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securities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Assumed Redemption.</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offering price per share of our Class A common stock (or pre-funded warrant in lieu thereof) and the pro forma as adjusted net tangible book value per share of our Class A common stock after this offering.</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(deficit) as of March 31, 2025, was $(5.3) million, or $(0.09) per share. Pro-forma net tangible book value (deficit) per share is total tangible assets, less our total liabilities, divided by the number of outstanding shares of Class A common stock outstanding as of March 31, 2025, after giving effect to the Assumed Redemption.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After giving effect to the sale of 4,354,000 shares of our Class A common stock and pre-funded warrants to purchase up to 3,146,000 shares of our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common stock in this offering at the offering price of $0.40 per share and $0.3999 per pre-funded warrant, after deducting Placement Agent fees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estimated offering expenses payable by us, and excluding the proceeds and shares issuable, if any, from the exercise of the pre-funded warrants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pursuant to this offering, our pro forma as adjusted net tangible book value (deficit) as of March 31, 2025 would have been $(2.7) million,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$(0.04) per share of Class A common stock. This represents an immediate increase in pro forma as adjusted net tangible book value of $0.05 per share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existing stockholders and immediate dilution of $0.44 per share to investors participating in this offering. The following table illustrates this dilution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to investors participating in this offering:</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Class A common stock in this offering</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$ 0.40</w:t>
            </w:r>
          </w:p>
        </w:tc>
        <w:tc>
          <w:tcPr>
            <w:tcW w:w="0" w:type="dxa"/>
            <w:vAlign w:val="bottom"/>
          </w:tcPr>
          <w:p>
            <w:pPr>
              <w:spacing w:after="0"/>
              <w:rPr>
                <w:sz w:val="1"/>
                <w:szCs w:val="1"/>
                <w:color w:val="auto"/>
              </w:rPr>
            </w:pPr>
          </w:p>
        </w:tc>
      </w:tr>
      <w:tr>
        <w:trPr>
          <w:trHeight w:val="216"/>
        </w:trPr>
        <w:tc>
          <w:tcPr>
            <w:tcW w:w="9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(deficit) per share as of March 31, 2025</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$(0.09)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of Class A common stock attributable to new Investors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(deficit) per share of Class A common stock after giving effect to this offering</w:t>
            </w: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$ 0.44</w:t>
            </w:r>
          </w:p>
        </w:tc>
        <w:tc>
          <w:tcPr>
            <w:tcW w:w="0" w:type="dxa"/>
            <w:vAlign w:val="bottom"/>
          </w:tcPr>
          <w:p>
            <w:pPr>
              <w:spacing w:after="0"/>
              <w:rPr>
                <w:sz w:val="1"/>
                <w:szCs w:val="1"/>
                <w:color w:val="auto"/>
              </w:rPr>
            </w:pPr>
          </w:p>
        </w:tc>
      </w:tr>
      <w:tr>
        <w:trPr>
          <w:trHeight w:val="20"/>
        </w:trPr>
        <w:tc>
          <w:tcPr>
            <w:tcW w:w="96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S-17</w:t>
            </w: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(i) 33,570,253 shares of Class A common stock outstanding as of March 31, 2025, (ii) 23,971,852 shares of our Class A common stock issuable to Continuing LLC Owners who hold our Class B common stock and (iii) 1,229,630 shares of our Class A common stock issuable to Continuing LLC Owners who do not hold corresponding shares of our Class B common stock in each case after giving effect to the Assumed Redemption, and excludes:</w:t>
      </w:r>
    </w:p>
    <w:p>
      <w:pPr>
        <w:spacing w:after="0" w:line="85" w:lineRule="exact"/>
        <w:rPr>
          <w:sz w:val="20"/>
          <w:szCs w:val="20"/>
          <w:color w:val="auto"/>
        </w:rPr>
      </w:pPr>
    </w:p>
    <w:p>
      <w:pPr>
        <w:ind w:left="1080" w:right="6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11,381,681 shares of Class A common stock issuable upon the exercise of outstanding stock options as of March 31, 2025, with a weighted-average exercise price of $5.08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653,094 shares of Class A common stock issuable upon the vesting of restricted stock units as of March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6,656,422 shares of Class A common stock issuable upon the exercise of outstanding warrants as of March 31, 2025;</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3,685,170 shares reserved for future issuance under our 2021 Equity Incentive Plan as of March 31, 2025,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556,482 shares of Class A common stock reserved for future issuance under our 2021 Employee Stock Purchase Plan as of March 31, 2025, as well as any automatic increases in the number of shares of Class A common stock reserved for future issuance under this plan.</w:t>
      </w:r>
    </w:p>
    <w:p>
      <w:pPr>
        <w:spacing w:after="0" w:line="14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warrants or options are exercised, restricted stock units vest and settle, new options or restricted stock units are issued under our equity incentive plans, outstanding LLC Interests are redeemed or exchanged or we issue additional shares of Class A common stock in the future, there will be further dilution to investors participating in this offering.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offering shares of our Class A common stock in this offering. See “Description of Capital Stock” in the accompanying prospectus for more information regarding our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 which has been provided to the investors in this offering and which will be filed with the SEC as an exhibit to a Current Report on Form 8-K in connection with this offering and incorporated by reference into the registration statement of which this prospectus supplement and the accompanying prospectus form a part. Prospective investors should carefully review the terms and provisions of the form of pre-funded warrant for a complete description of the terms and conditions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pre-funded warrants offered hereby will have an exercise price of $0.0001 per share. The pre-funded warrants will be exercisable immediately upon the closing of this offering. The exercise price of the pre-funded warrants and the number of shares of Class A common stock issuable upon exercise of the pre-funded warrants are subject to appropriate adjustment in the event of stock dividends, stock splits, reorganizations or similar events affecting our Class A common stock. The pre-funded warrants will not expire until they are fully exercised.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9.99% of the number of shares of Class A common stock outstanding immediately after giving effect to the exercise.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may be exercised by delivery of the aggregate exercise price or by means of a cashless exercise, provided however, that 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must elect instead to receive upon such exercise (either in whole or in part) the net number of shares of Class A common stock determined according to a formula set forth in the pre-funded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pre-funded warrant may be transferred at the option of the holder upon surrender of the pre-funded warrant to us together with the appropriate instruments of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the exercise of the pre-funded warrants. Rather, the number of shares of Class A common stock to be issued will, at our election, either be rounded up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nearest whole number or we will pay a cash adjustment in respect of such final fraction in an amount equal to such fraction multiplied by the exercise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shares of Class A common stock, the sale, transfer or other disposition of all or substantially all of our properties or assets, our consolidation or merger with or into another person, the acquisition of greater than 50% of our outstanding shares of Class A common stock, or any person or group becoming the beneficial owner of greater than 50% of the voting power of our common equity),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term of the pre-funded warrant may be amended or waived without the written consent of the holder of such pre-funded warrant.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20"/>
          </w:cols>
          <w:pgMar w:left="320" w:top="455"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engaged Maxim Group LLC to act as our exclusive Placement Agent to solicit offers to purchase the securities offered by this prospectus supplement and the accompanying prospectus. The Placement Agent is not purchasing or selling any such securities, nor is it required to arrange for the purchase and sale of any specific number or dollar amount of such securities. Therefore, we may not sell all of the securities being offered. The terms of this offering were subject to market conditions and negotiations between us and the prospective investor. We have entered into a securities purchase agreement directly with the investor who has agreed to purchase our securities in this offering. We will only sell securities in this offering to such investor.</w:t>
      </w:r>
    </w:p>
    <w:p>
      <w:pPr>
        <w:spacing w:after="0" w:line="18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July 16, 2025, subject to satisfaction of customary closing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a cash fee equal to 5.25% of the aggregate gross proceeds from the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Per</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gridSpan w:val="3"/>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0.3999</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2,999,685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Placement Agent fees</w:t>
            </w:r>
            <w:r>
              <w:rPr>
                <w:rFonts w:ascii="Times New Roman" w:cs="Times New Roman" w:eastAsia="Times New Roman" w:hAnsi="Times New Roman"/>
                <w:sz w:val="25"/>
                <w:szCs w:val="25"/>
                <w:color w:val="auto"/>
                <w:vertAlign w:val="superscript"/>
              </w:rPr>
              <w:t>(1)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0.021</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to us, before expenses</w:t>
            </w:r>
            <w:r>
              <w:rPr>
                <w:rFonts w:ascii="Times New Roman" w:cs="Times New Roman" w:eastAsia="Times New Roman" w:hAnsi="Times New Roman"/>
                <w:sz w:val="25"/>
                <w:szCs w:val="25"/>
                <w:color w:val="auto"/>
                <w:vertAlign w:val="superscript"/>
              </w:rPr>
              <w:t>(2)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0.379</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2,842,202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600" w:hanging="424"/>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cash fee of 5.25% of the aggregate gross proceeds of this offering. We have also agreed to reimburse the Placement Agent up to $25,000 of certain of their expenses.</w:t>
      </w:r>
    </w:p>
    <w:p>
      <w:pPr>
        <w:ind w:left="540" w:right="300" w:hanging="424"/>
        <w:spacing w:after="0" w:line="26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summary of offering proceeds does not give effect to any proceeds from the exercise of the pre-funded warrants being issued in this offering.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 of Similar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From the date hereof until 10 days after the closing of this offering, or the restricted period, neither we nor our subsidiary shall (i) issue, enter into any agreement to issue, or announce the issuance or proposed issuance of any shares of Class A common stock or common stock equivalents, or (ii) file or amend any registration statement or prospectus, other than as necessary to maintain the registration of the securities offered hereby.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restrictions shall not apply to the issuance of (i) securities to employees, officers, consultants or directors of the Company pursuant to any equity incentive, stock or option plan duly adopted for such purpose, (ii) securities upon the exercise, exchange or conversion of any securities issued pursuant to the securities purchase agreement or other securities exercisable or exchangeable for or convertible into shares of our Class A Common Stock outstanding on the date hereof, provided that such securities have not been amended since the date hereof to increase the number of such securities or to decrease the exercise price, exchange price or conversion price of such securities (other than in connection with stock splits or combinations) or to extend the term of such securities, (iii) securities issued pursuant to any joint venture, commercial or collaborative relationship or the acquisition or license by us of the securities, businesses, property or other assets of another person approved by a majority of the disinterested directors of our board of directors and provided that either (a) such securities are issued as “restricted securities” (as defined in Rule 144 under the Securities Act) and carry no registration rights that require or permit the filing of any registration statement in connection therewith during the restricted period or (b) such purchaser is prohibited from selling, transferring or otherwise disposing of such securities during the restricted period, and provided that any such issuance shall only be to a person which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itself or through its subsidiaries, an operating company or an owner of an asset in a business synergistic with our business and shall provide us with additional benefits in addition to the investment of funds, but shall not include a transaction in which we are issuing securities primarily for the purpose of raising capital or to an entity whose primary business is investing in securities, and (iv) issuances to one or more lenders in connection with our entry into a debt financing transaction, provided that such issuances shall only be in the form of warrants to purchase shares of our Class A common stock and carry no registration rights that require or permit the filing of any registration statement in connection therewith during the restricted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to contribute to payments that the Placement Agent may be required to make for these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officers and directors have agreed, subject to certain exceptions, not to offer, issue, sell, contract to sell, encumber, grant any option for the sale of or otherwise dispose of any shares of our common stock or other securities convertible into or exercisable or exchangeable for our common stock for a period of 45 days after this offering is closed.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PDF will be used in connection with this offering.</w:t>
      </w:r>
    </w:p>
    <w:p>
      <w:pPr>
        <w:spacing w:after="0" w:line="4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the Placement Agent’s website and any information contained in any other website maintained by the Placement Agent is not part of the prospectus or the registration statement of which this prospectus forms a part, has not been approved and/or endorsed by us or the placement agent in its capacity as placement agent and should not be relied upon by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perform, various commercial and investment banking and financial advisory services for us and our affiliates, for which they received or will receive customary fees and expenses. However, except as disclosed in this prospectus, we have no present arrangements with the placement agent for any further services.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Class A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and its telephone number is 1-800-937-5449. The transfer agent’s address is 55 Challenger Rd, Ridgefield Park, NJ 07660.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issuance of the securities being sold in this offering. Ellenoff, Grossman &amp; Schole LLP, New York, New York, is representing the Placement Agent in connection with this offering.</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included in our Annual Report on Form 10-K for the year ended December 31, 2024,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supplement and elsewhere in the registration statement. Our financial statements are incorporated by reference in reliance on Marcum LLP’s report, given on their authority as experts in accounting and auditing.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9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49">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2025, filed with the SEC on </w:t>
      </w:r>
      <w:hyperlink r:id="rId50">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51">
        <w:r>
          <w:rPr>
            <w:rFonts w:ascii="Times New Roman" w:cs="Times New Roman" w:eastAsia="Times New Roman" w:hAnsi="Times New Roman"/>
            <w:sz w:val="18"/>
            <w:szCs w:val="18"/>
            <w:u w:val="single" w:color="auto"/>
            <w:color w:val="0000EE"/>
          </w:rPr>
          <w:t>April 16,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May 6, 2025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May 20, 2025</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May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Exhibit 4.2 to our Annual Report on Form 10-K for the year ended December 31, 2024 filed with the SEC on </w:t>
      </w:r>
      <w:hyperlink r:id="rId5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(408) 457-3700</w:t>
      </w:r>
    </w:p>
    <w:p>
      <w:pPr>
        <w:spacing w:after="0" w:line="12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1336040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101600</wp:posOffset>
            </wp:positionV>
            <wp:extent cx="2177415" cy="1088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17741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7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10, 2022.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87"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10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58"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8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offerings of our securities under this prospectus;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10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7">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March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110">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5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652780</wp:posOffset>
            </wp:positionV>
            <wp:extent cx="2177415" cy="1089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177415" cy="108902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4,354,000 Shares of Class A Common Stock</w:t>
      </w:r>
    </w:p>
    <w:p>
      <w:pPr>
        <w:spacing w:after="0" w:line="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Pre-Funded Warrants to Purchase 3,146,000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1999615</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jpe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49" Type="http://schemas.openxmlformats.org/officeDocument/2006/relationships/hyperlink" Target="http://www.sec.gov/ix?doc=/Archives/edgar/data/0001856725/000095017025047740/rani-20241231.htm" TargetMode="External"/><Relationship Id="rId50" Type="http://schemas.openxmlformats.org/officeDocument/2006/relationships/hyperlink" Target="http://www.sec.gov/ix?doc=/Archives/edgar/data/0001856725/000095017025070382/rani-20250331.htm" TargetMode="External"/><Relationship Id="rId51" Type="http://schemas.openxmlformats.org/officeDocument/2006/relationships/hyperlink" Target="http://www.sec.gov/ix?doc=/Archives/edgar/data/0001856725/000114036125014078/ny20044394x1_def14a.htm" TargetMode="External"/><Relationship Id="rId52" Type="http://schemas.openxmlformats.org/officeDocument/2006/relationships/hyperlink" Target="http://www.sec.gov/ix?doc=/Archives/edgar/data/0001856725/000095017025052527/rani-20250407.htm" TargetMode="External"/><Relationship Id="rId53" Type="http://schemas.openxmlformats.org/officeDocument/2006/relationships/hyperlink" Target="http://www.sec.gov/ix?doc=/Archives/edgar/data/0001856725/000095017025060586/rani-20250424.htm" TargetMode="External"/><Relationship Id="rId54" Type="http://schemas.openxmlformats.org/officeDocument/2006/relationships/hyperlink" Target="http://www.sec.gov/ix?doc=/Archives/edgar/data/0001856725/000095017025064624/rani-20250501.htm" TargetMode="External"/><Relationship Id="rId55" Type="http://schemas.openxmlformats.org/officeDocument/2006/relationships/hyperlink" Target="http://www.sec.gov/ix?doc=/Archives/edgar/data/0001856725/000119312525122872/d945177d8k.htm" TargetMode="External"/><Relationship Id="rId56" Type="http://schemas.openxmlformats.org/officeDocument/2006/relationships/hyperlink" Target="http://www.sec.gov/ix?doc=/Archives/edgar/data/0001856725/000095017025078949/rani-20250528.htm" TargetMode="External"/><Relationship Id="rId57" Type="http://schemas.openxmlformats.org/officeDocument/2006/relationships/hyperlink" Target="http://www.sec.gov/ix?doc=/Archives/edgar/data/1856725/000095017025090384/rani-20250620.htm" TargetMode="External"/><Relationship Id="rId58" Type="http://schemas.openxmlformats.org/officeDocument/2006/relationships/hyperlink" Target="http://www.sec.gov/Archives/edgar/data/1856725/000095017022005088/rani-ex4_2.htm" TargetMode="External"/><Relationship Id="rId104" Type="http://schemas.openxmlformats.org/officeDocument/2006/relationships/hyperlink" Target="http://www.sec.gov/ix?doc=/Archives/edgar/data/1856725/000095017022005088/rani-20211231.htm" TargetMode="External"/><Relationship Id="rId105" Type="http://schemas.openxmlformats.org/officeDocument/2006/relationships/hyperlink" Target="http://www.sec.gov/ix?doc=/Archives/edgar/data/1856725/000095017022009334/rani-20220331.htm" TargetMode="External"/><Relationship Id="rId106" Type="http://schemas.openxmlformats.org/officeDocument/2006/relationships/hyperlink" Target="http://www.sec.gov/Archives/edgar/data/1856725/000114036122014257/ny20001961x1_def14a.htm" TargetMode="External"/><Relationship Id="rId107" Type="http://schemas.openxmlformats.org/officeDocument/2006/relationships/hyperlink" Target="http://www.sec.gov/ix?doc=/Archives/edgar/data/1856725/000119312522002651/d281285d8k.htm" TargetMode="External"/><Relationship Id="rId108" Type="http://schemas.openxmlformats.org/officeDocument/2006/relationships/hyperlink" Target="http://www.sec.gov/ix?doc=/Archives/edgar/data/1856725/000119312522082742/d284920d8k.htm" TargetMode="External"/><Relationship Id="rId109" Type="http://schemas.openxmlformats.org/officeDocument/2006/relationships/hyperlink" Target="http://www.sec.gov/ix?doc=/Archives/edgar/data/1856725/000119312522160981/d295318d8k.htm" TargetMode="External"/><Relationship Id="rId110" Type="http://schemas.openxmlformats.org/officeDocument/2006/relationships/hyperlink" Target="http://www.sec.gov/Archives/edgar/data/1856725/000119312521224394/d19367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2025-07-16T13:11:03Z</dcterms:created>
  <dcterms:modified xsi:type="dcterms:W3CDTF">2025-07-16T13:11:03Z</dcterms:modified>
</cp:coreProperties>
</file>