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8,617,378.00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111" w:right="39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8,617,378.00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2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bookmarkStart w:id="2" w:name="page3"/>
    <w:bookmarkEnd w:id="2"/>
    <w:p>
      <w:pPr>
        <w:ind w:left="1160" w:right="572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8.8 %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111" w:right="3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8,617,378.00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111" w:right="39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ectPr>
          <w:pgSz w:w="11900" w:h="16838" w:orient="portrait"/>
          <w:cols w:equalWidth="0" w:num="1">
            <w:col w:w="11180"/>
          </w:cols>
          <w:pgMar w:left="320" w:top="111" w:right="39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180"/>
          </w:cols>
          <w:pgMar w:left="320" w:top="111" w:right="39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Siren, L.L.C.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180"/>
          </w:cols>
          <w:pgMar w:left="320" w:top="355" w:right="39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8,617,378.00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8,617,378.00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355" w:right="39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1,208,533.00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355" w:right="399"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1,208,533.00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1,208,533.00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102" w:right="3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1,208,533.00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1,208,533.00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10020"/>
          </w:cols>
          <w:pgMar w:left="320" w:top="102" w:right="39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355" w:right="3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1,208,533.00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1,208,533.00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355" w:right="39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355" w:right="399" w:bottom="0" w:gutter="0" w:footer="0" w:header="0"/>
          <w:type w:val="continuous"/>
        </w:sectPr>
      </w:pPr>
    </w:p>
    <w:bookmarkStart w:id="6" w:name="page7"/>
    <w:bookmarkEnd w:id="6"/>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PANAMA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9,825,911.00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9,825,911.00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9,825,911.00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20"/>
          </w:cols>
          <w:pgMar w:left="320" w:top="126" w:right="3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 for a description of the information reported in rows (5), (7), (9) and (11).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right="1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w:t>
      </w:r>
    </w:p>
    <w:p>
      <w:pPr>
        <w:sectPr>
          <w:pgSz w:w="11900" w:h="16838" w:orient="portrait"/>
          <w:cols w:equalWidth="0" w:num="1">
            <w:col w:w="11180"/>
          </w:cols>
          <w:pgMar w:left="320" w:top="126" w:right="399" w:bottom="0" w:gutter="0" w:footer="0" w:header="0"/>
          <w:type w:val="continuous"/>
        </w:sectPr>
      </w:pPr>
    </w:p>
    <w:bookmarkStart w:id="7" w:name="page8"/>
    <w:bookmarkEnd w:id="7"/>
    <w:p>
      <w:pPr>
        <w:ind w:left="920"/>
        <w:spacing w:after="0"/>
        <w:rPr>
          <w:sz w:val="20"/>
          <w:szCs w:val="20"/>
          <w:color w:val="auto"/>
        </w:rPr>
      </w:pPr>
      <w:r>
        <w:rPr>
          <w:rFonts w:ascii="Times New Roman" w:cs="Times New Roman" w:eastAsia="Times New Roman" w:hAnsi="Times New Roman"/>
          <w:sz w:val="22"/>
          <w:szCs w:val="22"/>
          <w:color w:val="auto"/>
        </w:rPr>
        <w:t>Lexington Avenue, 30th Floor, New York, NY 10022 Citizenship: Delaware limited liability company (viii) Mr.</w:t>
      </w:r>
    </w:p>
    <w:p>
      <w:pPr>
        <w:spacing w:after="0" w:line="15" w:lineRule="exact"/>
        <w:rPr>
          <w:sz w:val="20"/>
          <w:szCs w:val="20"/>
          <w:color w:val="auto"/>
        </w:rPr>
      </w:pPr>
    </w:p>
    <w:p>
      <w:pPr>
        <w:ind w:left="920" w:right="400"/>
        <w:spacing w:after="0" w:line="237" w:lineRule="auto"/>
        <w:rPr>
          <w:sz w:val="20"/>
          <w:szCs w:val="20"/>
          <w:color w:val="auto"/>
        </w:rPr>
      </w:pPr>
      <w:r>
        <w:rPr>
          <w:rFonts w:ascii="Times New Roman" w:cs="Times New Roman" w:eastAsia="Times New Roman" w:hAnsi="Times New Roman"/>
          <w:sz w:val="22"/>
          <w:szCs w:val="22"/>
          <w:color w:val="auto"/>
        </w:rPr>
        <w:t>Raymond Debbane 750 Lexington Avenue, 30th Floor, New York, NY 10022 Citizenship: Panama The foregoing persons are hereinafter sometimes collectively referred to as the "Reporting Persons."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753018100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Each of the Reporting Persons may be deemed to be the beneficial owner of the shares of Class A Common Stock (the "Shares") listed on such Reporting Person's cover page. As of October 16, 2025, (i) Invus Public Equities directly held (x) 1,754,011 Shares, (y) 7,381,462 Issuer Pre-Funded Warrants exercisable for Shares on a one-for-one basis ("Pre-Funded Warrants") and (z) 9,135,473 Issuer warrants to purchase one Share or a Pre-Funded Warrant in lieu of Shares ("Common Warrants", and together with the Pre-Funded Warrants, the "Warrants"), and (ii) Avicenna Fund directly held (x) 245,989 Shares, (y) 1,035,205 Pre-Funded Warrants and (z) 1,281,194 Common Warrants, subject to the Beneficial Ownership Limitation (described below). As of October 16, 2025, due to the Beneficial Ownership Limitation, the Reporting Persons collectively beneficially owned 9,825,911 Shares, consisting of an aggregate of 2,000,000 Shares and 7,825,911 Warrants, representing 9.99% of the issued and outstanding Shares. Invus PE Advisors, as the general partner of Invus Public Equities, controls Invus Public Equities and, accordingly, may be deemed to beneficially own the Shares beneficially owned by Invus Public Equities. Global Management, as the</w:t>
      </w:r>
    </w:p>
    <w:p>
      <w:pPr>
        <w:spacing w:after="0" w:line="8" w:lineRule="exact"/>
        <w:rPr>
          <w:sz w:val="20"/>
          <w:szCs w:val="20"/>
          <w:color w:val="auto"/>
        </w:rPr>
      </w:pPr>
    </w:p>
    <w:p>
      <w:pPr>
        <w:ind w:left="920" w:right="20" w:hanging="912"/>
        <w:spacing w:after="0" w:line="217"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beneficially owned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 Each of Invus Public Equities and Avicenna Fund is prohibited from exercising the Warrants if, as a result of such exercise, it, together with its affiliates and certain other persons for whom beneficial ownership would be aggregated, would beneficially own more than 9.99% of the total number of Shares then issued and outstanding immediately after giving effect to the exercise (the "Beneficial Ownership Limitation"), which percentage may be changed at a holder's election upon 61 days' notice to the Issuer. Reporting Persons disclaim beneficial ownership of any Shares the issuance of which would violate such Beneficial Ownership Limitation.</w:t>
      </w:r>
    </w:p>
    <w:p>
      <w:pPr>
        <w:spacing w:after="0" w:line="25"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October 16, 2025, each of the Reporting Persons may be deemed to be the beneficial owner of the percentage of Shares listed on such Reporting Person's cover page. Calculations of the percentage of Shares beneficially owned are based on (i) 47,898,228 Shares outstanding as of August 4, 2025, as reported in the Issuer's Quarterly Report on Form 10-Q filed with the Securities and Exchange Commission on August 7, 2025, (ii) an aggregate of 42,633,337 Shares issued by the Issuer in a private placement that closed on October 21, 2025, as disclosed in the Issuer's Current Report on Form 8-K filed with the Securities and Exchange Commission on October 17, 2025, plus (iii) 7,825,911</w:t>
      </w:r>
    </w:p>
    <w:p>
      <w:pPr>
        <w:sectPr>
          <w:pgSz w:w="11900" w:h="16838" w:orient="portrait"/>
          <w:cols w:equalWidth="0" w:num="1">
            <w:col w:w="11140"/>
          </w:cols>
          <w:pgMar w:left="360" w:top="111" w:right="399" w:bottom="0" w:gutter="0" w:footer="0" w:header="0"/>
        </w:sectPr>
      </w:pPr>
    </w:p>
    <w:bookmarkStart w:id="8" w:name="page9"/>
    <w:bookmarkEnd w:id="8"/>
    <w:p>
      <w:pPr>
        <w:ind w:left="920" w:right="420"/>
        <w:spacing w:after="0" w:line="256" w:lineRule="auto"/>
        <w:rPr>
          <w:sz w:val="20"/>
          <w:szCs w:val="20"/>
          <w:color w:val="auto"/>
        </w:rPr>
      </w:pPr>
      <w:r>
        <w:rPr>
          <w:rFonts w:ascii="Times New Roman" w:cs="Times New Roman" w:eastAsia="Times New Roman" w:hAnsi="Times New Roman"/>
          <w:sz w:val="22"/>
          <w:szCs w:val="22"/>
          <w:color w:val="auto"/>
        </w:rPr>
        <w:t>Shares issuable upon exercise of certain of the Warrants, which due to the Beneficial Ownership Limitation is the maximum number of Shares that could be issued upon exercise of the Warrants as of the date hereof. %</w:t>
      </w:r>
    </w:p>
    <w:p>
      <w:pPr>
        <w:spacing w:after="0" w:line="1"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5"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4580" w:firstLine="1094"/>
        <w:spacing w:after="0" w:line="253" w:lineRule="auto"/>
        <w:rPr>
          <w:sz w:val="20"/>
          <w:szCs w:val="20"/>
          <w:color w:val="auto"/>
        </w:rPr>
      </w:pPr>
      <w:r>
        <w:rPr>
          <w:rFonts w:ascii="Times New Roman" w:cs="Times New Roman" w:eastAsia="Times New Roman" w:hAnsi="Times New Roman"/>
          <w:sz w:val="21"/>
          <w:szCs w:val="21"/>
          <w:color w:val="auto"/>
        </w:rPr>
        <w:t>Raymond Debbane, Chief Executive Officer of Name/Title: Avicenna Life Sci Master GP LLC, its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ectPr>
          <w:pgSz w:w="11900" w:h="16838" w:orient="portrait"/>
          <w:cols w:equalWidth="0" w:num="1">
            <w:col w:w="9740"/>
          </w:cols>
          <w:pgMar w:left="1440" w:top="111" w:right="7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securities of Rani Therapeutics Holdings, Inc. is, and any amendments thereto signed by each or any of the undersigned shall be, filed on behalf of each of such person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10/23/2025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INVUS PUBLIC EQUITIES ADVISORS,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PUBLIC EQUITIES ADVISORS,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GLOBAL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SIREN,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AVICENNA LIFE SCI MASTER FUND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AVICENNA LIFE SCI MASTER GP LLC, its general partner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AVICENNA LIFE SCI MASTER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ULYS,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RAYMOND DEBBANE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decimal"/>
      <w:start w:val="1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2025-10-23T16:12:35Z</dcterms:created>
  <dcterms:modified xsi:type="dcterms:W3CDTF">2025-10-23T16:12:35Z</dcterms:modified>
</cp:coreProperties>
</file>