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left"/>
        <w:rPr/>
      </w:pPr>
      <w:bookmarkStart w:id="0" w:name="rani-20230510.htm"/>
      <w:bookmarkStart w:id="1" w:name="ksrani20230510"/>
      <w:bookmarkEnd w:id="0"/>
      <w:bookmarkEnd w:id="1"/>
      <w:r>
        <w:rPr/>
        <w:t> </w:t>
      </w:r>
    </w:p>
    <w:p>
      <w:pPr>
        <w:pStyle w:val="TextBody"/>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spacing w:before="0" w:after="0"/>
        <w:jc w:val="left"/>
        <w:rPr/>
      </w:pPr>
      <w:r>
        <w:rPr/>
        <w:t> </w:t>
      </w:r>
    </w:p>
    <w:p>
      <w:pPr>
        <w:pStyle w:val="TextBody"/>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spacing w:before="0" w:after="0"/>
        <w:jc w:val="left"/>
        <w:rPr/>
      </w:pPr>
      <w:r>
        <w:rPr/>
        <w:t> </w:t>
      </w:r>
    </w:p>
    <w:p>
      <w:pPr>
        <w:pStyle w:val="TextBody"/>
        <w:spacing w:before="180" w:after="0"/>
        <w:jc w:val="center"/>
        <w:rPr>
          <w:rFonts w:ascii="Times New Roman;serif" w:hAnsi="Times New Roman;serif"/>
          <w:b/>
          <w:sz w:val="24"/>
        </w:rPr>
      </w:pPr>
      <w:r>
        <w:rPr>
          <w:rFonts w:ascii="Times New Roman;serif" w:hAnsi="Times New Roman;serif"/>
          <w:b/>
          <w:sz w:val="24"/>
        </w:rPr>
        <w:t>CURRENT REPORT</w:t>
      </w:r>
    </w:p>
    <w:p>
      <w:pPr>
        <w:pStyle w:val="TextBody"/>
        <w:spacing w:before="0" w:after="0"/>
        <w:jc w:val="center"/>
        <w:rPr>
          <w:rFonts w:ascii="Times New Roman" w:hAnsi="Times New Roman"/>
          <w:sz w:val="20"/>
        </w:rPr>
      </w:pPr>
      <w:r>
        <w:rPr>
          <w:rFonts w:ascii="Times New Roman;serif" w:hAnsi="Times New Roman;serif"/>
          <w:b/>
          <w:sz w:val="24"/>
        </w:rPr>
        <w:t>Pursuant to Section 13 or 15(d) of</w:t>
      </w:r>
      <w:r>
        <w:rPr>
          <w:rFonts w:ascii="Times New Roman" w:hAnsi="Times New Roman"/>
          <w:sz w:val="20"/>
        </w:rPr>
        <w:t xml:space="preserve"> </w:t>
      </w:r>
    </w:p>
    <w:p>
      <w:pPr>
        <w:pStyle w:val="TextBody"/>
        <w:spacing w:before="0" w:after="120"/>
        <w:jc w:val="center"/>
        <w:rPr>
          <w:rFonts w:ascii="Times New Roman;serif" w:hAnsi="Times New Roman;serif"/>
          <w:b/>
          <w:sz w:val="24"/>
        </w:rPr>
      </w:pPr>
      <w:r>
        <w:rPr>
          <w:rFonts w:ascii="Times New Roman;serif" w:hAnsi="Times New Roman;serif"/>
          <w:b/>
          <w:sz w:val="24"/>
        </w:rPr>
        <w:t>the Securities Exchange Act of 1934</w:t>
      </w:r>
    </w:p>
    <w:tbl>
      <w:tblPr>
        <w:tblW w:w="5414" w:type="dxa"/>
        <w:jc w:val="left"/>
        <w:tblInd w:w="0" w:type="dxa"/>
        <w:tblCellMar>
          <w:top w:w="28" w:type="dxa"/>
          <w:left w:w="28" w:type="dxa"/>
          <w:bottom w:w="28" w:type="dxa"/>
          <w:right w:w="28" w:type="dxa"/>
        </w:tblCellMar>
      </w:tblPr>
      <w:tblGrid>
        <w:gridCol w:w="5414"/>
      </w:tblGrid>
      <w:tr>
        <w:trPr/>
        <w:tc>
          <w:tcPr>
            <w:tcW w:w="5414" w:type="dxa"/>
            <w:tcBorders/>
            <w:shd w:fill="auto" w:val="clear"/>
            <w:vAlign w:val="center"/>
          </w:tcPr>
          <w:p>
            <w:pPr>
              <w:pStyle w:val="TableContents"/>
              <w:spacing w:before="0" w:after="283"/>
              <w:rPr>
                <w:sz w:val="4"/>
                <w:szCs w:val="4"/>
              </w:rPr>
            </w:pPr>
            <w:r>
              <w:rPr>
                <w:sz w:val="4"/>
                <w:szCs w:val="4"/>
              </w:rPr>
            </w:r>
          </w:p>
        </w:tc>
      </w:tr>
      <w:tr>
        <w:trPr/>
        <w:tc>
          <w:tcPr>
            <w:tcW w:w="5414"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May 10, 2023</w:t>
            </w:r>
          </w:p>
        </w:tc>
      </w:tr>
    </w:tbl>
    <w:p>
      <w:pPr>
        <w:pStyle w:val="TextBody"/>
        <w:pBdr>
          <w:bottom w:val="single" w:sz="6" w:space="1" w:color="000000"/>
        </w:pBdr>
        <w:spacing w:before="100" w:after="0"/>
        <w:jc w:val="left"/>
        <w:rPr/>
      </w:pPr>
      <w:r>
        <w:rPr/>
        <w:t> </w:t>
      </w:r>
    </w:p>
    <w:p>
      <w:pPr>
        <w:pStyle w:val="TextBody"/>
        <w:spacing w:before="0" w:after="0"/>
        <w:jc w:val="left"/>
        <w:rPr/>
      </w:pPr>
      <w:r>
        <w:rPr/>
        <w:t> </w:t>
      </w:r>
    </w:p>
    <w:p>
      <w:pPr>
        <w:pStyle w:val="TextBody"/>
        <w:spacing w:before="100" w:after="0"/>
        <w:jc w:val="center"/>
        <w:rPr>
          <w:rFonts w:ascii="Times New Roman;serif" w:hAnsi="Times New Roman;serif"/>
          <w:b/>
          <w:sz w:val="48"/>
        </w:rPr>
      </w:pPr>
      <w:r>
        <w:rPr>
          <w:rFonts w:ascii="Times New Roman;serif" w:hAnsi="Times New Roman;serif"/>
          <w:b/>
          <w:sz w:val="48"/>
        </w:rPr>
        <w:t>Rani Therapeutics Holdings, Inc.</w:t>
      </w:r>
    </w:p>
    <w:p>
      <w:pPr>
        <w:pStyle w:val="TextBody"/>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spacing w:before="180" w:after="0"/>
        <w:jc w:val="left"/>
        <w:rPr/>
      </w:pPr>
      <w:r>
        <w:rPr/>
        <w:t> </w:t>
      </w:r>
    </w:p>
    <w:p>
      <w:pPr>
        <w:pStyle w:val="TextBody"/>
        <w:spacing w:before="0" w:after="0"/>
        <w:jc w:val="left"/>
        <w:rPr/>
      </w:pPr>
      <w:r>
        <w:rPr/>
        <w:t> </w:t>
      </w:r>
    </w:p>
    <w:tbl>
      <w:tblPr>
        <w:tblW w:w="5777" w:type="dxa"/>
        <w:jc w:val="left"/>
        <w:tblInd w:w="0" w:type="dxa"/>
        <w:tblCellMar>
          <w:top w:w="28" w:type="dxa"/>
          <w:left w:w="28" w:type="dxa"/>
          <w:bottom w:w="28" w:type="dxa"/>
          <w:right w:w="28" w:type="dxa"/>
        </w:tblCellMar>
      </w:tblPr>
      <w:tblGrid>
        <w:gridCol w:w="918"/>
        <w:gridCol w:w="835"/>
        <w:gridCol w:w="842"/>
        <w:gridCol w:w="1846"/>
        <w:gridCol w:w="1336"/>
      </w:tblGrid>
      <w:tr>
        <w:trPr/>
        <w:tc>
          <w:tcPr>
            <w:tcW w:w="91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001-40672</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86-3114789</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1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35"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4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2051 Ringwood Avenue</w:t>
            </w:r>
          </w:p>
        </w:tc>
        <w:tc>
          <w:tcPr>
            <w:tcW w:w="3182"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San Jose, California</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95131</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spacing w:before="0" w:after="0"/>
        <w:jc w:val="left"/>
        <w:rPr/>
      </w:pPr>
      <w:r>
        <w:rPr/>
        <w:t> </w:t>
      </w:r>
    </w:p>
    <w:tbl>
      <w:tblPr>
        <w:tblW w:w="6119" w:type="dxa"/>
        <w:jc w:val="left"/>
        <w:tblInd w:w="0" w:type="dxa"/>
        <w:tblCellMar>
          <w:top w:w="28" w:type="dxa"/>
          <w:left w:w="28" w:type="dxa"/>
          <w:bottom w:w="28" w:type="dxa"/>
          <w:right w:w="28" w:type="dxa"/>
        </w:tblCellMar>
      </w:tblPr>
      <w:tblGrid>
        <w:gridCol w:w="6119"/>
      </w:tblGrid>
      <w:tr>
        <w:trPr/>
        <w:tc>
          <w:tcPr>
            <w:tcW w:w="6119" w:type="dxa"/>
            <w:tcBorders/>
            <w:shd w:fill="auto" w:val="clear"/>
            <w:vAlign w:val="center"/>
          </w:tcPr>
          <w:p>
            <w:pPr>
              <w:pStyle w:val="TableContents"/>
              <w:spacing w:before="0" w:after="283"/>
              <w:rPr>
                <w:sz w:val="4"/>
                <w:szCs w:val="4"/>
              </w:rPr>
            </w:pPr>
            <w:r>
              <w:rPr>
                <w:sz w:val="4"/>
                <w:szCs w:val="4"/>
              </w:rPr>
            </w:r>
          </w:p>
        </w:tc>
      </w:tr>
      <w:tr>
        <w:trPr/>
        <w:tc>
          <w:tcPr>
            <w:tcW w:w="6119"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(408)</w:t>
            </w:r>
            <w:r>
              <w:rPr>
                <w:rFonts w:ascii="Times New Roman" w:hAnsi="Times New Roman"/>
                <w:sz w:val="20"/>
              </w:rPr>
              <w:t xml:space="preserve"> </w:t>
            </w:r>
            <w:r>
              <w:rPr>
                <w:rFonts w:ascii="Times New Roman;serif" w:hAnsi="Times New Roman;serif"/>
                <w:b/>
                <w:sz w:val="20"/>
              </w:rPr>
              <w:t>457-3700</w:t>
            </w:r>
          </w:p>
        </w:tc>
      </w:tr>
    </w:tbl>
    <w:p>
      <w:pPr>
        <w:pStyle w:val="TextBody"/>
        <w:spacing w:before="0" w:after="0"/>
        <w:jc w:val="left"/>
        <w:rPr/>
      </w:pPr>
      <w:r>
        <w:rPr/>
        <w:t> </w:t>
      </w:r>
    </w:p>
    <w:tbl>
      <w:tblPr>
        <w:tblW w:w="496" w:type="dxa"/>
        <w:jc w:val="left"/>
        <w:tblInd w:w="0" w:type="dxa"/>
        <w:tblCellMar>
          <w:top w:w="28" w:type="dxa"/>
          <w:left w:w="28" w:type="dxa"/>
          <w:bottom w:w="28" w:type="dxa"/>
          <w:right w:w="28" w:type="dxa"/>
        </w:tblCellMar>
      </w:tblPr>
      <w:tblGrid>
        <w:gridCol w:w="496"/>
      </w:tblGrid>
      <w:tr>
        <w:trPr/>
        <w:tc>
          <w:tcPr>
            <w:tcW w:w="496" w:type="dxa"/>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N/A</w:t>
            </w:r>
          </w:p>
        </w:tc>
      </w:tr>
    </w:tbl>
    <w:p>
      <w:pPr>
        <w:pStyle w:val="TextBody"/>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spacing w:before="187" w:after="0"/>
        <w:jc w:val="left"/>
        <w:rPr/>
      </w:pPr>
      <w:r>
        <w:rPr/>
        <w:t> </w:t>
      </w:r>
    </w:p>
    <w:p>
      <w:pPr>
        <w:pStyle w:val="TextBody"/>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9355" w:type="dxa"/>
        <w:jc w:val="left"/>
        <w:tblInd w:w="0" w:type="dxa"/>
        <w:tblCellMar>
          <w:top w:w="28" w:type="dxa"/>
          <w:left w:w="28" w:type="dxa"/>
          <w:bottom w:w="28" w:type="dxa"/>
          <w:right w:w="28" w:type="dxa"/>
        </w:tblCellMar>
      </w:tblPr>
      <w:tblGrid>
        <w:gridCol w:w="4291"/>
        <w:gridCol w:w="146"/>
        <w:gridCol w:w="946"/>
        <w:gridCol w:w="146"/>
        <w:gridCol w:w="3826"/>
      </w:tblGrid>
      <w:tr>
        <w:trPr/>
        <w:tc>
          <w:tcPr>
            <w:tcW w:w="4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429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42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Class A common stock, par value $0.0001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RANI</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On May 10, 2023, Rani Therapeutics Holdings, Inc. (the “Company”) issued a press release providing a corporate update and announcing its financial results for the three months ended March 31, 2023. The full text of the press release is furnished as Exhibit 99.1 to this Current Report on Form 8-K and is incorporated herein by reference.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spacing w:before="0" w:after="0"/>
        <w:jc w:val="left"/>
        <w:rPr>
          <w:rFonts w:ascii="Times New Roman;serif" w:hAnsi="Times New Roman;serif"/>
          <w:b/>
          <w:sz w:val="20"/>
        </w:rPr>
      </w:pPr>
      <w:r>
        <w:rPr>
          <w:rFonts w:ascii="Times New Roman;serif" w:hAnsi="Times New Roman;serif"/>
          <w:b/>
          <w:sz w:val="20"/>
        </w:rPr>
        <w:t>(d) Exhibits</w:t>
      </w:r>
    </w:p>
    <w:tbl>
      <w:tblPr>
        <w:tblW w:w="7521" w:type="dxa"/>
        <w:jc w:val="left"/>
        <w:tblInd w:w="0" w:type="dxa"/>
        <w:tblCellMar>
          <w:top w:w="28" w:type="dxa"/>
          <w:left w:w="28" w:type="dxa"/>
          <w:bottom w:w="28" w:type="dxa"/>
          <w:right w:w="28" w:type="dxa"/>
        </w:tblCellMar>
      </w:tblPr>
      <w:tblGrid>
        <w:gridCol w:w="811"/>
        <w:gridCol w:w="109"/>
        <w:gridCol w:w="6601"/>
      </w:tblGrid>
      <w:tr>
        <w:trPr/>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r>
      <w:tr>
        <w:trPr/>
        <w:tc>
          <w:tcPr>
            <w:tcW w:w="8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09"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6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 Description</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rani-ex99_1.htm">
              <w:r>
                <w:rPr>
                  <w:rStyle w:val="InternetLink"/>
                  <w:rFonts w:ascii="Times New Roman;serif" w:hAnsi="Times New Roman;serif"/>
                  <w:b w:val="false"/>
                  <w:sz w:val="20"/>
                  <w:u w:val="single"/>
                </w:rPr>
                <w:t>Press Release dated May 10, 2023</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87"/>
        <w:jc w:val="center"/>
        <w:rPr>
          <w:rFonts w:ascii="Times New Roman;serif" w:hAnsi="Times New Roman;serif"/>
          <w:b/>
          <w:sz w:val="20"/>
        </w:rPr>
      </w:pPr>
      <w:r>
        <w:rPr>
          <w:rFonts w:ascii="Times New Roman;serif" w:hAnsi="Times New Roman;serif"/>
          <w:b/>
          <w:sz w:val="20"/>
        </w:rPr>
        <w:t>SIGNATURES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074" w:type="dxa"/>
        <w:jc w:val="left"/>
        <w:tblInd w:w="0" w:type="dxa"/>
        <w:tblCellMar>
          <w:top w:w="28" w:type="dxa"/>
          <w:left w:w="28" w:type="dxa"/>
          <w:bottom w:w="28" w:type="dxa"/>
          <w:right w:w="28" w:type="dxa"/>
        </w:tblCellMar>
      </w:tblPr>
      <w:tblGrid>
        <w:gridCol w:w="556"/>
        <w:gridCol w:w="1246"/>
        <w:gridCol w:w="451"/>
        <w:gridCol w:w="2821"/>
      </w:tblGrid>
      <w:tr>
        <w:trPr/>
        <w:tc>
          <w:tcPr>
            <w:tcW w:w="5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82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21" w:type="dxa"/>
            <w:tcBorders/>
            <w:shd w:fill="auto" w:val="clear"/>
            <w:tcMar>
              <w:top w:w="0" w:type="dxa"/>
              <w:left w:w="0" w:type="dxa"/>
              <w:bottom w:w="0" w:type="dxa"/>
              <w:right w:w="0" w:type="dxa"/>
            </w:tcMar>
            <w:vAlign w:val="center"/>
          </w:tcPr>
          <w:p>
            <w:pPr>
              <w:pStyle w:val="TableContents"/>
              <w:spacing w:before="86" w:after="86"/>
              <w:ind w:left="0" w:right="0" w:hanging="0"/>
              <w:jc w:val="left"/>
              <w:rPr>
                <w:rFonts w:ascii="Times New Roman;serif" w:hAnsi="Times New Roman;serif"/>
                <w:b w:val="false"/>
                <w:sz w:val="20"/>
              </w:rPr>
            </w:pPr>
            <w:r>
              <w:rPr>
                <w:rFonts w:ascii="Times New Roman;serif" w:hAnsi="Times New Roman;serif"/>
                <w:b w:val="false"/>
                <w:sz w:val="20"/>
              </w:rPr>
              <w:t>Rani Therapeutics Holdings, Inc.</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May 10, 2023</w:t>
            </w:r>
          </w:p>
        </w:tc>
        <w:tc>
          <w:tcPr>
            <w:tcW w:w="45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821" w:type="dxa"/>
            <w:tcBorders>
              <w:bottom w:val="single" w:sz="2" w:space="0" w:color="000000"/>
            </w:tcBorders>
            <w:shd w:fill="auto" w:val="clear"/>
            <w:tcMar>
              <w:top w:w="0" w:type="dxa"/>
              <w:left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/s/ Svai Sanford</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821" w:type="dxa"/>
            <w:tcBorders/>
            <w:shd w:fill="auto" w:val="clear"/>
            <w:tcMar>
              <w:top w:w="0" w:type="dxa"/>
              <w:left w:w="0" w:type="dxa"/>
              <w:bottom w:w="0" w:type="dxa"/>
              <w:right w:w="0" w:type="dxa"/>
            </w:tcMar>
            <w:vAlign w:val="center"/>
          </w:tcPr>
          <w:p>
            <w:pPr>
              <w:pStyle w:val="TableContents"/>
              <w:spacing w:before="14" w:after="187"/>
              <w:ind w:left="0" w:right="0" w:hanging="0"/>
              <w:jc w:val="left"/>
              <w:rPr>
                <w:rFonts w:ascii="Times New Roman;serif" w:hAnsi="Times New Roman;serif"/>
                <w:b w:val="false"/>
                <w:sz w:val="20"/>
              </w:rPr>
            </w:pPr>
            <w:r>
              <w:rPr>
                <w:rFonts w:ascii="Times New Roman;serif" w:hAnsi="Times New Roman;serif"/>
                <w:b w:val="false"/>
                <w:sz w:val="20"/>
              </w:rPr>
              <w:t>Svai Sanford</w:t>
              <w:br/>
              <w:t>Chief Financial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 w:name="rani-ex99_1.htm"/>
      <w:bookmarkStart w:id="3" w:name="ksraniex99_1"/>
      <w:bookmarkEnd w:id="2"/>
      <w:bookmarkEnd w:id="3"/>
      <w:r>
        <w:rPr>
          <w:rFonts w:ascii="Times New Roman;serif" w:hAnsi="Times New Roman;serif"/>
          <w:b/>
          <w:sz w:val="20"/>
        </w:rPr>
        <w:t>Exhibit 99.1</w:t>
      </w:r>
    </w:p>
    <w:p>
      <w:pPr>
        <w:pStyle w:val="TextBody"/>
        <w:spacing w:before="0" w:after="0"/>
        <w:jc w:val="right"/>
        <w:rPr/>
      </w:pPr>
      <w:r>
        <w:rPr/>
        <w:t> </w:t>
      </w:r>
    </w:p>
    <w:p>
      <w:pPr>
        <w:pStyle w:val="TextBody"/>
        <w:spacing w:before="0" w:after="0"/>
        <w:jc w:val="center"/>
        <w:rPr/>
      </w:pPr>
      <w:r>
        <w:rPr/>
        <w:drawing>
          <wp:inline distT="0" distB="0" distL="0" distR="0">
            <wp:extent cx="166687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8200"/>
                    </a:xfrm>
                    <a:prstGeom prst="rect">
                      <a:avLst/>
                    </a:prstGeom>
                  </pic:spPr>
                </pic:pic>
              </a:graphicData>
            </a:graphic>
          </wp:inline>
        </w:drawing>
      </w:r>
    </w:p>
    <w:p>
      <w:pPr>
        <w:pStyle w:val="TextBody"/>
        <w:spacing w:before="360" w:after="0"/>
        <w:jc w:val="center"/>
        <w:rPr>
          <w:rFonts w:ascii="Times New Roman;serif" w:hAnsi="Times New Roman;serif"/>
          <w:b/>
          <w:sz w:val="20"/>
        </w:rPr>
      </w:pPr>
      <w:r>
        <w:rPr>
          <w:rFonts w:ascii="Times New Roman;serif" w:hAnsi="Times New Roman;serif"/>
          <w:b/>
          <w:sz w:val="20"/>
        </w:rPr>
        <w:t>Rani Therapeutics Reports First Quarter 2023 Financial Results; Provides Corporate Update</w:t>
      </w:r>
    </w:p>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 Announced partnership with Celltrion on development of RT-111, a RaniPill GO capsule containing a biosimilar for the monoclonal antibody ustekinumab -</w:t>
      </w:r>
    </w:p>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 Received preliminary feedback from FDA on RT-102 development plans; 505(b)(2) pathway for RT-102 could be suitable -</w:t>
      </w:r>
    </w:p>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 Initiation of Phase 2 clinical trial for RT-102 for the treatment of osteoporosis expected in 2H of 2023 -</w:t>
      </w:r>
    </w:p>
    <w:p>
      <w:pPr>
        <w:pStyle w:val="TextBody"/>
        <w:spacing w:before="180" w:after="0"/>
        <w:jc w:val="left"/>
        <w:rPr>
          <w:rFonts w:ascii="Times New Roman" w:hAnsi="Times New Roman"/>
          <w:sz w:val="20"/>
        </w:rPr>
      </w:pPr>
      <w:r>
        <w:rPr>
          <w:rFonts w:ascii="Times New Roman;serif" w:hAnsi="Times New Roman;serif"/>
          <w:b/>
          <w:sz w:val="20"/>
        </w:rPr>
        <w:t xml:space="preserve">SAN JOSE, Calif., May 10, 2023 </w:t>
      </w:r>
      <w:r>
        <w:rPr>
          <w:rFonts w:ascii="Times New Roman;serif" w:hAnsi="Times New Roman;serif"/>
          <w:b w:val="false"/>
          <w:sz w:val="20"/>
        </w:rPr>
        <w:t>-- Rani Therapeutics Holdings, Inc. (“Rani Therapeutics” or “Rani”) (Nasdaq: RANI), a clinical-stage biotherapeutics company focused on the oral delivery of biologics and drugs, today reported financial results for the quarter ended March 31, 2023 and provided a corporate update.</w:t>
      </w:r>
    </w:p>
    <w:p>
      <w:pPr>
        <w:pStyle w:val="TextBody"/>
        <w:spacing w:before="0" w:after="0"/>
        <w:jc w:val="left"/>
        <w:rPr/>
      </w:pPr>
      <w:r>
        <w:rPr/>
        <w:t> </w:t>
      </w:r>
    </w:p>
    <w:p>
      <w:pPr>
        <w:pStyle w:val="TextBody"/>
        <w:spacing w:before="0" w:after="0"/>
        <w:jc w:val="left"/>
        <w:rPr/>
      </w:pPr>
      <w:r>
        <w:rPr/>
        <w:t>“</w:t>
      </w:r>
      <w:r>
        <w:rPr>
          <w:rFonts w:ascii="Times New Roman;serif" w:hAnsi="Times New Roman;serif"/>
          <w:b w:val="false"/>
          <w:sz w:val="20"/>
        </w:rPr>
        <w:t>We started 2023 with great momentum when we announced a partnership with Celltrion on the development of our ustekinumab biosimilar for RT-111, a partnership that we believe validates RaniPill’s oral drug delivery technology,” said Talat Imran, Chief Executive Officer of Rani. “In addition, we received preliminary feedback from the FDA with respect to our RT-102 development plans, including the Phase 2 clinical trial that we intend to initiate in the second half of the year. Further, 2023 will be a crucial year for Rani as we commence three Phase 1 studies for RT-111, RT-105 and RT-110.”</w:t>
      </w:r>
    </w:p>
    <w:p>
      <w:pPr>
        <w:pStyle w:val="TextBody"/>
        <w:spacing w:before="360" w:after="0"/>
        <w:jc w:val="left"/>
        <w:rPr>
          <w:rFonts w:ascii="Times New Roman;serif" w:hAnsi="Times New Roman;serif"/>
          <w:b/>
          <w:sz w:val="20"/>
        </w:rPr>
      </w:pPr>
      <w:r>
        <w:rPr>
          <w:rFonts w:ascii="Times New Roman;serif" w:hAnsi="Times New Roman;serif"/>
          <w:b/>
          <w:sz w:val="20"/>
        </w:rPr>
        <w:t>First Quarter Highlights:</w:t>
      </w:r>
    </w:p>
    <w:p>
      <w:pPr>
        <w:pStyle w:val="TextBody"/>
        <w:spacing w:before="120" w:after="0"/>
        <w:jc w:val="left"/>
        <w:rPr/>
      </w:pPr>
      <w:r>
        <w:rPr/>
        <w:t>•</w:t>
      </w:r>
    </w:p>
    <w:p>
      <w:pPr>
        <w:pStyle w:val="TextBody"/>
        <w:spacing w:before="120" w:after="0"/>
        <w:jc w:val="left"/>
        <w:rPr/>
      </w:pPr>
      <w:r>
        <w:rPr>
          <w:rFonts w:ascii="Times New Roman;serif" w:hAnsi="Times New Roman;serif"/>
          <w:b/>
          <w:sz w:val="20"/>
        </w:rPr>
        <w:t xml:space="preserve">Announced partnership with Celltrion on development of an ustekinumab biosimilar for RT-111. </w:t>
      </w:r>
      <w:r>
        <w:rPr>
          <w:rFonts w:ascii="Times New Roman;serif" w:hAnsi="Times New Roman;serif"/>
          <w:b w:val="false"/>
          <w:sz w:val="20"/>
        </w:rPr>
        <w:t>In January 2023, Rani announced a partnership with Celltrion for the development of RT-111, a RaniPill GO capsule containing Celltrion’s ustekinumab biosimilar (CT-P43) for the potential treatment of psoriatic arthritis, ulcerative colitis, Crohn’s disease and psoriasis. Rani was granted an exclusive license to use CT-P43 in the development and commercialization of RT-111, and Celltrion was granted a right of first negotiation to acquire worldwide rights to RT-111 following a Phase 1 clinical trial.</w:t>
      </w:r>
    </w:p>
    <w:p>
      <w:pPr>
        <w:pStyle w:val="TextBody"/>
        <w:spacing w:before="120" w:after="0"/>
        <w:jc w:val="left"/>
        <w:rPr/>
      </w:pPr>
      <w:r>
        <w:rPr/>
        <w:t>•</w:t>
      </w:r>
    </w:p>
    <w:p>
      <w:pPr>
        <w:pStyle w:val="TextBody"/>
        <w:spacing w:before="120" w:after="283"/>
        <w:jc w:val="left"/>
        <w:rPr/>
      </w:pPr>
      <w:r>
        <w:rPr>
          <w:rFonts w:ascii="Times New Roman;serif" w:hAnsi="Times New Roman;serif"/>
          <w:b/>
          <w:sz w:val="20"/>
        </w:rPr>
        <w:t xml:space="preserve">Preliminary feedback received from the U.S. Food and Drug Administration (“FDA”) on future development of RT-102. </w:t>
      </w:r>
      <w:r>
        <w:rPr>
          <w:rFonts w:ascii="Times New Roman;serif" w:hAnsi="Times New Roman;serif"/>
          <w:b w:val="false"/>
          <w:sz w:val="20"/>
        </w:rPr>
        <w:t>Following feedback from a pre-Investigational New Drug meeting with the FDA, Rani believes that a 505(b)(2) pathway is suitable for the development of RT-102 in the U.S. In addition, Rani obtained guidance from the FDA on its preclinical and clinical development plans for RT-102, including the Phase 2 clinical trial which is expected to initiate in the second half of 2023.</w:t>
      </w:r>
    </w:p>
    <w:p>
      <w:pPr>
        <w:pStyle w:val="TextBody"/>
        <w:spacing w:before="360" w:after="0"/>
        <w:jc w:val="left"/>
        <w:rPr>
          <w:rFonts w:ascii="Times New Roman;serif" w:hAnsi="Times New Roman;serif"/>
          <w:b/>
          <w:sz w:val="20"/>
        </w:rPr>
      </w:pPr>
      <w:r>
        <w:rPr>
          <w:rFonts w:ascii="Times New Roman;serif" w:hAnsi="Times New Roman;serif"/>
          <w:b/>
          <w:sz w:val="20"/>
        </w:rPr>
        <w:t>Near-Term Milestone Expectations: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Initiation of Phase 2 study of RT-102 for osteoporosis expected in the second half of 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Initiation of three additional Phase 1 studies expected in 2023 with pipeline molecules:</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RT-111 containing an ustekinumab biosimilar</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RT-105 containing an adalimumab biosimilar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RT-110 containing parathyroid hormone for hypo-parathyroidism</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60"/>
        <w:jc w:val="center"/>
        <w:rPr/>
      </w:pPr>
      <w:r>
        <w:rPr/>
        <w:t> </w:t>
      </w:r>
    </w:p>
    <w:p>
      <w:pPr>
        <w:pStyle w:val="TextBody"/>
        <w:spacing w:before="0" w:after="16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First Quarter Financial Results:</w:t>
      </w:r>
    </w:p>
    <w:p>
      <w:pPr>
        <w:pStyle w:val="TextBody"/>
        <w:spacing w:before="120" w:after="0"/>
        <w:jc w:val="left"/>
        <w:rPr/>
      </w:pPr>
      <w:r>
        <w:rPr/>
        <w:t>•</w:t>
      </w:r>
    </w:p>
    <w:p>
      <w:pPr>
        <w:pStyle w:val="TextBody"/>
        <w:spacing w:before="120" w:after="0"/>
        <w:jc w:val="left"/>
        <w:rPr/>
      </w:pPr>
      <w:r>
        <w:rPr>
          <w:rFonts w:ascii="Times New Roman;serif" w:hAnsi="Times New Roman;serif"/>
          <w:b/>
          <w:sz w:val="20"/>
        </w:rPr>
        <w:t xml:space="preserve">Cash, cash equivalents and marketable securities </w:t>
      </w:r>
      <w:r>
        <w:rPr>
          <w:rFonts w:ascii="Times New Roman;serif" w:hAnsi="Times New Roman;serif"/>
          <w:b w:val="false"/>
          <w:sz w:val="20"/>
        </w:rPr>
        <w:t>as of March 31, 2023 totaled $86.8 million, compared to cash, cash equivalents and marketable securities of $98.5 million for the year ended December 31, 2022. Rani expects its cash, cash equivalents and marketable securities to be sufficient to fund its operations to mid-2024.</w:t>
      </w:r>
    </w:p>
    <w:p>
      <w:pPr>
        <w:pStyle w:val="TextBody"/>
        <w:spacing w:before="120" w:after="0"/>
        <w:jc w:val="left"/>
        <w:rPr/>
      </w:pPr>
      <w:r>
        <w:rPr/>
        <w:t>•</w:t>
      </w:r>
    </w:p>
    <w:p>
      <w:pPr>
        <w:pStyle w:val="TextBody"/>
        <w:spacing w:before="120" w:after="0"/>
        <w:jc w:val="left"/>
        <w:rPr/>
      </w:pPr>
      <w:r>
        <w:rPr>
          <w:rFonts w:ascii="Times New Roman;serif" w:hAnsi="Times New Roman;serif"/>
          <w:b/>
          <w:sz w:val="20"/>
        </w:rPr>
        <w:t xml:space="preserve">Research and development expenses </w:t>
      </w:r>
      <w:r>
        <w:rPr>
          <w:rFonts w:ascii="Times New Roman;serif" w:hAnsi="Times New Roman;serif"/>
          <w:b w:val="false"/>
          <w:sz w:val="20"/>
        </w:rPr>
        <w:t>for the three months ended March 31, 2023 were $9.7 million, compared to $7.6 million for the same period in 2022. The difference was primarily attributed to higher compensation costs of $1.9 million, which includes an increase of $0.4 million in stock-based compensation, due to headcount growth, and an increase of $0.4 million in facilities, materials and supplies expense related to preclinical and clinical development activities.</w:t>
      </w:r>
    </w:p>
    <w:p>
      <w:pPr>
        <w:pStyle w:val="TextBody"/>
        <w:spacing w:before="120" w:after="0"/>
        <w:jc w:val="left"/>
        <w:rPr/>
      </w:pPr>
      <w:r>
        <w:rPr/>
        <w:t>•</w:t>
      </w:r>
    </w:p>
    <w:p>
      <w:pPr>
        <w:pStyle w:val="TextBody"/>
        <w:spacing w:before="120" w:after="0"/>
        <w:jc w:val="left"/>
        <w:rPr/>
      </w:pPr>
      <w:r>
        <w:rPr>
          <w:rFonts w:ascii="Times New Roman;serif" w:hAnsi="Times New Roman;serif"/>
          <w:b/>
          <w:sz w:val="20"/>
        </w:rPr>
        <w:t xml:space="preserve">General and administrative expenses </w:t>
      </w:r>
      <w:r>
        <w:rPr>
          <w:rFonts w:ascii="Times New Roman;serif" w:hAnsi="Times New Roman;serif"/>
          <w:b w:val="false"/>
          <w:sz w:val="20"/>
        </w:rPr>
        <w:t>for the three months ended March 31, 2023 were $6.8 million, compared to $6.2 million for the same period in 2022. The difference was primarily attributed to an increase in stock-based compensation of $1.1 million due to headcount growth, partially offset by a decrease in third-party services of $0.5 million due to non-recurring public company related costs.</w:t>
      </w:r>
    </w:p>
    <w:p>
      <w:pPr>
        <w:pStyle w:val="TextBody"/>
        <w:spacing w:before="120" w:after="0"/>
        <w:jc w:val="left"/>
        <w:rPr/>
      </w:pPr>
      <w:r>
        <w:rPr/>
        <w:t>•</w:t>
      </w:r>
    </w:p>
    <w:p>
      <w:pPr>
        <w:pStyle w:val="TextBody"/>
        <w:spacing w:before="120" w:after="283"/>
        <w:jc w:val="left"/>
        <w:rPr/>
      </w:pPr>
      <w:r>
        <w:rPr>
          <w:rFonts w:ascii="Times New Roman;serif" w:hAnsi="Times New Roman;serif"/>
          <w:b/>
          <w:sz w:val="20"/>
        </w:rPr>
        <w:t>Net loss</w:t>
      </w:r>
      <w:r>
        <w:rPr/>
        <w:t xml:space="preserve"> </w:t>
      </w:r>
      <w:r>
        <w:rPr>
          <w:rFonts w:ascii="Times New Roman;serif" w:hAnsi="Times New Roman;serif"/>
          <w:b w:val="false"/>
          <w:sz w:val="20"/>
        </w:rPr>
        <w:t xml:space="preserve">for the three months ended March 31, 2023 was $16.8 million, compared to $13.8 million for the same period in 2022, including non-cash charges primarily attributable to stock-based compensation expense of $4.0 million for the three months ended March 31, 2023, compared to $3.0 million for the same period in 2022. </w:t>
      </w:r>
    </w:p>
    <w:p>
      <w:pPr>
        <w:pStyle w:val="TextBody"/>
        <w:spacing w:before="360" w:after="0"/>
        <w:jc w:val="left"/>
        <w:rPr>
          <w:rFonts w:ascii="Times New Roman;serif" w:hAnsi="Times New Roman;serif"/>
          <w:b/>
          <w:sz w:val="20"/>
        </w:rPr>
      </w:pPr>
      <w:r>
        <w:rPr>
          <w:rFonts w:ascii="Times New Roman;serif" w:hAnsi="Times New Roman;serif"/>
          <w:b/>
          <w:sz w:val="20"/>
        </w:rPr>
        <w:t>Rani Therapeutics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pStyle w:val="TextBody"/>
        <w:spacing w:before="0" w:after="0"/>
        <w:jc w:val="left"/>
        <w:rPr/>
      </w:pPr>
      <w:r>
        <w:rPr/>
        <w:t> </w:t>
      </w:r>
    </w:p>
    <w:p>
      <w:pPr>
        <w:pStyle w:val="HorizontalLine"/>
        <w:rPr/>
      </w:pPr>
      <w:r>
        <w:rPr/>
      </w:r>
    </w:p>
    <w:p>
      <w:pPr>
        <w:pStyle w:val="TextBody"/>
        <w:spacing w:before="0" w:after="160"/>
        <w:jc w:val="center"/>
        <w:rPr/>
      </w:pPr>
      <w:r>
        <w:rPr/>
        <w:t> </w:t>
      </w:r>
    </w:p>
    <w:p>
      <w:pPr>
        <w:pStyle w:val="TextBody"/>
        <w:spacing w:before="0" w:after="16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Forward-Looking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2 trial of RT-102 in the second half of 2023, the expected initiation of three Phase 1 trials of other product candidates in 2023, the impact achievement of upcoming clinical milestones could have on the business of the Company, the potential suitability of the 505(b)(2) pathway for RT-102 or other Rani programs, Rani’s advancement of its preclinical and clinical programs and timing of results, the sufficiency of Rani’s cash reserves for future operations, the timing and extent of its expenses, future financial performance, and Rani’s growth as a company. Because such statements are subject to risks and uncertainties, actual results may differ materially from those expressed or implied by such forward-looking statements. Words such as “may,” “expect,” “could,” “anticipate,” “look forward,” “progress,” “advance,” “intend”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pStyle w:val="TextBody"/>
        <w:spacing w:before="360" w:after="0"/>
        <w:jc w:val="left"/>
        <w:rPr>
          <w:rFonts w:ascii="Times New Roman" w:hAnsi="Times New Roman"/>
          <w:sz w:val="20"/>
        </w:rPr>
      </w:pPr>
      <w:r>
        <w:rPr>
          <w:rFonts w:ascii="Times New Roman;serif" w:hAnsi="Times New Roman;serif"/>
          <w:b/>
          <w:sz w:val="20"/>
        </w:rPr>
        <w:t>Trademarks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Trade names, trademarks and service marks of other companies appearing in this press release are the property of their respective owners. Solely for convenience, the trademarks and trade names referred to in this press release appear without the ® and  symbols, but those references are not intended to indicate, in any way, that we will not assert, to the fullest extent under applicable law, our rights, or the right of the applicable licensor, to these trademarks and tradenames.</w:t>
      </w:r>
    </w:p>
    <w:p>
      <w:pPr>
        <w:pStyle w:val="TextBody"/>
        <w:spacing w:before="360" w:after="120"/>
        <w:jc w:val="both"/>
        <w:rPr>
          <w:rFonts w:ascii="Times New Roman;serif" w:hAnsi="Times New Roman;serif"/>
          <w:b/>
          <w:sz w:val="20"/>
        </w:rPr>
      </w:pPr>
      <w:r>
        <w:rPr>
          <w:rFonts w:ascii="Times New Roman;serif" w:hAnsi="Times New Roman;serif"/>
          <w:b/>
          <w:sz w:val="20"/>
        </w:rPr>
        <w:t>Investor Contact:</w:t>
      </w:r>
    </w:p>
    <w:p>
      <w:pPr>
        <w:pStyle w:val="TextBody"/>
        <w:spacing w:before="0" w:after="160"/>
        <w:jc w:val="both"/>
        <w:rPr>
          <w:rFonts w:ascii="Times New Roman;serif" w:hAnsi="Times New Roman;serif"/>
          <w:b w:val="false"/>
          <w:sz w:val="20"/>
          <w:u w:val="single"/>
        </w:rPr>
      </w:pPr>
      <w:r>
        <w:rPr>
          <w:rFonts w:ascii="Times New Roman;serif" w:hAnsi="Times New Roman;serif"/>
          <w:b w:val="false"/>
          <w:sz w:val="20"/>
          <w:u w:val="single"/>
        </w:rPr>
        <w:t>investors@ranitherapeutics.com</w:t>
      </w:r>
    </w:p>
    <w:p>
      <w:pPr>
        <w:pStyle w:val="TextBody"/>
        <w:spacing w:before="0" w:after="160"/>
        <w:jc w:val="both"/>
        <w:rPr>
          <w:rFonts w:ascii="Times New Roman;serif" w:hAnsi="Times New Roman;serif"/>
          <w:b/>
          <w:sz w:val="20"/>
        </w:rPr>
      </w:pPr>
      <w:r>
        <w:rPr>
          <w:rFonts w:ascii="Times New Roman;serif" w:hAnsi="Times New Roman;serif"/>
          <w:b/>
          <w:sz w:val="20"/>
        </w:rPr>
        <w:t>Media Contact:</w:t>
      </w:r>
    </w:p>
    <w:p>
      <w:pPr>
        <w:pStyle w:val="TextBody"/>
        <w:spacing w:before="0" w:after="160"/>
        <w:jc w:val="both"/>
        <w:rPr>
          <w:rFonts w:ascii="Times New Roman;serif" w:hAnsi="Times New Roman;serif"/>
          <w:b w:val="false"/>
          <w:sz w:val="20"/>
        </w:rPr>
      </w:pPr>
      <w:r>
        <w:rPr>
          <w:rFonts w:ascii="Times New Roman;serif" w:hAnsi="Times New Roman;serif"/>
          <w:b w:val="false"/>
          <w:sz w:val="20"/>
        </w:rPr>
        <w:t>media@ranitherapeutics.com</w:t>
      </w:r>
    </w:p>
    <w:p>
      <w:pPr>
        <w:pStyle w:val="TextBody"/>
        <w:spacing w:before="0" w:after="0"/>
        <w:jc w:val="left"/>
        <w:rPr/>
      </w:pPr>
      <w:r>
        <w:rPr/>
        <w:t> </w:t>
      </w:r>
    </w:p>
    <w:p>
      <w:pPr>
        <w:pStyle w:val="HorizontalLine"/>
        <w:rPr/>
      </w:pPr>
      <w:r>
        <w:rPr/>
      </w:r>
    </w:p>
    <w:p>
      <w:pPr>
        <w:pStyle w:val="TextBody"/>
        <w:spacing w:before="0" w:after="160"/>
        <w:jc w:val="center"/>
        <w:rPr/>
      </w:pPr>
      <w:r>
        <w:rPr/>
        <w:t> </w:t>
      </w:r>
    </w:p>
    <w:p>
      <w:pPr>
        <w:pStyle w:val="TextBody"/>
        <w:spacing w:before="0" w:after="16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RANI THERAPEUTICS HOLDINGS,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Consolidated Balance Sheets</w:t>
      </w:r>
      <w:r>
        <w:rPr>
          <w:rFonts w:ascii="Times New Roman" w:hAnsi="Times New Roman"/>
          <w:sz w:val="20"/>
        </w:rPr>
        <w:t xml:space="preserve">  </w:t>
      </w:r>
    </w:p>
    <w:p>
      <w:pPr>
        <w:pStyle w:val="TextBody"/>
        <w:spacing w:before="0" w:after="240"/>
        <w:jc w:val="center"/>
        <w:rPr>
          <w:rFonts w:ascii="Times New Roman" w:hAnsi="Times New Roman"/>
          <w:sz w:val="20"/>
        </w:rPr>
      </w:pPr>
      <w:r>
        <w:rPr>
          <w:rFonts w:ascii="Times New Roman;serif" w:hAnsi="Times New Roman;serif"/>
          <w:b/>
          <w:sz w:val="20"/>
        </w:rPr>
        <w:t>(In thousands, except par value)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7158"/>
        <w:gridCol w:w="146"/>
        <w:gridCol w:w="213"/>
        <w:gridCol w:w="745"/>
        <w:gridCol w:w="166"/>
        <w:gridCol w:w="146"/>
        <w:gridCol w:w="220"/>
        <w:gridCol w:w="817"/>
        <w:gridCol w:w="594"/>
      </w:tblGrid>
      <w:tr>
        <w:trPr/>
        <w:tc>
          <w:tcPr>
            <w:tcW w:w="71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r>
      <w:tr>
        <w:trPr/>
        <w:tc>
          <w:tcPr>
            <w:tcW w:w="715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5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5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center"/>
              <w:rPr/>
            </w:pPr>
            <w:r>
              <w:rPr/>
              <w:t> </w:t>
            </w:r>
          </w:p>
        </w:tc>
        <w:tc>
          <w:tcPr>
            <w:tcW w:w="594" w:type="dxa"/>
            <w:tcBorders/>
            <w:shd w:fill="auto" w:val="clear"/>
            <w:vAlign w:val="center"/>
          </w:tcPr>
          <w:p>
            <w:pPr>
              <w:pStyle w:val="TableContents"/>
              <w:spacing w:before="0" w:after="0"/>
              <w:ind w:left="0" w:right="0" w:hanging="0"/>
              <w:jc w:val="center"/>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hanging="0"/>
              <w:jc w:val="righ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firstLine="200"/>
              <w:jc w:val="righ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27,007</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 equivalents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71,475</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1,942</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5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100,924</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6,038</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5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108,027</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hanging="0"/>
              <w:jc w:val="righ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firstLine="200"/>
              <w:jc w:val="righ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current portion</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1,006</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5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4,815</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less current portion</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29,149</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5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34,023</w:t>
            </w:r>
          </w:p>
        </w:tc>
        <w:tc>
          <w:tcPr>
            <w:tcW w:w="594" w:type="dxa"/>
            <w:tcBorders/>
            <w:shd w:fill="auto" w:val="clear"/>
            <w:vAlign w:val="center"/>
          </w:tcPr>
          <w:p>
            <w:pPr>
              <w:pStyle w:val="TableContents"/>
              <w:spacing w:before="0" w:after="0"/>
              <w:ind w:left="0" w:right="0" w:hanging="0"/>
              <w:jc w:val="lef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hanging="0"/>
              <w:jc w:val="righ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Preferred stock, $0.0001 par value - 20,000 shares authorized; none issued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594" w:type="dxa"/>
            <w:tcBorders/>
            <w:shd w:fill="auto" w:val="clear"/>
            <w:vAlign w:val="center"/>
          </w:tcPr>
          <w:p>
            <w:pPr>
              <w:pStyle w:val="TableContents"/>
              <w:spacing w:before="0" w:after="0"/>
              <w:ind w:left="0" w:right="0" w:hanging="0"/>
              <w:jc w:val="lef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Class A common stock, $0.0001 par value - 800,000 shares authorized; 25,376 and 25,295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4" w:type="dxa"/>
            <w:tcBorders/>
            <w:shd w:fill="auto" w:val="clear"/>
            <w:vAlign w:val="center"/>
          </w:tcPr>
          <w:p>
            <w:pPr>
              <w:pStyle w:val="TableContents"/>
              <w:spacing w:before="0" w:after="0"/>
              <w:ind w:left="0" w:right="0" w:hanging="0"/>
              <w:jc w:val="lef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Class B common stock, $0.0001 par value - 40,000 shares authorized; 24,116 issued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4" w:type="dxa"/>
            <w:tcBorders/>
            <w:shd w:fill="auto" w:val="clear"/>
            <w:vAlign w:val="center"/>
          </w:tcPr>
          <w:p>
            <w:pPr>
              <w:pStyle w:val="TableContents"/>
              <w:spacing w:before="0" w:after="0"/>
              <w:ind w:left="0" w:right="0" w:hanging="0"/>
              <w:jc w:val="left"/>
              <w:rPr/>
            </w:pPr>
            <w:r>
              <w:rPr/>
              <w:t> </w:t>
            </w:r>
          </w:p>
        </w:tc>
      </w:tr>
      <w:tr>
        <w:trPr/>
        <w:tc>
          <w:tcPr>
            <w:tcW w:w="7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Class C common stock, $0.0001 par value - 20,000 shares authorized; none issued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pPr>
            <w:r>
              <w:rPr/>
              <w:t>—</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75,842</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59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(38,919</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 attributable to Rani Therapeutics Holdings, Inc.</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36,855</w:t>
            </w:r>
          </w:p>
        </w:tc>
        <w:tc>
          <w:tcPr>
            <w:tcW w:w="594" w:type="dxa"/>
            <w:tcBorders/>
            <w:shd w:fill="auto" w:val="clear"/>
            <w:vAlign w:val="center"/>
          </w:tcPr>
          <w:p>
            <w:pPr>
              <w:pStyle w:val="TableContents"/>
              <w:spacing w:before="0" w:after="0"/>
              <w:ind w:left="0" w:right="0" w:firstLine="200"/>
              <w:jc w:val="left"/>
              <w:rPr/>
            </w:pPr>
            <w:r>
              <w:rPr/>
              <w:t> </w:t>
            </w:r>
          </w:p>
        </w:tc>
      </w:tr>
      <w:tr>
        <w:trPr/>
        <w:tc>
          <w:tcPr>
            <w:tcW w:w="715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37,149</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5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74,004</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5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108,027</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60"/>
        <w:jc w:val="center"/>
        <w:rPr/>
      </w:pPr>
      <w:r>
        <w:rPr/>
        <w:t> </w:t>
      </w:r>
    </w:p>
    <w:p>
      <w:pPr>
        <w:pStyle w:val="TextBody"/>
        <w:spacing w:before="0" w:after="16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RANI THERAPEUTICS HOLDINGS, INC</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Consolidated Statements of Operations</w:t>
      </w:r>
    </w:p>
    <w:p>
      <w:pPr>
        <w:pStyle w:val="TextBody"/>
        <w:spacing w:before="0" w:after="0"/>
        <w:jc w:val="center"/>
        <w:rPr>
          <w:rFonts w:ascii="Times New Roman" w:hAnsi="Times New Roman"/>
          <w:sz w:val="20"/>
        </w:rPr>
      </w:pPr>
      <w:r>
        <w:rPr>
          <w:rFonts w:ascii="Times New Roman;serif" w:hAnsi="Times New Roman;serif"/>
          <w:b/>
          <w:sz w:val="20"/>
        </w:rPr>
        <w:t>(In thousands, except per share amounts)</w:t>
      </w:r>
      <w:r>
        <w:rPr>
          <w:rFonts w:ascii="Times New Roman" w:hAnsi="Times New Roman"/>
          <w:sz w:val="20"/>
        </w:rPr>
        <w:t>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6910"/>
        <w:gridCol w:w="146"/>
        <w:gridCol w:w="225"/>
        <w:gridCol w:w="787"/>
        <w:gridCol w:w="177"/>
        <w:gridCol w:w="155"/>
        <w:gridCol w:w="225"/>
        <w:gridCol w:w="787"/>
        <w:gridCol w:w="793"/>
      </w:tblGrid>
      <w:tr>
        <w:trPr/>
        <w:tc>
          <w:tcPr>
            <w:tcW w:w="69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691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1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91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9,712</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7,591</w:t>
            </w:r>
          </w:p>
        </w:tc>
        <w:tc>
          <w:tcPr>
            <w:tcW w:w="793" w:type="dxa"/>
            <w:tcBorders/>
            <w:shd w:fill="auto" w:val="clear"/>
            <w:vAlign w:val="center"/>
          </w:tcPr>
          <w:p>
            <w:pPr>
              <w:pStyle w:val="TableContents"/>
              <w:spacing w:before="0" w:after="0"/>
              <w:ind w:left="0" w:right="0" w:firstLine="200"/>
              <w:jc w:val="left"/>
              <w:rPr/>
            </w:pPr>
            <w:r>
              <w:rPr/>
              <w:t> </w:t>
            </w:r>
          </w:p>
        </w:tc>
      </w:tr>
      <w:tr>
        <w:trPr/>
        <w:tc>
          <w:tcPr>
            <w:tcW w:w="691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6,804</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6,189</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1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16,516</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13,780</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91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(16,516</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(13,780</w:t>
            </w:r>
          </w:p>
        </w:tc>
        <w:tc>
          <w:tcPr>
            <w:tcW w:w="7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91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net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793" w:type="dxa"/>
            <w:tcBorders/>
            <w:shd w:fill="auto" w:val="clear"/>
            <w:vAlign w:val="center"/>
          </w:tcPr>
          <w:p>
            <w:pPr>
              <w:pStyle w:val="TableContents"/>
              <w:spacing w:before="0" w:after="0"/>
              <w:ind w:left="0" w:right="0" w:firstLine="200"/>
              <w:jc w:val="left"/>
              <w:rPr/>
            </w:pPr>
            <w:r>
              <w:rPr/>
              <w:t> </w:t>
            </w:r>
          </w:p>
        </w:tc>
      </w:tr>
      <w:tr>
        <w:trPr/>
        <w:tc>
          <w:tcPr>
            <w:tcW w:w="691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and other, net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91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(16,832</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(13,765</w:t>
            </w:r>
          </w:p>
        </w:tc>
        <w:tc>
          <w:tcPr>
            <w:tcW w:w="79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91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(16,832</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(13,828</w:t>
            </w:r>
          </w:p>
        </w:tc>
        <w:tc>
          <w:tcPr>
            <w:tcW w:w="79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91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(8,460</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(7,605</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Rani Therapeutics Holdings, Inc.</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(8,372</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(6,223</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910"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per Class A common share attributable to Rani Therapeutics Holdings, Inc., basic and diluted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Class A common shares outstanding—basic and diluted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25,240</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21,409</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2112</Words>
  <CharactersWithSpaces>14057</CharactersWithSpaces>
  <Paragraphs>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