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647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64770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Groen Eric</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00" w:type="dxa"/>
            <w:vAlign w:val="bottom"/>
          </w:tcPr>
          <w:p>
            <w:pPr>
              <w:ind w:left="4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2051 RINGWOOD AVE</w:t>
            </w:r>
          </w:p>
        </w:tc>
        <w:tc>
          <w:tcPr>
            <w:tcW w:w="880" w:type="dxa"/>
            <w:vAlign w:val="bottom"/>
          </w:tcPr>
          <w:p>
            <w:pPr>
              <w:spacing w:after="0"/>
              <w:rPr>
                <w:sz w:val="22"/>
                <w:szCs w:val="22"/>
                <w:color w:val="auto"/>
              </w:rPr>
            </w:pPr>
          </w:p>
        </w:tc>
      </w:tr>
      <w:tr>
        <w:trPr>
          <w:trHeight w:val="465"/>
        </w:trPr>
        <w:tc>
          <w:tcPr>
            <w:tcW w:w="1000" w:type="dxa"/>
            <w:vAlign w:val="bottom"/>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452"/>
        </w:trPr>
        <w:tc>
          <w:tcPr>
            <w:tcW w:w="1000" w:type="dxa"/>
            <w:vAlign w:val="bottom"/>
          </w:tcPr>
          <w:p>
            <w:pPr>
              <w:ind w:left="4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1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0000FF"/>
              </w:rPr>
              <w:t>General Counsel</w:t>
            </w:r>
          </w:p>
        </w:tc>
        <w:tc>
          <w:tcPr>
            <w:tcW w:w="0" w:type="dxa"/>
            <w:vAlign w:val="bottom"/>
          </w:tcPr>
          <w:p>
            <w:pPr>
              <w:spacing w:after="0"/>
              <w:rPr>
                <w:sz w:val="1"/>
                <w:szCs w:val="1"/>
                <w:color w:val="auto"/>
              </w:rPr>
            </w:pPr>
          </w:p>
        </w:tc>
      </w:tr>
      <w:tr>
        <w:trPr>
          <w:trHeight w:val="6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34,300</w:t>
            </w:r>
            <w:r>
              <w:rPr>
                <w:rFonts w:ascii="Times New Roman" w:cs="Times New Roman" w:eastAsia="Times New Roman" w:hAnsi="Times New Roman"/>
                <w:sz w:val="20"/>
                <w:szCs w:val="20"/>
                <w:color w:val="008000"/>
                <w:w w:val="94"/>
                <w:vertAlign w:val="superscript"/>
              </w:rPr>
              <w:t>(2)</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171,500</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03/26/2033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171,500</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03/26/2033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171,500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43,400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31,000</w:t>
            </w:r>
            <w:r>
              <w:rPr>
                <w:rFonts w:ascii="Times New Roman" w:cs="Times New Roman" w:eastAsia="Times New Roman" w:hAnsi="Times New Roman"/>
                <w:sz w:val="20"/>
                <w:szCs w:val="20"/>
                <w:color w:val="008000"/>
                <w:w w:val="94"/>
                <w:vertAlign w:val="superscript"/>
              </w:rPr>
              <w:t>(2)</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13.21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43,400</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03/21/2032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43,400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43,400</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03/21/2032</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43,400</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(2)(5)</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54,167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11</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54,167</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75,833</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54,167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54,167</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54,167</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March 27, 2023.</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March 22, 2022.</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25% of the shares subject to the option vest on July 29, 2022; and 1/48th of the shares subject to the option vest monthly over the remaining three years.</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Eric Groen</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12/19/2023</w:t>
            </w:r>
          </w:p>
        </w:tc>
      </w:tr>
      <w:tr>
        <w:trPr>
          <w:trHeight w:val="20"/>
        </w:trPr>
        <w:tc>
          <w:tcPr>
            <w:tcW w:w="7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18630"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2023-12-19T15:15:00Z</dcterms:created>
  <dcterms:modified xsi:type="dcterms:W3CDTF">2023-12-19T15:15:00Z</dcterms:modified>
</cp:coreProperties>
</file>