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IMRAN MIR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2051 RINGWOOD AVE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Rani Therapeutics Holdings, Inc.</w:t>
              </w:r>
            </w:hyperlink>
            <w:r>
              <w:rPr/>
              <w:t xml:space="preserve"> [ </w:t>
            </w:r>
            <w:r>
              <w:rPr>
                <w:rFonts w:ascii="Times;serif" w:hAnsi="Times;serif"/>
                <w:color w:val="0000FF"/>
                <w:sz w:val="24"/>
                <w:shd w:fill="FFFFFF" w:val="clear"/>
              </w:rPr>
              <w:t>RANI</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Company's 2021 Equity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Svai Sanford. Attorney-in-Fact for Mir A Imran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031686" TargetMode="External"/><Relationship Id="rId4" Type="http://schemas.openxmlformats.org/officeDocument/2006/relationships/hyperlink" Target="http://www.sec.gov/cgi-bin/browse-edgar?action=getcompany&amp;CIK=000185672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3477</Characters>
  <CharactersWithSpaces>4062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