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January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Rani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001-40672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86-3114789</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jc w:val="center"/>
        <w:ind w:right="1840"/>
        <w:spacing w:after="0"/>
        <w:rPr>
          <w:sz w:val="20"/>
          <w:szCs w:val="20"/>
          <w:color w:val="auto"/>
        </w:rPr>
      </w:pPr>
      <w:r>
        <w:rPr>
          <w:rFonts w:ascii="Arial" w:cs="Arial" w:eastAsia="Arial" w:hAnsi="Arial"/>
          <w:sz w:val="16"/>
          <w:szCs w:val="16"/>
          <w:b w:val="1"/>
          <w:bCs w:val="1"/>
          <w:color w:val="auto"/>
        </w:rPr>
        <w:t>2051 Ringwood Avenue</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95131</w:t>
      </w:r>
    </w:p>
    <w:p>
      <w:pPr>
        <w:spacing w:after="0" w:line="62" w:lineRule="exact"/>
        <w:rPr>
          <w:sz w:val="24"/>
          <w:szCs w:val="24"/>
          <w:color w:val="auto"/>
        </w:rPr>
      </w:pPr>
    </w:p>
    <w:p>
      <w:pPr>
        <w:sectPr>
          <w:pgSz w:w="11900" w:h="16838" w:orient="portrait"/>
          <w:cols w:equalWidth="0" w:num="2">
            <w:col w:w="7400" w:space="720"/>
            <w:col w:w="2900"/>
          </w:cols>
          <w:pgMar w:left="440" w:top="368" w:right="43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280" w:space="720"/>
            <w:col w:w="302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(408) 457-3700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56" w:lineRule="auto"/>
        <w:tabs>
          <w:tab w:leader="none" w:pos="9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RANI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ind w:left="88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167640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right="1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January 2, 2022, upon the recommendation of its Nominating and Corporate Governance Committee, the board of directors (the “Board”) of Rani Therapeutics Holdings, Inc. (the “Company”) elected Lisa Rometty as a director of the Company, effective January 3, 2022, with a term expiring at the Company’s next annual meeting of stockholders.</w:t>
      </w:r>
    </w:p>
    <w:p>
      <w:pPr>
        <w:spacing w:after="0" w:line="18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Ms. Rometty will receive compensation as a non-employee director in accordance with the Company’s Non-Employee Director Compensation Policy previously filed as Exhibit 10.11 to the Company’s Registration Statement on Form S-1, as amended, filed with the Securities and Exchange Commission on July 16, 2021. In connection with her election as a director, the Board granted Ms. Rometty nonqualified stock options (the “Options”) to purchase 49,037 shares of the Company’s Class A common stock with an exercise price of $17.00 per share, which is equal to the closing price of the Company’s Class A common stock on January 3, 2022. The Options were issued under the Company’s 2021 equity incentive plan and will vest and become exercisable over a three-year period following the date of the grant, with one-third of the shares underlying the Options vesting on the first anniversary of the grant date and 1/36th of the shares underlying the Options vesting in equal monthly installments thereafter, subject to Ms. Rometty’s continuous service as of each such date.</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is no arrangement or understanding between Ms. Rometty and any other persons pursuant to which she was elected as a director. The Company is not aware of any transaction involving Ms. Rometty requiring disclosure under Item 404(a) of Regulation S-K.</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will enter into its standard form of indemnification agreement (the “Indemnity Agreement”) with Ms. Rometty. The Indemnity Agreement provides, among other things, that the Company will indemnify Ms. Rometty, under the circumstances and to the extent provided therein, for certain expenses which she may be required to pay in connection with certain claims to which she may be made a party by reason of her service to the Company as a director and otherwise to the fullest extent under applicable law. The foregoing is only a brief description of the terms of the indemnification arrangement with Ms. Rometty, does not purport to be complete and is qualified in its entirety by reference to the form of Indemnification Agreement, previously filed as Exhibit 10.4 to the Company’s Registration Statement on Form S-1, as amended, filed with the Securities and Exchange Commission on July 9, 2021.</w:t>
      </w:r>
    </w:p>
    <w:p>
      <w:pPr>
        <w:sectPr>
          <w:pgSz w:w="11900" w:h="16838" w:orient="portrait"/>
          <w:cols w:equalWidth="0" w:num="1">
            <w:col w:w="10980"/>
          </w:cols>
          <w:pgMar w:left="440" w:top="297" w:right="47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Rani Therapeutics Holdings,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January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2022-01-05T15:14:13Z</dcterms:created>
  <dcterms:modified xsi:type="dcterms:W3CDTF">2022-01-05T15:14:13Z</dcterms:modified>
</cp:coreProperties>
</file>