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0001644130</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Rani Therapeutics, LLC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CALIFORNIA</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2012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Rani Therapeutics, LLC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2051 RINGWOOD AVENUE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SAN JOSE</w:t>
      </w:r>
      <w:r>
        <w:rPr>
          <w:sz w:val="20"/>
          <w:szCs w:val="20"/>
          <w:color w:val="auto"/>
        </w:rPr>
        <w:tab/>
      </w:r>
      <w:r>
        <w:rPr>
          <w:rFonts w:ascii="Arial" w:cs="Arial" w:eastAsia="Arial" w:hAnsi="Arial"/>
          <w:sz w:val="21"/>
          <w:szCs w:val="21"/>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spacing w:after="0"/>
        <w:rPr>
          <w:sz w:val="20"/>
          <w:szCs w:val="20"/>
          <w:color w:val="auto"/>
        </w:rPr>
      </w:pPr>
      <w:r>
        <w:rPr>
          <w:rFonts w:ascii="Arial" w:cs="Arial" w:eastAsia="Arial" w:hAnsi="Arial"/>
          <w:sz w:val="22"/>
          <w:szCs w:val="22"/>
          <w:color w:val="auto"/>
        </w:rPr>
        <w:t>Corporation</w:t>
      </w:r>
    </w:p>
    <w:p>
      <w:pPr>
        <w:spacing w:after="0" w:line="44" w:lineRule="exact"/>
        <w:rPr>
          <w:sz w:val="24"/>
          <w:szCs w:val="24"/>
          <w:color w:val="auto"/>
        </w:rPr>
      </w:pPr>
    </w:p>
    <w:p>
      <w:pPr>
        <w:ind w:left="2780"/>
        <w:spacing w:after="0"/>
        <w:rPr>
          <w:sz w:val="20"/>
          <w:szCs w:val="20"/>
          <w:color w:val="auto"/>
        </w:rPr>
      </w:pPr>
      <w:r>
        <w:rPr>
          <w:rFonts w:ascii="Arial" w:cs="Arial" w:eastAsia="Arial" w:hAnsi="Arial"/>
          <w:sz w:val="22"/>
          <w:szCs w:val="22"/>
          <w:color w:val="auto"/>
        </w:rPr>
        <w:t>Limited Partnership</w:t>
      </w:r>
    </w:p>
    <w:p>
      <w:pPr>
        <w:spacing w:after="0" w:line="44" w:lineRule="exact"/>
        <w:rPr>
          <w:sz w:val="24"/>
          <w:szCs w:val="24"/>
          <w:color w:val="auto"/>
        </w:rPr>
      </w:pPr>
    </w:p>
    <w:p>
      <w:pPr>
        <w:ind w:left="2780" w:right="1080" w:hanging="281"/>
        <w:spacing w:after="0" w:line="326" w:lineRule="auto"/>
        <w:tabs>
          <w:tab w:leader="none" w:pos="2780" w:val="left"/>
        </w:tabs>
        <w:numPr>
          <w:ilvl w:val="0"/>
          <w:numId w:val="1"/>
        </w:numPr>
        <w:rPr>
          <w:rFonts w:ascii="Arial" w:cs="Arial" w:eastAsia="Arial" w:hAnsi="Arial"/>
          <w:sz w:val="19"/>
          <w:szCs w:val="19"/>
          <w:color w:val="auto"/>
        </w:rPr>
      </w:pPr>
      <w:r>
        <w:rPr>
          <w:rFonts w:ascii="Arial" w:cs="Arial" w:eastAsia="Arial" w:hAnsi="Arial"/>
          <w:sz w:val="19"/>
          <w:szCs w:val="19"/>
          <w:color w:val="auto"/>
        </w:rPr>
        <w:t>Limited Liability Company General Partnership Business Trust</w:t>
      </w:r>
    </w:p>
    <w:p>
      <w:pPr>
        <w:spacing w:after="0" w:line="1" w:lineRule="exact"/>
        <w:rPr>
          <w:rFonts w:ascii="Arial" w:cs="Arial" w:eastAsia="Arial" w:hAnsi="Arial"/>
          <w:sz w:val="19"/>
          <w:szCs w:val="19"/>
          <w:color w:val="auto"/>
        </w:rPr>
      </w:pPr>
    </w:p>
    <w:p>
      <w:pPr>
        <w:ind w:left="2780"/>
        <w:spacing w:after="0"/>
        <w:rPr>
          <w:rFonts w:ascii="Arial" w:cs="Arial" w:eastAsia="Arial" w:hAnsi="Arial"/>
          <w:sz w:val="19"/>
          <w:szCs w:val="19"/>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95131</w:t>
      </w:r>
      <w:r>
        <w:rPr>
          <w:sz w:val="20"/>
          <w:szCs w:val="20"/>
          <w:color w:val="auto"/>
        </w:rPr>
        <w:tab/>
      </w:r>
      <w:r>
        <w:rPr>
          <w:rFonts w:ascii="Arial" w:cs="Arial" w:eastAsia="Arial" w:hAnsi="Arial"/>
          <w:sz w:val="22"/>
          <w:szCs w:val="22"/>
          <w:color w:val="auto"/>
        </w:rPr>
        <w:t>408-457-3712</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Imran</w:t>
            </w:r>
          </w:p>
        </w:tc>
        <w:tc>
          <w:tcPr>
            <w:tcW w:w="1240" w:type="dxa"/>
            <w:vAlign w:val="bottom"/>
          </w:tcPr>
          <w:p>
            <w:pPr>
              <w:ind w:left="500"/>
              <w:spacing w:after="0"/>
              <w:rPr>
                <w:sz w:val="20"/>
                <w:szCs w:val="20"/>
                <w:color w:val="auto"/>
              </w:rPr>
            </w:pPr>
            <w:r>
              <w:rPr>
                <w:rFonts w:ascii="Arial" w:cs="Arial" w:eastAsia="Arial" w:hAnsi="Arial"/>
                <w:sz w:val="22"/>
                <w:szCs w:val="22"/>
                <w:color w:val="auto"/>
              </w:rPr>
              <w:t>Mir</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c/o Rani Therapeutics, LLC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2051 Ringwood Avenue</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San Jose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95131</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Hashim</w:t>
            </w:r>
          </w:p>
        </w:tc>
        <w:tc>
          <w:tcPr>
            <w:tcW w:w="1240" w:type="dxa"/>
            <w:vAlign w:val="bottom"/>
          </w:tcPr>
          <w:p>
            <w:pPr>
              <w:ind w:left="500"/>
              <w:spacing w:after="0"/>
              <w:rPr>
                <w:sz w:val="20"/>
                <w:szCs w:val="20"/>
                <w:color w:val="auto"/>
              </w:rPr>
            </w:pPr>
            <w:r>
              <w:rPr>
                <w:rFonts w:ascii="Arial" w:cs="Arial" w:eastAsia="Arial" w:hAnsi="Arial"/>
                <w:sz w:val="22"/>
                <w:szCs w:val="22"/>
                <w:color w:val="auto"/>
              </w:rPr>
              <w:t>Mir</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c/o Rani Therapeutics, LLC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2051 Ringwood Avenue</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San Jose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95131</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Farquharson</w:t>
      </w:r>
      <w:r>
        <w:rPr>
          <w:sz w:val="20"/>
          <w:szCs w:val="20"/>
          <w:color w:val="auto"/>
        </w:rPr>
        <w:tab/>
      </w:r>
      <w:r>
        <w:rPr>
          <w:rFonts w:ascii="Arial" w:cs="Arial" w:eastAsia="Arial" w:hAnsi="Arial"/>
          <w:sz w:val="22"/>
          <w:szCs w:val="22"/>
          <w:color w:val="auto"/>
        </w:rPr>
        <w:t>Andrew</w:t>
      </w:r>
    </w:p>
    <w:p>
      <w:pPr>
        <w:spacing w:after="0" w:line="38" w:lineRule="exact"/>
        <w:rPr>
          <w:sz w:val="20"/>
          <w:szCs w:val="20"/>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c/o Rani Therapeutics, LLC</w:t>
      </w:r>
      <w:r>
        <w:rPr>
          <w:sz w:val="20"/>
          <w:szCs w:val="20"/>
          <w:color w:val="auto"/>
        </w:rPr>
        <w:tab/>
      </w:r>
      <w:r>
        <w:rPr>
          <w:rFonts w:ascii="Arial" w:cs="Arial" w:eastAsia="Arial" w:hAnsi="Arial"/>
          <w:sz w:val="19"/>
          <w:szCs w:val="19"/>
          <w:color w:val="auto"/>
        </w:rPr>
        <w:t>2051 Ringwood Avenue</w:t>
      </w:r>
    </w:p>
    <w:p>
      <w:pPr>
        <w:spacing w:after="0" w:line="38" w:lineRule="exact"/>
        <w:rPr>
          <w:sz w:val="20"/>
          <w:szCs w:val="20"/>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San Jose</w:t>
      </w:r>
      <w:r>
        <w:rPr>
          <w:sz w:val="20"/>
          <w:szCs w:val="20"/>
          <w:color w:val="auto"/>
        </w:rPr>
        <w:tab/>
      </w:r>
      <w:r>
        <w:rPr>
          <w:rFonts w:ascii="Arial" w:cs="Arial" w:eastAsia="Arial" w:hAnsi="Arial"/>
          <w:sz w:val="22"/>
          <w:szCs w:val="22"/>
          <w:color w:val="auto"/>
        </w:rPr>
        <w:t>CALIFORNIA</w:t>
      </w:r>
      <w:r>
        <w:rPr>
          <w:sz w:val="20"/>
          <w:szCs w:val="20"/>
          <w:color w:val="auto"/>
        </w:rPr>
        <w:tab/>
      </w:r>
      <w:r>
        <w:rPr>
          <w:rFonts w:ascii="Arial" w:cs="Arial" w:eastAsia="Arial" w:hAnsi="Arial"/>
          <w:sz w:val="19"/>
          <w:szCs w:val="19"/>
          <w:color w:val="auto"/>
        </w:rPr>
        <w:t>95131</w:t>
      </w:r>
    </w:p>
    <w:p>
      <w:pPr>
        <w:spacing w:after="0" w:line="65"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53"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919"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53"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0219"/>
          </w:cols>
          <w:pgMar w:left="240" w:top="153" w:right="1440" w:bottom="0" w:gutter="0" w:footer="0" w:header="0"/>
          <w:type w:val="continuous"/>
        </w:sectPr>
      </w:pPr>
    </w:p>
    <w:p>
      <w:pPr>
        <w:spacing w:after="0" w:line="3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40"/>
        <w:spacing w:after="0"/>
        <w:tabs>
          <w:tab w:leader="none" w:pos="222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ectPr>
          <w:pgSz w:w="11900" w:h="16838" w:orient="portrait"/>
          <w:cols w:equalWidth="0" w:num="2">
            <w:col w:w="3940" w:space="720"/>
            <w:col w:w="5559"/>
          </w:cols>
          <w:pgMar w:left="240" w:top="153"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2340" w:type="dxa"/>
            <w:vAlign w:val="bottom"/>
          </w:tcPr>
          <w:p>
            <w:pPr>
              <w:ind w:left="140"/>
              <w:spacing w:after="0"/>
              <w:rPr>
                <w:sz w:val="20"/>
                <w:szCs w:val="20"/>
                <w:color w:val="auto"/>
              </w:rPr>
            </w:pPr>
            <w:r>
              <w:rPr>
                <w:rFonts w:ascii="Arial" w:cs="Arial" w:eastAsia="Arial" w:hAnsi="Arial"/>
                <w:sz w:val="22"/>
                <w:szCs w:val="22"/>
                <w:color w:val="auto"/>
              </w:rPr>
              <w:t>X Rule 506(b)</w:t>
            </w:r>
          </w:p>
        </w:tc>
        <w:tc>
          <w:tcPr>
            <w:tcW w:w="1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80" w:type="dxa"/>
            <w:vAlign w:val="bottom"/>
            <w:gridSpan w:val="2"/>
          </w:tcPr>
          <w:p>
            <w:pPr>
              <w:ind w:left="260"/>
              <w:spacing w:after="0"/>
              <w:rPr>
                <w:sz w:val="20"/>
                <w:szCs w:val="20"/>
                <w:color w:val="auto"/>
              </w:rPr>
            </w:pPr>
            <w:r>
              <w:rPr>
                <w:rFonts w:ascii="Arial" w:cs="Arial" w:eastAsia="Arial" w:hAnsi="Arial"/>
                <w:sz w:val="22"/>
                <w:szCs w:val="22"/>
                <w:color w:val="auto"/>
              </w:rPr>
              <w:t>Section 3(c)(4)</w:t>
            </w:r>
          </w:p>
        </w:tc>
        <w:tc>
          <w:tcPr>
            <w:tcW w:w="3180" w:type="dxa"/>
            <w:vAlign w:val="bottom"/>
            <w:gridSpan w:val="2"/>
          </w:tcPr>
          <w:p>
            <w:pPr>
              <w:ind w:left="16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360"/>
              <w:spacing w:after="0"/>
              <w:rPr>
                <w:sz w:val="20"/>
                <w:szCs w:val="20"/>
                <w:color w:val="auto"/>
              </w:rPr>
            </w:pPr>
            <w:r>
              <w:rPr>
                <w:rFonts w:ascii="Arial" w:cs="Arial" w:eastAsia="Arial" w:hAnsi="Arial"/>
                <w:sz w:val="22"/>
                <w:szCs w:val="22"/>
                <w:color w:val="auto"/>
              </w:rPr>
              <w:t>Rule 506(c)</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2"/>
            <w:vMerge w:val="restart"/>
          </w:tcPr>
          <w:p>
            <w:pPr>
              <w:ind w:left="260"/>
              <w:spacing w:after="0"/>
              <w:rPr>
                <w:sz w:val="20"/>
                <w:szCs w:val="20"/>
                <w:color w:val="auto"/>
              </w:rPr>
            </w:pPr>
            <w:r>
              <w:rPr>
                <w:rFonts w:ascii="Arial" w:cs="Arial" w:eastAsia="Arial" w:hAnsi="Arial"/>
                <w:sz w:val="22"/>
                <w:szCs w:val="22"/>
                <w:color w:val="auto"/>
              </w:rPr>
              <w:t>Section 3(c)(5)</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100" w:type="dxa"/>
            <w:vAlign w:val="bottom"/>
            <w:gridSpan w:val="2"/>
            <w:vMerge w:val="restart"/>
          </w:tcPr>
          <w:p>
            <w:pPr>
              <w:ind w:left="360"/>
              <w:spacing w:after="0"/>
              <w:rPr>
                <w:sz w:val="20"/>
                <w:szCs w:val="20"/>
                <w:color w:val="auto"/>
              </w:rPr>
            </w:pPr>
            <w:r>
              <w:rPr>
                <w:rFonts w:ascii="Arial" w:cs="Arial" w:eastAsia="Arial" w:hAnsi="Arial"/>
                <w:sz w:val="22"/>
                <w:szCs w:val="22"/>
                <w:color w:val="auto"/>
              </w:rPr>
              <w:t>Securities Act Section 4(a)(5)</w:t>
            </w:r>
          </w:p>
        </w:tc>
        <w:tc>
          <w:tcPr>
            <w:tcW w:w="340" w:type="dxa"/>
            <w:vAlign w:val="bottom"/>
          </w:tcPr>
          <w:p>
            <w:pPr>
              <w:spacing w:after="0"/>
              <w:rPr>
                <w:sz w:val="7"/>
                <w:szCs w:val="7"/>
                <w:color w:val="auto"/>
              </w:rPr>
            </w:pPr>
          </w:p>
        </w:tc>
        <w:tc>
          <w:tcPr>
            <w:tcW w:w="2280" w:type="dxa"/>
            <w:vAlign w:val="bottom"/>
            <w:gridSpan w:val="2"/>
            <w:vMerge w:val="continue"/>
          </w:tcPr>
          <w:p>
            <w:pPr>
              <w:spacing w:after="0"/>
              <w:rPr>
                <w:sz w:val="7"/>
                <w:szCs w:val="7"/>
                <w:color w:val="auto"/>
              </w:rPr>
            </w:pPr>
          </w:p>
        </w:tc>
        <w:tc>
          <w:tcPr>
            <w:tcW w:w="3180" w:type="dxa"/>
            <w:vAlign w:val="bottom"/>
            <w:gridSpan w:val="2"/>
            <w:vMerge w:val="continue"/>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1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gridSpan w:val="2"/>
            <w:vMerge w:val="restart"/>
          </w:tcPr>
          <w:p>
            <w:pPr>
              <w:ind w:left="260"/>
              <w:spacing w:after="0"/>
              <w:rPr>
                <w:sz w:val="20"/>
                <w:szCs w:val="20"/>
                <w:color w:val="auto"/>
              </w:rPr>
            </w:pPr>
            <w:r>
              <w:rPr>
                <w:rFonts w:ascii="Arial" w:cs="Arial" w:eastAsia="Arial" w:hAnsi="Arial"/>
                <w:sz w:val="22"/>
                <w:szCs w:val="22"/>
                <w:color w:val="auto"/>
              </w:rPr>
              <w:t>Section 3(c)(6)</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3180" w:type="dxa"/>
            <w:vAlign w:val="bottom"/>
            <w:gridSpan w:val="2"/>
            <w:vMerge w:val="continue"/>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2"/>
          </w:tcPr>
          <w:p>
            <w:pPr>
              <w:ind w:left="200"/>
              <w:spacing w:after="0"/>
              <w:rPr>
                <w:sz w:val="20"/>
                <w:szCs w:val="20"/>
                <w:color w:val="auto"/>
              </w:rPr>
            </w:pPr>
            <w:r>
              <w:rPr>
                <w:rFonts w:ascii="Arial" w:cs="Arial" w:eastAsia="Arial" w:hAnsi="Arial"/>
                <w:sz w:val="22"/>
                <w:szCs w:val="22"/>
                <w:color w:val="auto"/>
              </w:rPr>
              <w:t>Section 3(c)(7)</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340" w:type="dxa"/>
            <w:vAlign w:val="bottom"/>
          </w:tcPr>
          <w:p>
            <w:pPr>
              <w:spacing w:after="0"/>
              <w:rPr>
                <w:sz w:val="20"/>
                <w:szCs w:val="20"/>
                <w:color w:val="auto"/>
              </w:rPr>
            </w:pPr>
            <w:r>
              <w:rPr>
                <w:rFonts w:ascii="Arial" w:cs="Arial" w:eastAsia="Arial" w:hAnsi="Arial"/>
                <w:sz w:val="22"/>
                <w:szCs w:val="22"/>
                <w:color w:val="auto"/>
              </w:rPr>
              <w:t>7. Type of Filing</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00" w:type="dxa"/>
            <w:vAlign w:val="bottom"/>
            <w:gridSpan w:val="2"/>
          </w:tcPr>
          <w:p>
            <w:pPr>
              <w:ind w:left="40"/>
              <w:spacing w:after="0"/>
              <w:rPr>
                <w:sz w:val="20"/>
                <w:szCs w:val="20"/>
                <w:color w:val="auto"/>
              </w:rPr>
            </w:pPr>
            <w:r>
              <w:rPr>
                <w:rFonts w:ascii="Arial" w:cs="Arial" w:eastAsia="Arial" w:hAnsi="Arial"/>
                <w:sz w:val="22"/>
                <w:szCs w:val="22"/>
                <w:color w:val="auto"/>
                <w:w w:val="93"/>
              </w:rPr>
              <w:t>X New Notice  Date of First Sale 2015-05-21</w:t>
            </w:r>
          </w:p>
        </w:tc>
        <w:tc>
          <w:tcPr>
            <w:tcW w:w="2620" w:type="dxa"/>
            <w:vAlign w:val="bottom"/>
            <w:gridSpan w:val="3"/>
          </w:tcPr>
          <w:p>
            <w:pPr>
              <w:ind w:left="220"/>
              <w:spacing w:after="0"/>
              <w:rPr>
                <w:sz w:val="20"/>
                <w:szCs w:val="20"/>
                <w:color w:val="auto"/>
              </w:rPr>
            </w:pPr>
            <w:r>
              <w:rPr>
                <w:rFonts w:ascii="Arial" w:cs="Arial" w:eastAsia="Arial" w:hAnsi="Arial"/>
                <w:sz w:val="22"/>
                <w:szCs w:val="22"/>
                <w:color w:val="auto"/>
              </w:rPr>
              <w:t>First Sale Yet to Occur</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ind w:left="40"/>
              <w:spacing w:after="0"/>
              <w:rPr>
                <w:sz w:val="20"/>
                <w:szCs w:val="20"/>
                <w:color w:val="auto"/>
              </w:rPr>
            </w:pPr>
            <w:r>
              <w:rPr>
                <w:rFonts w:ascii="Arial" w:cs="Arial" w:eastAsia="Arial" w:hAnsi="Arial"/>
                <w:sz w:val="22"/>
                <w:szCs w:val="22"/>
                <w:color w:val="auto"/>
              </w:rPr>
              <w:t>X Equity</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Debt</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34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0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6"/>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0"/>
                <w:szCs w:val="20"/>
                <w:color w:val="auto"/>
              </w:rPr>
            </w:pPr>
            <w:r>
              <w:rPr>
                <w:rFonts w:ascii="Arial" w:cs="Arial" w:eastAsia="Arial" w:hAnsi="Arial"/>
                <w:sz w:val="22"/>
                <w:szCs w:val="22"/>
                <w:color w:val="auto"/>
                <w:w w:val="96"/>
              </w:rPr>
              <w:t>11. Minimum Investment</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$1 USD</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w w:val="96"/>
              </w:rPr>
              <w:t>12. Sales Compensation</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80" w:type="dxa"/>
            <w:vAlign w:val="bottom"/>
            <w:gridSpan w:val="3"/>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0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40" w:type="dxa"/>
            <w:vAlign w:val="bottom"/>
          </w:tcPr>
          <w:p>
            <w:pPr>
              <w:spacing w:after="0"/>
              <w:rPr>
                <w:sz w:val="24"/>
                <w:szCs w:val="24"/>
                <w:color w:val="auto"/>
              </w:rPr>
            </w:pPr>
          </w:p>
        </w:tc>
        <w:tc>
          <w:tcPr>
            <w:tcW w:w="5460" w:type="dxa"/>
            <w:vAlign w:val="bottom"/>
            <w:gridSpan w:val="4"/>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0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City</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80" w:type="dxa"/>
            <w:vAlign w:val="bottom"/>
            <w:gridSpan w:val="3"/>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00" w:type="dxa"/>
            <w:vAlign w:val="bottom"/>
            <w:gridSpan w:val="2"/>
          </w:tcPr>
          <w:p>
            <w:pPr>
              <w:ind w:left="80"/>
              <w:spacing w:after="0"/>
              <w:rPr>
                <w:sz w:val="20"/>
                <w:szCs w:val="20"/>
                <w:color w:val="auto"/>
              </w:rPr>
            </w:pPr>
            <w:r>
              <w:rPr>
                <w:rFonts w:ascii="Arial" w:cs="Arial" w:eastAsia="Arial" w:hAnsi="Arial"/>
                <w:sz w:val="22"/>
                <w:szCs w:val="22"/>
                <w:color w:val="auto"/>
                <w:w w:val="94"/>
              </w:rPr>
              <w:t>State(s) of Solicitation (select all that apply)</w:t>
            </w:r>
          </w:p>
        </w:tc>
        <w:tc>
          <w:tcPr>
            <w:tcW w:w="4020" w:type="dxa"/>
            <w:vAlign w:val="bottom"/>
            <w:gridSpan w:val="4"/>
            <w:vMerge w:val="restart"/>
          </w:tcPr>
          <w:p>
            <w:pPr>
              <w:ind w:left="14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80"/>
              <w:spacing w:after="0"/>
              <w:rPr>
                <w:sz w:val="20"/>
                <w:szCs w:val="20"/>
                <w:color w:val="auto"/>
              </w:rPr>
            </w:pPr>
            <w:r>
              <w:rPr>
                <w:rFonts w:ascii="Arial" w:cs="Arial" w:eastAsia="Arial" w:hAnsi="Arial"/>
                <w:sz w:val="22"/>
                <w:szCs w:val="22"/>
                <w:color w:val="auto"/>
                <w:w w:val="92"/>
              </w:rPr>
              <w:t>Check “All States” or check individual States</w:t>
            </w:r>
          </w:p>
        </w:tc>
        <w:tc>
          <w:tcPr>
            <w:tcW w:w="4020" w:type="dxa"/>
            <w:vAlign w:val="bottom"/>
            <w:gridSpan w:val="4"/>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0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2100" w:type="dxa"/>
            <w:vAlign w:val="bottom"/>
            <w:gridSpan w:val="2"/>
          </w:tcPr>
          <w:p>
            <w:pPr>
              <w:ind w:left="140"/>
              <w:spacing w:after="0"/>
              <w:rPr>
                <w:sz w:val="20"/>
                <w:szCs w:val="20"/>
                <w:color w:val="auto"/>
              </w:rPr>
            </w:pPr>
            <w:r>
              <w:rPr>
                <w:rFonts w:ascii="Arial" w:cs="Arial" w:eastAsia="Arial" w:hAnsi="Arial"/>
                <w:sz w:val="22"/>
                <w:szCs w:val="22"/>
                <w:color w:val="auto"/>
                <w:w w:val="96"/>
              </w:rPr>
              <w:t>$52,272,000 USD or</w:t>
            </w:r>
          </w:p>
        </w:tc>
        <w:tc>
          <w:tcPr>
            <w:tcW w:w="13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760" w:type="dxa"/>
            <w:vAlign w:val="bottom"/>
          </w:tcPr>
          <w:p>
            <w:pPr>
              <w:ind w:left="140"/>
              <w:spacing w:after="0"/>
              <w:rPr>
                <w:sz w:val="20"/>
                <w:szCs w:val="20"/>
                <w:color w:val="auto"/>
              </w:rPr>
            </w:pPr>
            <w:r>
              <w:rPr>
                <w:rFonts w:ascii="Arial" w:cs="Arial" w:eastAsia="Arial" w:hAnsi="Arial"/>
                <w:sz w:val="22"/>
                <w:szCs w:val="22"/>
                <w:color w:val="auto"/>
                <w:w w:val="91"/>
              </w:rPr>
              <w:t>$15,486,363 USD</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00" w:type="dxa"/>
            <w:vAlign w:val="bottom"/>
            <w:gridSpan w:val="2"/>
          </w:tcPr>
          <w:p>
            <w:pPr>
              <w:ind w:left="40"/>
              <w:spacing w:after="0"/>
              <w:rPr>
                <w:sz w:val="20"/>
                <w:szCs w:val="20"/>
                <w:color w:val="auto"/>
              </w:rPr>
            </w:pPr>
            <w:r>
              <w:rPr>
                <w:rFonts w:ascii="Arial" w:cs="Arial" w:eastAsia="Arial" w:hAnsi="Arial"/>
                <w:sz w:val="22"/>
                <w:szCs w:val="22"/>
                <w:color w:val="auto"/>
                <w:w w:val="90"/>
              </w:rPr>
              <w:t>Total Remaining to be Sold $36,785,637 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13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ectPr>
          <w:pgSz w:w="11900" w:h="16838" w:orient="portrait"/>
          <w:cols w:equalWidth="0" w:num="1">
            <w:col w:w="11380"/>
          </w:cols>
          <w:pgMar w:left="240" w:top="118" w:right="279" w:bottom="250" w:gutter="0" w:footer="0" w:header="0"/>
        </w:sectPr>
      </w:pPr>
    </w:p>
    <w:bookmarkStart w:id="3" w:name="page4"/>
    <w:bookmarkEnd w:id="3"/>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975" w:gutter="0" w:footer="0" w:header="0"/>
        </w:sect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975"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975"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580" w:type="dxa"/>
            <w:vAlign w:val="bottom"/>
            <w:tcBorders>
              <w:top w:val="single" w:sz="8" w:color="2C2C2C"/>
              <w:bottom w:val="single" w:sz="8" w:color="808080"/>
            </w:tcBorders>
          </w:tcPr>
          <w:p>
            <w:pPr>
              <w:ind w:left="15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000" w:type="dxa"/>
            <w:vAlign w:val="bottom"/>
            <w:tcBorders>
              <w:top w:val="single" w:sz="8" w:color="2C2C2C"/>
              <w:bottom w:val="single" w:sz="8" w:color="808080"/>
            </w:tcBorders>
          </w:tcPr>
          <w:p>
            <w:pPr>
              <w:ind w:left="56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460" w:type="dxa"/>
            <w:vAlign w:val="bottom"/>
            <w:tcBorders>
              <w:top w:val="single" w:sz="8" w:color="2C2C2C"/>
              <w:bottom w:val="single" w:sz="8" w:color="808080"/>
            </w:tcBorders>
          </w:tcPr>
          <w:p>
            <w:pPr>
              <w:ind w:left="52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1420" w:type="dxa"/>
            <w:vAlign w:val="bottom"/>
            <w:tcBorders>
              <w:top w:val="single" w:sz="8" w:color="2C2C2C"/>
              <w:bottom w:val="single" w:sz="8" w:color="808080"/>
            </w:tcBorders>
          </w:tcPr>
          <w:p>
            <w:pPr>
              <w:ind w:left="50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760" w:type="dxa"/>
            <w:vAlign w:val="bottom"/>
            <w:tcBorders>
              <w:top w:val="single" w:sz="8" w:color="2C2C2C"/>
              <w:bottom w:val="single" w:sz="8" w:color="808080"/>
            </w:tcBorders>
          </w:tcPr>
          <w:p>
            <w:pPr>
              <w:jc w:val="right"/>
              <w:ind w:right="5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Rani Therapeutics, LLC</w:t>
            </w:r>
          </w:p>
        </w:tc>
        <w:tc>
          <w:tcPr>
            <w:tcW w:w="20" w:type="dxa"/>
            <w:vAlign w:val="bottom"/>
          </w:tcPr>
          <w:p>
            <w:pPr>
              <w:spacing w:after="0"/>
              <w:rPr>
                <w:sz w:val="22"/>
                <w:szCs w:val="22"/>
                <w:color w:val="auto"/>
              </w:rPr>
            </w:pPr>
          </w:p>
        </w:tc>
        <w:tc>
          <w:tcPr>
            <w:tcW w:w="20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Mir Imran</w:t>
            </w:r>
          </w:p>
        </w:tc>
        <w:tc>
          <w:tcPr>
            <w:tcW w:w="20" w:type="dxa"/>
            <w:vAlign w:val="bottom"/>
          </w:tcPr>
          <w:p>
            <w:pPr>
              <w:spacing w:after="0"/>
              <w:rPr>
                <w:sz w:val="22"/>
                <w:szCs w:val="22"/>
                <w:color w:val="auto"/>
              </w:rPr>
            </w:pPr>
          </w:p>
        </w:tc>
        <w:tc>
          <w:tcPr>
            <w:tcW w:w="24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Mir Imran</w:t>
            </w:r>
          </w:p>
        </w:tc>
        <w:tc>
          <w:tcPr>
            <w:tcW w:w="40" w:type="dxa"/>
            <w:vAlign w:val="bottom"/>
          </w:tcPr>
          <w:p>
            <w:pPr>
              <w:spacing w:after="0"/>
              <w:rPr>
                <w:sz w:val="22"/>
                <w:szCs w:val="22"/>
                <w:color w:val="auto"/>
              </w:rPr>
            </w:pPr>
          </w:p>
        </w:tc>
        <w:tc>
          <w:tcPr>
            <w:tcW w:w="14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President</w:t>
            </w:r>
          </w:p>
        </w:tc>
        <w:tc>
          <w:tcPr>
            <w:tcW w:w="40" w:type="dxa"/>
            <w:vAlign w:val="bottom"/>
          </w:tcPr>
          <w:p>
            <w:pPr>
              <w:spacing w:after="0"/>
              <w:rPr>
                <w:sz w:val="22"/>
                <w:szCs w:val="22"/>
                <w:color w:val="auto"/>
              </w:rPr>
            </w:pPr>
          </w:p>
        </w:tc>
        <w:tc>
          <w:tcPr>
            <w:tcW w:w="1760" w:type="dxa"/>
            <w:vAlign w:val="bottom"/>
            <w:tcBorders>
              <w:top w:val="single" w:sz="8" w:color="2C2C2C"/>
              <w:bottom w:val="single" w:sz="8" w:color="808080"/>
            </w:tcBorders>
          </w:tcPr>
          <w:p>
            <w:pPr>
              <w:jc w:val="right"/>
              <w:ind w:right="632"/>
              <w:spacing w:after="0"/>
              <w:rPr>
                <w:sz w:val="20"/>
                <w:szCs w:val="20"/>
                <w:color w:val="auto"/>
              </w:rPr>
            </w:pPr>
            <w:r>
              <w:rPr>
                <w:rFonts w:ascii="Arial" w:cs="Arial" w:eastAsia="Arial" w:hAnsi="Arial"/>
                <w:sz w:val="22"/>
                <w:szCs w:val="22"/>
                <w:color w:val="auto"/>
                <w:w w:val="88"/>
              </w:rPr>
              <w:t>2015-06-03</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5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97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12" Type="http://schemas.openxmlformats.org/officeDocument/2006/relationships/hyperlink" Target="http://www.sec.gov/cgi-bin/browse-edgar?action=getcompany&amp;CIK=00016441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2020-01-23T17:07:37Z</dcterms:created>
  <dcterms:modified xsi:type="dcterms:W3CDTF">2020-01-23T17:07:37Z</dcterms:modified>
</cp:coreProperties>
</file>