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320040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380365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Proxy Statement Pursuant to Section 14(a) of the Securities Exchange Act of 1934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tabs>
          <w:tab w:leader="none" w:pos="140" w:val="left"/>
          <w:tab w:leader="none" w:pos="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(Amendment No. </w:t>
        <w:tab/>
        <w:t> 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3408680</wp:posOffset>
            </wp:positionH>
            <wp:positionV relativeFrom="paragraph">
              <wp:posOffset>-29210</wp:posOffset>
            </wp:positionV>
            <wp:extent cx="274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651" w:right="1440" w:bottom="1440" w:gutter="0" w:footer="0" w:header="0"/>
        </w:sect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720"/>
            <w:col w:w="5279"/>
          </w:cols>
          <w:pgMar w:left="1080" w:top="651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box:</w:t>
      </w: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Rani Therapeutics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35560</wp:posOffset>
            </wp:positionV>
            <wp:extent cx="617220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281940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 if other than the Registrant)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Payment of Filing Fee (Check all boxes that apply):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96"/>
        <w:spacing w:after="0"/>
        <w:tabs>
          <w:tab w:leader="none" w:pos="4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339090</wp:posOffset>
            </wp:positionV>
            <wp:extent cx="699516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116205</wp:posOffset>
            </wp:positionV>
            <wp:extent cx="61722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175895</wp:posOffset>
            </wp:positionV>
            <wp:extent cx="617220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651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88900</wp:posOffset>
            </wp:positionV>
            <wp:extent cx="6995160" cy="76720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67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7012305" cy="80238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305" cy="802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 </w:t>
      </w:r>
    </w:p>
    <w:sectPr>
      <w:pgSz w:w="11900" w:h="16838" w:orient="portrait"/>
      <w:cols w:equalWidth="0" w:num="1">
        <w:col w:w="10039"/>
      </w:cols>
      <w:pgMar w:left="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2025-04-16T07:06:20Z</dcterms:created>
  <dcterms:modified xsi:type="dcterms:W3CDTF">2025-04-16T07:06:20Z</dcterms:modified>
</cp:coreProperties>
</file>