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200" w:type="dxa"/>
            <w:vAlign w:val="bottom"/>
          </w:tcPr>
          <w:p>
            <w:pPr>
              <w:jc w:val="center"/>
              <w:ind w:right="29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5207635</wp:posOffset>
            </wp:positionH>
            <wp:positionV relativeFrom="paragraph">
              <wp:posOffset>-604520</wp:posOffset>
            </wp:positionV>
            <wp:extent cx="57150" cy="617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-1701800</wp:posOffset>
            </wp:positionH>
            <wp:positionV relativeFrom="paragraph">
              <wp:posOffset>26035</wp:posOffset>
            </wp:positionV>
            <wp:extent cx="7049135" cy="5537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9135" cy="553720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80"/>
            <w:col w:w="8420"/>
          </w:cols>
          <w:pgMar w:left="460" w:top="214"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DEBUONO LAUREEN</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(Last)</w:t>
            </w:r>
          </w:p>
        </w:tc>
        <w:tc>
          <w:tcPr>
            <w:tcW w:w="1060" w:type="dxa"/>
            <w:vAlign w:val="bottom"/>
          </w:tcPr>
          <w:p>
            <w:pPr>
              <w:ind w:left="260"/>
              <w:spacing w:after="0"/>
              <w:rPr>
                <w:sz w:val="20"/>
                <w:szCs w:val="20"/>
                <w:color w:val="auto"/>
              </w:rPr>
            </w:pPr>
            <w:r>
              <w:rPr>
                <w:rFonts w:ascii="Arial" w:cs="Arial" w:eastAsia="Arial" w:hAnsi="Arial"/>
                <w:sz w:val="12"/>
                <w:szCs w:val="12"/>
                <w:color w:val="auto"/>
              </w:rPr>
              <w:t>(First)</w:t>
            </w:r>
          </w:p>
        </w:tc>
        <w:tc>
          <w:tcPr>
            <w:tcW w:w="162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2051 RINGWOOD AVE</w:t>
            </w:r>
          </w:p>
        </w:tc>
        <w:tc>
          <w:tcPr>
            <w:tcW w:w="1620" w:type="dxa"/>
            <w:vAlign w:val="bottom"/>
          </w:tcPr>
          <w:p>
            <w:pPr>
              <w:spacing w:after="0"/>
              <w:rPr>
                <w:sz w:val="22"/>
                <w:szCs w:val="22"/>
                <w:color w:val="auto"/>
              </w:rPr>
            </w:pPr>
          </w:p>
        </w:tc>
      </w:tr>
      <w:tr>
        <w:trPr>
          <w:trHeight w:val="193"/>
        </w:trPr>
        <w:tc>
          <w:tcPr>
            <w:tcW w:w="20" w:type="dxa"/>
            <w:vAlign w:val="bottom"/>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1"/>
        </w:trPr>
        <w:tc>
          <w:tcPr>
            <w:tcW w:w="100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1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JOSE</w:t>
            </w:r>
          </w:p>
        </w:tc>
        <w:tc>
          <w:tcPr>
            <w:tcW w:w="1060" w:type="dxa"/>
            <w:vAlign w:val="bottom"/>
          </w:tcPr>
          <w:p>
            <w:pPr>
              <w:ind w:left="26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95131</w:t>
            </w:r>
          </w:p>
        </w:tc>
      </w:tr>
      <w:tr>
        <w:trPr>
          <w:trHeight w:val="143"/>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2"/>
                <w:szCs w:val="12"/>
                <w:color w:val="auto"/>
              </w:rPr>
              <w:t>(City)</w:t>
            </w:r>
          </w:p>
        </w:tc>
        <w:tc>
          <w:tcPr>
            <w:tcW w:w="1060" w:type="dxa"/>
            <w:vAlign w:val="bottom"/>
          </w:tcPr>
          <w:p>
            <w:pPr>
              <w:ind w:left="26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4"/>
        </w:trPr>
        <w:tc>
          <w:tcPr>
            <w:tcW w:w="3840" w:type="dxa"/>
            <w:vAlign w:val="bottom"/>
            <w:gridSpan w:val="4"/>
          </w:tcPr>
          <w:p>
            <w:pPr>
              <w:ind w:left="60"/>
              <w:spacing w:after="0" w:line="19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Rani Therapeutics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RANI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2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29"/>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2520" w:type="dxa"/>
            <w:vAlign w:val="bottom"/>
            <w:tcBorders>
              <w:top w:val="single" w:sz="8" w:color="0000EE"/>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27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12/16/2023</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3"/>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0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19"/>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3"/>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00" w:type="dxa"/>
            <w:vAlign w:val="bottom"/>
            <w:gridSpan w:val="2"/>
          </w:tcPr>
          <w:p>
            <w:pPr>
              <w:ind w:left="4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7" w:lineRule="exact"/>
        <w:rPr>
          <w:sz w:val="24"/>
          <w:szCs w:val="24"/>
          <w:color w:val="auto"/>
        </w:rPr>
      </w:pPr>
    </w:p>
    <w:p>
      <w:pPr>
        <w:ind w:left="320" w:right="36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ind w:left="860"/>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0"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of Securities</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4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Amount</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or</w:t>
            </w:r>
          </w:p>
        </w:tc>
        <w:tc>
          <w:tcPr>
            <w:tcW w:w="660" w:type="dxa"/>
            <w:vAlign w:val="bottom"/>
          </w:tcPr>
          <w:p>
            <w:pPr>
              <w:spacing w:after="0"/>
              <w:rPr>
                <w:sz w:val="10"/>
                <w:szCs w:val="10"/>
                <w:color w:val="auto"/>
              </w:rPr>
            </w:pPr>
          </w:p>
        </w:tc>
        <w:tc>
          <w:tcPr>
            <w:tcW w:w="9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Number</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4.11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20"/>
              <w:spacing w:after="0"/>
              <w:rPr>
                <w:sz w:val="20"/>
                <w:szCs w:val="20"/>
                <w:color w:val="auto"/>
              </w:rPr>
            </w:pPr>
            <w:r>
              <w:rPr>
                <w:rFonts w:ascii="Times New Roman" w:cs="Times New Roman" w:eastAsia="Times New Roman" w:hAnsi="Times New Roman"/>
                <w:sz w:val="12"/>
                <w:szCs w:val="12"/>
                <w:color w:val="0000FF"/>
                <w:w w:val="97"/>
              </w:rPr>
              <w:t>101,276</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101,276</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63"/>
              <w:spacing w:after="0"/>
              <w:rPr>
                <w:sz w:val="20"/>
                <w:szCs w:val="20"/>
                <w:color w:val="auto"/>
              </w:rPr>
            </w:pPr>
            <w:r>
              <w:rPr>
                <w:rFonts w:ascii="Times New Roman" w:cs="Times New Roman" w:eastAsia="Times New Roman" w:hAnsi="Times New Roman"/>
                <w:sz w:val="12"/>
                <w:szCs w:val="12"/>
                <w:color w:val="0000FF"/>
              </w:rPr>
              <w:t>101,276</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05/24/2033</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101,276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18,875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12"/>
                <w:szCs w:val="12"/>
                <w:color w:val="0000FF"/>
                <w:w w:val="95"/>
              </w:rPr>
              <w:t>117,021</w:t>
            </w:r>
            <w:r>
              <w:rPr>
                <w:rFonts w:ascii="Times New Roman" w:cs="Times New Roman" w:eastAsia="Times New Roman" w:hAnsi="Times New Roman"/>
                <w:sz w:val="20"/>
                <w:szCs w:val="20"/>
                <w:color w:val="008000"/>
                <w:w w:val="95"/>
                <w:vertAlign w:val="superscript"/>
              </w:rPr>
              <w:t>(3)</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9.44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D</w:t>
            </w:r>
          </w:p>
        </w:tc>
        <w:tc>
          <w:tcPr>
            <w:tcW w:w="620" w:type="dxa"/>
            <w:vAlign w:val="bottom"/>
          </w:tcPr>
          <w:p>
            <w:pPr>
              <w:spacing w:after="0"/>
              <w:rPr>
                <w:sz w:val="6"/>
                <w:szCs w:val="6"/>
                <w:color w:val="auto"/>
              </w:rPr>
            </w:pPr>
          </w:p>
        </w:tc>
        <w:tc>
          <w:tcPr>
            <w:tcW w:w="480" w:type="dxa"/>
            <w:vAlign w:val="bottom"/>
            <w:vMerge w:val="restart"/>
          </w:tcPr>
          <w:p>
            <w:pPr>
              <w:jc w:val="right"/>
              <w:ind w:right="40"/>
              <w:spacing w:after="0"/>
              <w:rPr>
                <w:sz w:val="20"/>
                <w:szCs w:val="20"/>
                <w:color w:val="auto"/>
              </w:rPr>
            </w:pPr>
            <w:r>
              <w:rPr>
                <w:rFonts w:ascii="Times New Roman" w:cs="Times New Roman" w:eastAsia="Times New Roman" w:hAnsi="Times New Roman"/>
                <w:sz w:val="12"/>
                <w:szCs w:val="12"/>
                <w:color w:val="0000FF"/>
              </w:rPr>
              <w:t>18,875</w:t>
            </w: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Class A</w:t>
            </w: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Option</w:t>
            </w: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18,875</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(2)</w:t>
            </w:r>
          </w:p>
        </w:tc>
        <w:tc>
          <w:tcPr>
            <w:tcW w:w="9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vMerge w:val="restart"/>
          </w:tcPr>
          <w:p>
            <w:pPr>
              <w:ind w:left="24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2.84</w:t>
            </w:r>
          </w:p>
        </w:tc>
        <w:tc>
          <w:tcPr>
            <w:tcW w:w="10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12/16/2023</w:t>
            </w:r>
          </w:p>
        </w:tc>
        <w:tc>
          <w:tcPr>
            <w:tcW w:w="1040" w:type="dxa"/>
            <w:vAlign w:val="bottom"/>
          </w:tcPr>
          <w:p>
            <w:pPr>
              <w:spacing w:after="0"/>
              <w:rPr>
                <w:sz w:val="6"/>
                <w:szCs w:val="6"/>
                <w:color w:val="auto"/>
              </w:rPr>
            </w:pPr>
          </w:p>
        </w:tc>
        <w:tc>
          <w:tcPr>
            <w:tcW w:w="760" w:type="dxa"/>
            <w:vAlign w:val="bottom"/>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0000FF"/>
              </w:rPr>
              <w:t>A</w:t>
            </w:r>
          </w:p>
        </w:tc>
        <w:tc>
          <w:tcPr>
            <w:tcW w:w="620" w:type="dxa"/>
            <w:vAlign w:val="bottom"/>
            <w:vMerge w:val="restart"/>
          </w:tcPr>
          <w:p>
            <w:pPr>
              <w:jc w:val="right"/>
              <w:ind w:right="103"/>
              <w:spacing w:after="0" w:line="137" w:lineRule="exact"/>
              <w:rPr>
                <w:sz w:val="20"/>
                <w:szCs w:val="20"/>
                <w:color w:val="auto"/>
              </w:rPr>
            </w:pPr>
            <w:r>
              <w:rPr>
                <w:rFonts w:ascii="Times New Roman" w:cs="Times New Roman" w:eastAsia="Times New Roman" w:hAnsi="Times New Roman"/>
                <w:sz w:val="12"/>
                <w:szCs w:val="12"/>
                <w:color w:val="0000FF"/>
              </w:rPr>
              <w:t>18,875</w:t>
            </w: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80"/>
              <w:spacing w:after="0" w:line="137" w:lineRule="exact"/>
              <w:rPr>
                <w:sz w:val="20"/>
                <w:szCs w:val="20"/>
                <w:color w:val="auto"/>
              </w:rPr>
            </w:pPr>
            <w:r>
              <w:rPr>
                <w:rFonts w:ascii="Times New Roman" w:cs="Times New Roman" w:eastAsia="Times New Roman" w:hAnsi="Times New Roman"/>
                <w:sz w:val="12"/>
                <w:szCs w:val="12"/>
                <w:color w:val="0000FF"/>
              </w:rPr>
              <w:t>07/28/2031</w:t>
            </w:r>
          </w:p>
        </w:tc>
        <w:tc>
          <w:tcPr>
            <w:tcW w:w="66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18,875</w:t>
            </w:r>
          </w:p>
        </w:tc>
        <w:tc>
          <w:tcPr>
            <w:tcW w:w="72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660" w:type="dxa"/>
            <w:vAlign w:val="bottom"/>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(Right to</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40" w:right="18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in full on May 25, 2024, subject to the recipient's Continuous Service (as defined in the Issuer's 2021 Equity Incentive Plan) through such vesting date; provided that, if earlier, the shares subject to the option will vest in full upon the occurrence of either of the following events: the Issuer's next annual stockholder meeting or a Change in Control (as defined in the 2021 Equity Incentive Plan).</w:t>
      </w:r>
    </w:p>
    <w:p>
      <w:pPr>
        <w:ind w:left="40" w:right="28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transactions reported herein reflect a one-time stock option repricing (the "Option Repricing") effective on December 16, 2023 (the "Repricing Date"). Pursuant to the Option Repricing, the exercise price of the repriced options has been amended to reduce the exercise price to $2.84 per share, the closing price of the Issuer's Common Stock on the Repricing Date. There is no change to the expiration dates or the vesting schedule of the repriced options.</w:t>
      </w:r>
    </w:p>
    <w:p>
      <w:pPr>
        <w:spacing w:after="0" w:line="13"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remaining shares subject to the option are fully vested and exercisable as of the Repricing Date.</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shares subject to the option vest as follows: 1/3rd of the shares subject to the option vest on April 20, 2022; and 1/36th of the shares subject to the option vest monthly over the following two years.</w:t>
      </w:r>
    </w:p>
    <w:p>
      <w:pPr>
        <w:spacing w:after="0" w:line="64"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Svai Sanford. Attorney-in-Fact</w:t>
            </w:r>
          </w:p>
        </w:tc>
        <w:tc>
          <w:tcPr>
            <w:tcW w:w="200" w:type="dxa"/>
            <w:vAlign w:val="bottom"/>
          </w:tcPr>
          <w:p>
            <w:pPr>
              <w:spacing w:after="0"/>
              <w:rPr>
                <w:sz w:val="16"/>
                <w:szCs w:val="16"/>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12/19/2023</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for Laureen DeBuono</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34447" TargetMode="External"/><Relationship Id="rId13" Type="http://schemas.openxmlformats.org/officeDocument/2006/relationships/hyperlink" Target="http://www.sec.gov/cgi-bin/browse-edgar?action=getcompany&amp;CIK=0001856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2023-12-19T15:14:06Z</dcterms:created>
  <dcterms:modified xsi:type="dcterms:W3CDTF">2023-12-19T15:14:06Z</dcterms:modified>
</cp:coreProperties>
</file>