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201295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3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220980</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7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w:t>
      </w:r>
    </w:p>
    <w:p>
      <w:pPr>
        <w:jc w:val="center"/>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2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Date of Report (Date of earliest event reported):</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November 10,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193040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16"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Rani Therapeutics Holdings,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210185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0"/>
          </w:cols>
          <w:pgMar w:left="440" w:top="368" w:right="439" w:bottom="1440" w:gutter="0" w:footer="0" w:header="0"/>
        </w:sectPr>
      </w:pPr>
    </w:p>
    <w:p>
      <w:pPr>
        <w:spacing w:after="0" w:line="200" w:lineRule="exact"/>
        <w:rPr>
          <w:sz w:val="24"/>
          <w:szCs w:val="24"/>
          <w:color w:val="auto"/>
        </w:rPr>
      </w:pPr>
    </w:p>
    <w:p>
      <w:pPr>
        <w:spacing w:after="0" w:line="356" w:lineRule="exact"/>
        <w:rPr>
          <w:sz w:val="24"/>
          <w:szCs w:val="24"/>
          <w:color w:val="auto"/>
        </w:rPr>
      </w:pPr>
    </w:p>
    <w:p>
      <w:pPr>
        <w:ind w:left="150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36"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001-40672</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36"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86-3114789</w:t>
      </w:r>
    </w:p>
    <w:p>
      <w:pPr>
        <w:spacing w:after="0" w:line="31" w:lineRule="exact"/>
        <w:rPr>
          <w:sz w:val="24"/>
          <w:szCs w:val="24"/>
          <w:color w:val="auto"/>
        </w:rPr>
      </w:pPr>
    </w:p>
    <w:p>
      <w:pPr>
        <w:sectPr>
          <w:pgSz w:w="11900" w:h="16838" w:orient="portrait"/>
          <w:cols w:equalWidth="0" w:num="3">
            <w:col w:w="4500" w:space="720"/>
            <w:col w:w="2880" w:space="720"/>
            <w:col w:w="2200"/>
          </w:cols>
          <w:pgMar w:left="440" w:top="368" w:right="439" w:bottom="1440" w:gutter="0" w:footer="0" w:header="0"/>
          <w:type w:val="continuous"/>
        </w:sectPr>
      </w:pPr>
    </w:p>
    <w:p>
      <w:pPr>
        <w:spacing w:after="0" w:line="12" w:lineRule="exact"/>
        <w:rPr>
          <w:sz w:val="24"/>
          <w:szCs w:val="24"/>
          <w:color w:val="auto"/>
        </w:rPr>
      </w:pPr>
    </w:p>
    <w:p>
      <w:pPr>
        <w:jc w:val="center"/>
        <w:ind w:right="760"/>
        <w:spacing w:after="0"/>
        <w:rPr>
          <w:sz w:val="20"/>
          <w:szCs w:val="20"/>
          <w:color w:val="auto"/>
        </w:rPr>
      </w:pPr>
      <w:r>
        <w:rPr>
          <w:rFonts w:ascii="Arial" w:cs="Arial" w:eastAsia="Arial" w:hAnsi="Arial"/>
          <w:sz w:val="13"/>
          <w:szCs w:val="13"/>
          <w:b w:val="1"/>
          <w:bCs w:val="1"/>
          <w:color w:val="auto"/>
        </w:rPr>
        <w:t>(State or other jurisdiction</w:t>
      </w:r>
    </w:p>
    <w:p>
      <w:pPr>
        <w:jc w:val="center"/>
        <w:ind w:right="76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189" w:lineRule="exact"/>
        <w:rPr>
          <w:sz w:val="24"/>
          <w:szCs w:val="24"/>
          <w:color w:val="auto"/>
        </w:rPr>
      </w:pPr>
    </w:p>
    <w:p>
      <w:pPr>
        <w:sectPr>
          <w:pgSz w:w="11900" w:h="16838" w:orient="portrait"/>
          <w:cols w:equalWidth="0" w:num="3">
            <w:col w:w="4480" w:space="720"/>
            <w:col w:w="2760" w:space="720"/>
            <w:col w:w="2340"/>
          </w:cols>
          <w:pgMar w:left="440" w:top="368" w:right="439" w:bottom="1440" w:gutter="0" w:footer="0" w:header="0"/>
          <w:type w:val="continuous"/>
        </w:sectPr>
      </w:pPr>
    </w:p>
    <w:p>
      <w:pPr>
        <w:jc w:val="center"/>
        <w:ind w:right="1840"/>
        <w:spacing w:after="0"/>
        <w:rPr>
          <w:sz w:val="20"/>
          <w:szCs w:val="20"/>
          <w:color w:val="auto"/>
        </w:rPr>
      </w:pPr>
      <w:r>
        <w:rPr>
          <w:rFonts w:ascii="Arial" w:cs="Arial" w:eastAsia="Arial" w:hAnsi="Arial"/>
          <w:sz w:val="16"/>
          <w:szCs w:val="16"/>
          <w:b w:val="1"/>
          <w:bCs w:val="1"/>
          <w:color w:val="auto"/>
        </w:rPr>
        <w:t>2051 Ringwood Avenue</w:t>
      </w:r>
    </w:p>
    <w:p>
      <w:pPr>
        <w:spacing w:after="0" w:line="50" w:lineRule="exact"/>
        <w:rPr>
          <w:sz w:val="24"/>
          <w:szCs w:val="24"/>
          <w:color w:val="auto"/>
        </w:rPr>
      </w:pPr>
    </w:p>
    <w:p>
      <w:pPr>
        <w:jc w:val="center"/>
        <w:ind w:right="1840"/>
        <w:spacing w:after="0"/>
        <w:rPr>
          <w:sz w:val="20"/>
          <w:szCs w:val="20"/>
          <w:color w:val="auto"/>
        </w:rPr>
      </w:pPr>
      <w:r>
        <w:rPr>
          <w:rFonts w:ascii="Arial" w:cs="Arial" w:eastAsia="Arial" w:hAnsi="Arial"/>
          <w:sz w:val="18"/>
          <w:szCs w:val="18"/>
          <w:b w:val="1"/>
          <w:bCs w:val="1"/>
          <w:color w:val="auto"/>
        </w:rPr>
        <w:t>San Jose, California</w:t>
      </w:r>
    </w:p>
    <w:p>
      <w:pPr>
        <w:spacing w:after="0" w:line="20" w:lineRule="exact"/>
        <w:rPr>
          <w:sz w:val="24"/>
          <w:szCs w:val="24"/>
          <w:color w:val="auto"/>
        </w:rPr>
      </w:pPr>
      <w:r>
        <w:rPr>
          <w:sz w:val="24"/>
          <w:szCs w:val="24"/>
          <w:color w:val="auto"/>
        </w:rPr>
        <w:br w:type="column"/>
      </w:r>
    </w:p>
    <w:p>
      <w:pPr>
        <w:spacing w:after="0" w:line="196"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95131</w:t>
      </w:r>
    </w:p>
    <w:p>
      <w:pPr>
        <w:spacing w:after="0" w:line="61" w:lineRule="exact"/>
        <w:rPr>
          <w:sz w:val="24"/>
          <w:szCs w:val="24"/>
          <w:color w:val="auto"/>
        </w:rPr>
      </w:pPr>
    </w:p>
    <w:p>
      <w:pPr>
        <w:sectPr>
          <w:pgSz w:w="11900" w:h="16838" w:orient="portrait"/>
          <w:cols w:equalWidth="0" w:num="2">
            <w:col w:w="7400" w:space="720"/>
            <w:col w:w="2900"/>
          </w:cols>
          <w:pgMar w:left="440" w:top="368" w:right="439" w:bottom="1440" w:gutter="0" w:footer="0" w:header="0"/>
          <w:type w:val="continuous"/>
        </w:sectPr>
      </w:pPr>
    </w:p>
    <w:p>
      <w:pPr>
        <w:ind w:left="158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43" w:lineRule="exact"/>
        <w:rPr>
          <w:sz w:val="24"/>
          <w:szCs w:val="24"/>
          <w:color w:val="auto"/>
        </w:rPr>
      </w:pPr>
    </w:p>
    <w:p>
      <w:pPr>
        <w:sectPr>
          <w:pgSz w:w="11900" w:h="16838" w:orient="portrait"/>
          <w:cols w:equalWidth="0" w:num="2">
            <w:col w:w="7280" w:space="720"/>
            <w:col w:w="3020"/>
          </w:cols>
          <w:pgMar w:left="440" w:top="368" w:right="4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(408) 457-3700</w:t>
      </w:r>
    </w:p>
    <w:p>
      <w:pPr>
        <w:spacing w:after="0" w:line="17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201930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49" w:lineRule="exact"/>
        <w:rPr>
          <w:sz w:val="24"/>
          <w:szCs w:val="24"/>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03"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03"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03"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71"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191"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191"/>
        </w:trPr>
        <w:tc>
          <w:tcPr>
            <w:tcW w:w="374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89"/>
              </w:rPr>
              <w:t>Class A common stock, par value $0.0001 per</w:t>
            </w:r>
          </w:p>
        </w:tc>
        <w:tc>
          <w:tcPr>
            <w:tcW w:w="120" w:type="dxa"/>
            <w:vAlign w:val="bottom"/>
          </w:tcPr>
          <w:p>
            <w:pPr>
              <w:spacing w:after="0"/>
              <w:rPr>
                <w:sz w:val="16"/>
                <w:szCs w:val="16"/>
                <w:color w:val="auto"/>
              </w:rPr>
            </w:pPr>
          </w:p>
        </w:tc>
        <w:tc>
          <w:tcPr>
            <w:tcW w:w="352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rPr>
              <w:t>RANI</w:t>
            </w:r>
          </w:p>
        </w:tc>
        <w:tc>
          <w:tcPr>
            <w:tcW w:w="100" w:type="dxa"/>
            <w:vAlign w:val="bottom"/>
          </w:tcPr>
          <w:p>
            <w:pPr>
              <w:spacing w:after="0"/>
              <w:rPr>
                <w:sz w:val="16"/>
                <w:szCs w:val="16"/>
                <w:color w:val="auto"/>
              </w:rPr>
            </w:pPr>
          </w:p>
        </w:tc>
        <w:tc>
          <w:tcPr>
            <w:tcW w:w="354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r>
        <w:trPr>
          <w:trHeight w:val="234"/>
        </w:trPr>
        <w:tc>
          <w:tcPr>
            <w:tcW w:w="38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7"/>
              </w:rPr>
              <w:t>share</w:t>
            </w:r>
          </w:p>
        </w:tc>
        <w:tc>
          <w:tcPr>
            <w:tcW w:w="3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5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48" w:lineRule="exact"/>
        <w:rPr>
          <w:sz w:val="24"/>
          <w:szCs w:val="24"/>
          <w:color w:val="auto"/>
        </w:rPr>
      </w:pPr>
    </w:p>
    <w:p>
      <w:pPr>
        <w:ind w:right="4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as defined in Rule 405 of the Securities Act of 1933 (§ 230.405 of this chapter) or Rule 12b-2 of the Securities Exchange Act of 1934 (§ 240.12b-2 of this chapter).</w:t>
      </w:r>
    </w:p>
    <w:p>
      <w:pPr>
        <w:spacing w:after="0" w:line="84" w:lineRule="exact"/>
        <w:rPr>
          <w:sz w:val="24"/>
          <w:szCs w:val="24"/>
          <w:color w:val="auto"/>
        </w:rPr>
      </w:pPr>
    </w:p>
    <w:p>
      <w:pPr>
        <w:ind w:left="884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27" w:lineRule="exact"/>
        <w:rPr>
          <w:sz w:val="24"/>
          <w:szCs w:val="24"/>
          <w:color w:val="auto"/>
        </w:rPr>
      </w:pPr>
    </w:p>
    <w:p>
      <w:pPr>
        <w:ind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90805</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133350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0"/>
          </w:cols>
          <w:pgMar w:left="440" w:top="368" w:right="439" w:bottom="1440" w:gutter="0" w:footer="0" w:header="0"/>
          <w:type w:val="continuous"/>
        </w:sectPr>
      </w:pPr>
    </w:p>
    <w:bookmarkStart w:id="1" w:name="page2"/>
    <w:bookmarkEnd w:id="1"/>
    <w:p>
      <w:pPr>
        <w:ind w:right="20"/>
        <w:spacing w:after="0" w:line="28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5.02 Departure of Directors or Certain Officers; Election of Directors; Appointment of Certain Officers; Compensatory Arrangements of Certain Officers.</w:t>
      </w:r>
    </w:p>
    <w:p>
      <w:pPr>
        <w:spacing w:after="0" w:line="58"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On November 10, 2021, upon the recommendation of its Nominating and Corporate Governance Committee, the board of directors (the “Board”) of Rani Therapeutics Holdings, Inc. (the “Company”) elected Lyn Baranowski as a Director, effective immediately, with a term expiring at the Company’s next annual meeting of stockholders. The Board also appointed Ms. Baranowski to serve as a member of the Board’s Compensation Committee and the Board’s Nominating and Corporate Governance Committee.</w:t>
      </w:r>
    </w:p>
    <w:p>
      <w:pPr>
        <w:spacing w:after="0" w:line="187"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Ms. Baranowski will receive compensation as a non-employee director in accordance with the Company’s Non-Employee Director Compensation Policy previously filed as Exhibit 10.11 to the Company’s Registration Statement on Form S-1, as amended, filed with the Securities and Exchange Commission on July 16, 2021. In connection with her election as a director, the Board granted Ms. Baranowski options (“Options”) to purchase 31,695 shares of the Company’s Class A common stock with an exercise price of $26.78 per share, which is equal to the closing price of the Company’s Class A common stock on November 10, 2021, as reported on the Nasdaq Stock Market LLC. The Options are issued under the Company’s 2021 equity incentive plan and vest over a three-year period, with one-third of the Options vesting on the first anniversary of the grant date and 1/36th of the Options vesting in equal monthly installments thereafter, subject to Ms. Baranowski’s continuous service as of each such date.</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color w:val="auto"/>
        </w:rPr>
        <w:t>There is no arrangement or understanding between Ms. Baranowski and any other persons pursuant to which she was elected as a director.</w:t>
      </w:r>
    </w:p>
    <w:p>
      <w:pPr>
        <w:spacing w:after="0" w:line="35" w:lineRule="exact"/>
        <w:rPr>
          <w:sz w:val="20"/>
          <w:szCs w:val="20"/>
          <w:color w:val="auto"/>
        </w:rPr>
      </w:pPr>
    </w:p>
    <w:p>
      <w:pPr>
        <w:ind w:right="620"/>
        <w:spacing w:after="0" w:line="260" w:lineRule="auto"/>
        <w:rPr>
          <w:sz w:val="20"/>
          <w:szCs w:val="20"/>
          <w:color w:val="auto"/>
        </w:rPr>
      </w:pPr>
      <w:r>
        <w:rPr>
          <w:rFonts w:ascii="Arial" w:cs="Arial" w:eastAsia="Arial" w:hAnsi="Arial"/>
          <w:sz w:val="18"/>
          <w:szCs w:val="18"/>
          <w:color w:val="auto"/>
        </w:rPr>
        <w:t>Ms. Baranowski has no direct or indirect material interest in any transaction required to be disclosed by the Company pursuant to Item 404(a) of Regulation S-K.</w:t>
      </w:r>
    </w:p>
    <w:p>
      <w:pPr>
        <w:spacing w:after="0" w:line="185"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The Company will enter into its standard form of indemnification agreement (the “Indemnity Agreement”) with Ms. Baranowski. The Indemnity Agreement provides, among other things, that the Company will indemnify Ms. Baranowski, under the circumstances and to the extent provided therein, for certain expenses which she may be required to pay in connection with certain claims to which she may be made a party by reason of her service to the Company as a director and otherwise to the fullest extent under applicable law. The foregoing is only a brief description of the terms of the indemnification arrangement with Ms. Baranowski, does not purport to be complete and is qualified in its entirety by reference to the form of Indemnification Agreement, previously filed as Exhibit 10.4 to the Company’s Registration Statement on Form S-1, as amended, filed with the Securities and Exchange Commission on July 9, 2021.</w:t>
      </w:r>
    </w:p>
    <w:p>
      <w:pPr>
        <w:sectPr>
          <w:pgSz w:w="11900" w:h="16838" w:orient="portrait"/>
          <w:cols w:equalWidth="0" w:num="1">
            <w:col w:w="11000"/>
          </w:cols>
          <w:pgMar w:left="440" w:top="297" w:right="459" w:bottom="1440" w:gutter="0" w:footer="0" w:header="0"/>
        </w:sectPr>
      </w:pPr>
    </w:p>
    <w:bookmarkStart w:id="2" w:name="page3"/>
    <w:bookmarkEnd w:id="2"/>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600"/>
        <w:spacing w:after="0"/>
        <w:rPr>
          <w:sz w:val="20"/>
          <w:szCs w:val="20"/>
          <w:color w:val="auto"/>
        </w:rPr>
      </w:pPr>
      <w:r>
        <w:rPr>
          <w:rFonts w:ascii="Arial" w:cs="Arial" w:eastAsia="Arial" w:hAnsi="Arial"/>
          <w:sz w:val="18"/>
          <w:szCs w:val="18"/>
          <w:b w:val="1"/>
          <w:bCs w:val="1"/>
          <w:color w:val="auto"/>
        </w:rPr>
        <w:t>Rani Therapeutics Holdings, Inc.</w:t>
      </w:r>
    </w:p>
    <w:p>
      <w:pPr>
        <w:spacing w:after="0" w:line="229" w:lineRule="exact"/>
        <w:rPr>
          <w:sz w:val="20"/>
          <w:szCs w:val="20"/>
          <w:color w:val="auto"/>
        </w:rPr>
      </w:pPr>
    </w:p>
    <w:p>
      <w:pPr>
        <w:spacing w:after="0"/>
        <w:tabs>
          <w:tab w:leader="none" w:pos="5580" w:val="left"/>
        </w:tabs>
        <w:rPr>
          <w:sz w:val="20"/>
          <w:szCs w:val="20"/>
          <w:color w:val="auto"/>
        </w:rPr>
      </w:pPr>
      <w:r>
        <w:rPr>
          <w:rFonts w:ascii="Arial" w:cs="Arial" w:eastAsia="Arial" w:hAnsi="Arial"/>
          <w:sz w:val="18"/>
          <w:szCs w:val="18"/>
          <w:color w:val="auto"/>
        </w:rPr>
        <w:t>Date: November 12, 2021</w:t>
      </w:r>
      <w:r>
        <w:rPr>
          <w:sz w:val="20"/>
          <w:szCs w:val="20"/>
          <w:color w:val="auto"/>
        </w:rPr>
        <w:tab/>
      </w:r>
      <w:r>
        <w:rPr>
          <w:rFonts w:ascii="Arial" w:cs="Arial" w:eastAsia="Arial" w:hAnsi="Arial"/>
          <w:sz w:val="16"/>
          <w:szCs w:val="16"/>
          <w:color w:val="auto"/>
        </w:rPr>
        <w:t>By:  /s/ Svai Sanford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3794760</wp:posOffset>
            </wp:positionH>
            <wp:positionV relativeFrom="paragraph">
              <wp:posOffset>14605</wp:posOffset>
            </wp:positionV>
            <wp:extent cx="319722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97225" cy="825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Svai Sanford</w:t>
      </w:r>
    </w:p>
    <w:p>
      <w:pPr>
        <w:spacing w:after="0" w:line="2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Chief Financial Officer</w:t>
      </w:r>
    </w:p>
    <w:sectPr>
      <w:pgSz w:w="11900" w:h="16838" w:orient="portrait"/>
      <w:cols w:equalWidth="0" w:num="1">
        <w:col w:w="10260"/>
      </w:cols>
      <w:pgMar w:left="440" w:top="297" w:right="1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2021-11-12T23:21:51Z</dcterms:created>
  <dcterms:modified xsi:type="dcterms:W3CDTF">2021-11-12T23:21:51Z</dcterms:modified>
</cp:coreProperties>
</file>