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spacing w:after="0"/>
              <w:rPr>
                <w:rFonts w:ascii="Arial" w:cs="Arial" w:eastAsia="Arial" w:hAnsi="Arial"/>
                <w:sz w:val="21"/>
                <w:szCs w:val="21"/>
                <w:color w:val="0000EE"/>
                <w:w w:val="89"/>
              </w:rPr>
            </w:pPr>
            <w:hyperlink r:id="rId12">
              <w:r>
                <w:rPr>
                  <w:rFonts w:ascii="Arial" w:cs="Arial" w:eastAsia="Arial" w:hAnsi="Arial"/>
                  <w:sz w:val="21"/>
                  <w:szCs w:val="21"/>
                  <w:color w:val="0000EE"/>
                  <w:w w:val="89"/>
                </w:rPr>
                <w:t>Sanford Svai S</w:t>
              </w:r>
            </w:hyperlink>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Rani Therapeutics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RANI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Borders>
              <w:bottom w:val="single" w:sz="8" w:color="0000EE"/>
            </w:tcBorders>
            <w:gridSpan w:val="3"/>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3"/>
          </w:tcPr>
          <w:p>
            <w:pPr>
              <w:spacing w:after="0"/>
              <w:rPr>
                <w:sz w:val="4"/>
                <w:szCs w:val="4"/>
                <w:color w:val="auto"/>
              </w:rPr>
            </w:pPr>
          </w:p>
        </w:tc>
        <w:tc>
          <w:tcPr>
            <w:tcW w:w="2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6"/>
                <w:szCs w:val="6"/>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restart"/>
          </w:tcPr>
          <w:p>
            <w:pPr>
              <w:ind w:left="140"/>
              <w:spacing w:after="0" w:line="133" w:lineRule="exact"/>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line="13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6"/>
            <w:vMerge w:val="continue"/>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80" w:type="dxa"/>
            <w:vAlign w:val="bottom"/>
            <w:gridSpan w:val="2"/>
            <w:vMerge w:val="restart"/>
          </w:tcPr>
          <w:p>
            <w:pPr>
              <w:ind w:left="560"/>
              <w:spacing w:after="0"/>
              <w:rPr>
                <w:sz w:val="20"/>
                <w:szCs w:val="20"/>
                <w:color w:val="auto"/>
              </w:rPr>
            </w:pPr>
            <w:r>
              <w:rPr>
                <w:rFonts w:ascii="Arial" w:cs="Arial" w:eastAsia="Arial" w:hAnsi="Arial"/>
                <w:sz w:val="17"/>
                <w:szCs w:val="17"/>
                <w:color w:val="0000FF"/>
              </w:rPr>
              <w:t>CFO</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RANI THERAPEUTICS LLC</w:t>
            </w: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03/22/2023</w:t>
            </w: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2051 RINGWOOD AVE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SAN JOSE</w:t>
            </w:r>
          </w:p>
        </w:tc>
        <w:tc>
          <w:tcPr>
            <w:tcW w:w="30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95131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820" w:type="dxa"/>
            <w:vAlign w:val="bottom"/>
            <w:tcBorders>
              <w:bottom w:val="single" w:sz="8" w:color="2C2C2C"/>
            </w:tcBorders>
            <w:gridSpan w:val="5"/>
          </w:tcPr>
          <w:p>
            <w:pPr>
              <w:spacing w:after="0"/>
              <w:rPr>
                <w:sz w:val="11"/>
                <w:szCs w:val="11"/>
                <w:color w:val="auto"/>
              </w:rPr>
            </w:pPr>
          </w:p>
        </w:tc>
        <w:tc>
          <w:tcPr>
            <w:tcW w:w="92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6"/>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8"/>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03/22/2023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9"/>
              </w:rPr>
              <w:t>3,355</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5.95</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119,597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4"/>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withheld by and surrendered to the Issuer on March 22, 2023, to satisfy tax withholding obligations that arose in connection with the vesting of the restricted stock units granted to Mr. Sanford on March 22, 2022.</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2,214 shares acquired under the Issuer's 2021 Employee Stock Purchase Plan on December 1, 2022.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Svai Sanford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03/24/2023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1411"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2023-03-24T21:14:41Z</dcterms:created>
  <dcterms:modified xsi:type="dcterms:W3CDTF">2023-03-24T21:14:41Z</dcterms:modified>
</cp:coreProperties>
</file>