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DEBUONO LAUREEN</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58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r>
      <w:tr>
        <w:trPr>
          <w:trHeight w:val="25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95131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Rani Therapeutics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RANI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05/29/2024</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05/28/2034</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Company's 2021 Equity Incentive Plan).</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Svai Sanford. Attorney-in-Fact  </w:t>
      </w:r>
      <w:r>
        <w:rPr>
          <w:rFonts w:ascii="Times New Roman" w:cs="Times New Roman" w:eastAsia="Times New Roman" w:hAnsi="Times New Roman"/>
          <w:sz w:val="32"/>
          <w:szCs w:val="32"/>
          <w:color w:val="0000FF"/>
          <w:vertAlign w:val="subscript"/>
        </w:rPr>
        <w:t>05/30/2024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1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Laureen DeBuono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34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40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34447"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2024-05-30T15:38:59Z</dcterms:created>
  <dcterms:modified xsi:type="dcterms:W3CDTF">2024-05-30T15:38:59Z</dcterms:modified>
</cp:coreProperties>
</file>