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739"/>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1160" w:right="164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215265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739"/>
        <w:spacing w:after="0"/>
        <w:rPr>
          <w:sz w:val="20"/>
          <w:szCs w:val="20"/>
          <w:color w:val="auto"/>
        </w:rPr>
      </w:pPr>
      <w:r>
        <w:rPr>
          <w:rFonts w:ascii="Arial" w:cs="Arial" w:eastAsia="Arial" w:hAnsi="Arial"/>
          <w:sz w:val="43"/>
          <w:szCs w:val="43"/>
          <w:b w:val="1"/>
          <w:bCs w:val="1"/>
          <w:color w:val="auto"/>
        </w:rPr>
        <w:t>Rani Therapeutics Holdings, Inc.</w:t>
      </w:r>
    </w:p>
    <w:p>
      <w:pPr>
        <w:spacing w:after="0" w:line="50"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800" w:type="dxa"/>
        <w:tblCellMar>
          <w:top w:w="0" w:type="dxa"/>
          <w:left w:w="0" w:type="dxa"/>
          <w:bottom w:w="0" w:type="dxa"/>
          <w:right w:w="0" w:type="dxa"/>
        </w:tblCellMar>
      </w:tblPr>
      <w:tr>
        <w:trPr>
          <w:trHeight w:val="212"/>
        </w:trPr>
        <w:tc>
          <w:tcPr>
            <w:tcW w:w="1420" w:type="dxa"/>
            <w:vAlign w:val="bottom"/>
          </w:tcPr>
          <w:p>
            <w:pPr>
              <w:spacing w:after="0"/>
              <w:rPr>
                <w:sz w:val="18"/>
                <w:szCs w:val="18"/>
                <w:color w:val="auto"/>
              </w:rPr>
            </w:pPr>
          </w:p>
        </w:tc>
        <w:tc>
          <w:tcPr>
            <w:tcW w:w="3720" w:type="dxa"/>
            <w:vAlign w:val="bottom"/>
            <w:gridSpan w:val="2"/>
          </w:tcPr>
          <w:p>
            <w:pPr>
              <w:jc w:val="center"/>
              <w:ind w:right="2600"/>
              <w:spacing w:after="0"/>
              <w:rPr>
                <w:sz w:val="20"/>
                <w:szCs w:val="20"/>
                <w:color w:val="auto"/>
              </w:rPr>
            </w:pPr>
            <w:r>
              <w:rPr>
                <w:rFonts w:ascii="Arial" w:cs="Arial" w:eastAsia="Arial" w:hAnsi="Arial"/>
                <w:sz w:val="18"/>
                <w:szCs w:val="18"/>
                <w:b w:val="1"/>
                <w:bCs w:val="1"/>
                <w:color w:val="auto"/>
                <w:w w:val="91"/>
              </w:rPr>
              <w:t>Delaware</w:t>
            </w:r>
          </w:p>
        </w:tc>
        <w:tc>
          <w:tcPr>
            <w:tcW w:w="3260" w:type="dxa"/>
            <w:vAlign w:val="bottom"/>
            <w:gridSpan w:val="2"/>
          </w:tcPr>
          <w:p>
            <w:pPr>
              <w:jc w:val="right"/>
              <w:ind w:right="364"/>
              <w:spacing w:after="0"/>
              <w:rPr>
                <w:sz w:val="20"/>
                <w:szCs w:val="20"/>
                <w:color w:val="auto"/>
              </w:rPr>
            </w:pPr>
            <w:r>
              <w:rPr>
                <w:rFonts w:ascii="Arial" w:cs="Arial" w:eastAsia="Arial" w:hAnsi="Arial"/>
                <w:sz w:val="18"/>
                <w:szCs w:val="18"/>
                <w:b w:val="1"/>
                <w:bCs w:val="1"/>
                <w:color w:val="auto"/>
              </w:rPr>
              <w:t>86-3114789</w:t>
            </w:r>
          </w:p>
        </w:tc>
        <w:tc>
          <w:tcPr>
            <w:tcW w:w="360" w:type="dxa"/>
            <w:vAlign w:val="bottom"/>
          </w:tcPr>
          <w:p>
            <w:pPr>
              <w:spacing w:after="0"/>
              <w:rPr>
                <w:sz w:val="18"/>
                <w:szCs w:val="18"/>
                <w:color w:val="auto"/>
              </w:rPr>
            </w:pPr>
          </w:p>
        </w:tc>
      </w:tr>
      <w:tr>
        <w:trPr>
          <w:trHeight w:val="186"/>
        </w:trPr>
        <w:tc>
          <w:tcPr>
            <w:tcW w:w="5140" w:type="dxa"/>
            <w:vAlign w:val="bottom"/>
            <w:gridSpan w:val="3"/>
          </w:tcPr>
          <w:p>
            <w:pPr>
              <w:jc w:val="center"/>
              <w:ind w:right="1180"/>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3620" w:type="dxa"/>
            <w:vAlign w:val="bottom"/>
            <w:gridSpan w:val="3"/>
          </w:tcPr>
          <w:p>
            <w:pPr>
              <w:jc w:val="center"/>
              <w:ind w:left="1095"/>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426"/>
        </w:trPr>
        <w:tc>
          <w:tcPr>
            <w:tcW w:w="5140" w:type="dxa"/>
            <w:vAlign w:val="bottom"/>
            <w:gridSpan w:val="3"/>
          </w:tcPr>
          <w:p>
            <w:pPr>
              <w:jc w:val="center"/>
              <w:ind w:right="1180"/>
              <w:spacing w:after="0"/>
              <w:rPr>
                <w:sz w:val="20"/>
                <w:szCs w:val="20"/>
                <w:color w:val="auto"/>
              </w:rPr>
            </w:pPr>
            <w:r>
              <w:rPr>
                <w:rFonts w:ascii="Arial" w:cs="Arial" w:eastAsia="Arial" w:hAnsi="Arial"/>
                <w:sz w:val="18"/>
                <w:szCs w:val="18"/>
                <w:b w:val="1"/>
                <w:bCs w:val="1"/>
                <w:color w:val="auto"/>
                <w:w w:val="89"/>
              </w:rPr>
              <w:t>2051 Ringwood Avenue</w:t>
            </w:r>
          </w:p>
        </w:tc>
        <w:tc>
          <w:tcPr>
            <w:tcW w:w="15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25"/>
        </w:trPr>
        <w:tc>
          <w:tcPr>
            <w:tcW w:w="5140" w:type="dxa"/>
            <w:vAlign w:val="bottom"/>
            <w:gridSpan w:val="3"/>
          </w:tcPr>
          <w:p>
            <w:pPr>
              <w:jc w:val="center"/>
              <w:ind w:right="1200"/>
              <w:spacing w:after="0"/>
              <w:rPr>
                <w:sz w:val="20"/>
                <w:szCs w:val="20"/>
                <w:color w:val="auto"/>
              </w:rPr>
            </w:pPr>
            <w:r>
              <w:rPr>
                <w:rFonts w:ascii="Arial" w:cs="Arial" w:eastAsia="Arial" w:hAnsi="Arial"/>
                <w:sz w:val="18"/>
                <w:szCs w:val="18"/>
                <w:b w:val="1"/>
                <w:bCs w:val="1"/>
                <w:color w:val="auto"/>
                <w:w w:val="89"/>
              </w:rPr>
              <w:t>San Jose, California</w:t>
            </w:r>
          </w:p>
        </w:tc>
        <w:tc>
          <w:tcPr>
            <w:tcW w:w="3260" w:type="dxa"/>
            <w:vAlign w:val="bottom"/>
            <w:gridSpan w:val="2"/>
          </w:tcPr>
          <w:p>
            <w:pPr>
              <w:jc w:val="right"/>
              <w:ind w:right="564"/>
              <w:spacing w:after="0"/>
              <w:rPr>
                <w:sz w:val="20"/>
                <w:szCs w:val="20"/>
                <w:color w:val="auto"/>
              </w:rPr>
            </w:pPr>
            <w:r>
              <w:rPr>
                <w:rFonts w:ascii="Arial" w:cs="Arial" w:eastAsia="Arial" w:hAnsi="Arial"/>
                <w:sz w:val="18"/>
                <w:szCs w:val="18"/>
                <w:b w:val="1"/>
                <w:bCs w:val="1"/>
                <w:color w:val="auto"/>
              </w:rPr>
              <w:t>95131</w:t>
            </w:r>
          </w:p>
        </w:tc>
        <w:tc>
          <w:tcPr>
            <w:tcW w:w="360" w:type="dxa"/>
            <w:vAlign w:val="bottom"/>
          </w:tcPr>
          <w:p>
            <w:pPr>
              <w:spacing w:after="0"/>
              <w:rPr>
                <w:sz w:val="19"/>
                <w:szCs w:val="19"/>
                <w:color w:val="auto"/>
              </w:rPr>
            </w:pPr>
          </w:p>
        </w:tc>
      </w:tr>
      <w:tr>
        <w:trPr>
          <w:trHeight w:val="186"/>
        </w:trPr>
        <w:tc>
          <w:tcPr>
            <w:tcW w:w="514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40" w:type="dxa"/>
            <w:vAlign w:val="bottom"/>
          </w:tcPr>
          <w:p>
            <w:pPr>
              <w:spacing w:after="0"/>
              <w:rPr>
                <w:sz w:val="16"/>
                <w:szCs w:val="16"/>
                <w:color w:val="auto"/>
              </w:rPr>
            </w:pPr>
          </w:p>
        </w:tc>
        <w:tc>
          <w:tcPr>
            <w:tcW w:w="208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8"/>
              </w:rPr>
              <w:t>(Zip Code)</w:t>
            </w:r>
          </w:p>
        </w:tc>
      </w:tr>
      <w:tr>
        <w:trPr>
          <w:trHeight w:val="417"/>
        </w:trPr>
        <w:tc>
          <w:tcPr>
            <w:tcW w:w="1420" w:type="dxa"/>
            <w:vAlign w:val="bottom"/>
          </w:tcPr>
          <w:p>
            <w:pPr>
              <w:spacing w:after="0"/>
              <w:rPr>
                <w:sz w:val="24"/>
                <w:szCs w:val="24"/>
                <w:color w:val="auto"/>
              </w:rPr>
            </w:pPr>
          </w:p>
        </w:tc>
        <w:tc>
          <w:tcPr>
            <w:tcW w:w="7340" w:type="dxa"/>
            <w:vAlign w:val="bottom"/>
            <w:gridSpan w:val="5"/>
          </w:tcPr>
          <w:p>
            <w:pPr>
              <w:ind w:left="880"/>
              <w:spacing w:after="0"/>
              <w:rPr>
                <w:sz w:val="20"/>
                <w:szCs w:val="20"/>
                <w:color w:val="auto"/>
              </w:rPr>
            </w:pPr>
            <w:r>
              <w:rPr>
                <w:rFonts w:ascii="Arial" w:cs="Arial" w:eastAsia="Arial" w:hAnsi="Arial"/>
                <w:sz w:val="18"/>
                <w:szCs w:val="18"/>
                <w:b w:val="1"/>
                <w:bCs w:val="1"/>
                <w:color w:val="auto"/>
              </w:rPr>
              <w:t>Securities to be registered pursuant to Section 12(b) of the Act:</w:t>
            </w:r>
          </w:p>
        </w:tc>
      </w:tr>
      <w:tr>
        <w:trPr>
          <w:trHeight w:val="369"/>
        </w:trPr>
        <w:tc>
          <w:tcPr>
            <w:tcW w:w="1420" w:type="dxa"/>
            <w:vAlign w:val="bottom"/>
          </w:tcPr>
          <w:p>
            <w:pPr>
              <w:spacing w:after="0"/>
              <w:rPr>
                <w:sz w:val="24"/>
                <w:szCs w:val="24"/>
                <w:color w:val="auto"/>
              </w:rPr>
            </w:pPr>
          </w:p>
        </w:tc>
        <w:tc>
          <w:tcPr>
            <w:tcW w:w="3720" w:type="dxa"/>
            <w:vAlign w:val="bottom"/>
            <w:gridSpan w:val="2"/>
          </w:tcPr>
          <w:p>
            <w:pPr>
              <w:jc w:val="center"/>
              <w:ind w:right="2600"/>
              <w:spacing w:after="0"/>
              <w:rPr>
                <w:sz w:val="20"/>
                <w:szCs w:val="20"/>
                <w:color w:val="auto"/>
              </w:rPr>
            </w:pPr>
            <w:r>
              <w:rPr>
                <w:rFonts w:ascii="Arial" w:cs="Arial" w:eastAsia="Arial" w:hAnsi="Arial"/>
                <w:sz w:val="14"/>
                <w:szCs w:val="14"/>
                <w:b w:val="1"/>
                <w:bCs w:val="1"/>
                <w:color w:val="auto"/>
                <w:w w:val="89"/>
              </w:rPr>
              <w:t>Title of each class</w:t>
            </w:r>
          </w:p>
        </w:tc>
        <w:tc>
          <w:tcPr>
            <w:tcW w:w="1540" w:type="dxa"/>
            <w:vAlign w:val="bottom"/>
          </w:tcPr>
          <w:p>
            <w:pPr>
              <w:spacing w:after="0"/>
              <w:rPr>
                <w:sz w:val="24"/>
                <w:szCs w:val="24"/>
                <w:color w:val="auto"/>
              </w:rPr>
            </w:pPr>
          </w:p>
        </w:tc>
        <w:tc>
          <w:tcPr>
            <w:tcW w:w="208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1"/>
              </w:rPr>
              <w:t>Name of exchange on which</w:t>
            </w:r>
          </w:p>
        </w:tc>
      </w:tr>
      <w:tr>
        <w:trPr>
          <w:trHeight w:val="171"/>
        </w:trPr>
        <w:tc>
          <w:tcPr>
            <w:tcW w:w="14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so registered</w:t>
            </w:r>
          </w:p>
        </w:tc>
        <w:tc>
          <w:tcPr>
            <w:tcW w:w="2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each class is to be registered</w:t>
            </w:r>
          </w:p>
        </w:tc>
        <w:tc>
          <w:tcPr>
            <w:tcW w:w="360" w:type="dxa"/>
            <w:vAlign w:val="bottom"/>
          </w:tcPr>
          <w:p>
            <w:pPr>
              <w:spacing w:after="0"/>
              <w:rPr>
                <w:sz w:val="14"/>
                <w:szCs w:val="14"/>
                <w:color w:val="auto"/>
              </w:rPr>
            </w:pPr>
          </w:p>
        </w:tc>
      </w:tr>
      <w:tr>
        <w:trPr>
          <w:trHeight w:val="228"/>
        </w:trPr>
        <w:tc>
          <w:tcPr>
            <w:tcW w:w="1420" w:type="dxa"/>
            <w:vAlign w:val="bottom"/>
          </w:tcPr>
          <w:p>
            <w:pPr>
              <w:spacing w:after="0"/>
              <w:rPr>
                <w:sz w:val="20"/>
                <w:szCs w:val="20"/>
                <w:color w:val="auto"/>
              </w:rPr>
            </w:pPr>
            <w:r>
              <w:rPr>
                <w:rFonts w:ascii="Arial" w:cs="Arial" w:eastAsia="Arial" w:hAnsi="Arial"/>
                <w:sz w:val="18"/>
                <w:szCs w:val="18"/>
                <w:b w:val="1"/>
                <w:bCs w:val="1"/>
                <w:color w:val="auto"/>
                <w:w w:val="95"/>
              </w:rPr>
              <w:t>Class A common</w:t>
            </w:r>
          </w:p>
        </w:tc>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stock, $0.0001 par value per share</w:t>
            </w:r>
          </w:p>
        </w:tc>
        <w:tc>
          <w:tcPr>
            <w:tcW w:w="1540" w:type="dxa"/>
            <w:vAlign w:val="bottom"/>
          </w:tcPr>
          <w:p>
            <w:pPr>
              <w:ind w:left="1180"/>
              <w:spacing w:after="0"/>
              <w:rPr>
                <w:sz w:val="20"/>
                <w:szCs w:val="20"/>
                <w:color w:val="auto"/>
              </w:rPr>
            </w:pPr>
            <w:r>
              <w:rPr>
                <w:rFonts w:ascii="Arial" w:cs="Arial" w:eastAsia="Arial" w:hAnsi="Arial"/>
                <w:sz w:val="18"/>
                <w:szCs w:val="18"/>
                <w:b w:val="1"/>
                <w:bCs w:val="1"/>
                <w:color w:val="auto"/>
              </w:rPr>
              <w:t>The</w:t>
            </w:r>
          </w:p>
        </w:tc>
        <w:tc>
          <w:tcPr>
            <w:tcW w:w="1720" w:type="dxa"/>
            <w:vAlign w:val="bottom"/>
          </w:tcPr>
          <w:p>
            <w:pPr>
              <w:spacing w:after="0"/>
              <w:rPr>
                <w:sz w:val="20"/>
                <w:szCs w:val="20"/>
                <w:color w:val="auto"/>
              </w:rPr>
            </w:pPr>
            <w:r>
              <w:rPr>
                <w:rFonts w:ascii="Arial" w:cs="Arial" w:eastAsia="Arial" w:hAnsi="Arial"/>
                <w:sz w:val="18"/>
                <w:szCs w:val="18"/>
                <w:b w:val="1"/>
                <w:bCs w:val="1"/>
                <w:color w:val="auto"/>
                <w:w w:val="93"/>
              </w:rPr>
              <w:t>Nasdaq Stock Market</w:t>
            </w:r>
          </w:p>
        </w:tc>
        <w:tc>
          <w:tcPr>
            <w:tcW w:w="360" w:type="dxa"/>
            <w:vAlign w:val="bottom"/>
          </w:tcPr>
          <w:p>
            <w:pPr>
              <w:spacing w:after="0"/>
              <w:rPr>
                <w:sz w:val="20"/>
                <w:szCs w:val="20"/>
                <w:color w:val="auto"/>
              </w:rPr>
            </w:pPr>
            <w:r>
              <w:rPr>
                <w:rFonts w:ascii="Arial" w:cs="Arial" w:eastAsia="Arial" w:hAnsi="Arial"/>
                <w:sz w:val="18"/>
                <w:szCs w:val="18"/>
                <w:b w:val="1"/>
                <w:bCs w:val="1"/>
                <w:color w:val="auto"/>
                <w:w w:val="97"/>
              </w:rPr>
              <w:t>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219710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Securities Act registration statement file number to which this form relates:</w:t>
      </w:r>
    </w:p>
    <w:p>
      <w:pPr>
        <w:spacing w:after="0" w:line="27"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333-257809</w:t>
      </w:r>
    </w:p>
    <w:p>
      <w:pPr>
        <w:spacing w:after="0" w:line="207"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27" w:lineRule="exact"/>
        <w:rPr>
          <w:sz w:val="24"/>
          <w:szCs w:val="24"/>
          <w:color w:val="auto"/>
        </w:rPr>
      </w:pPr>
    </w:p>
    <w:p>
      <w:pPr>
        <w:ind w:left="5300"/>
        <w:spacing w:after="0"/>
        <w:rPr>
          <w:sz w:val="20"/>
          <w:szCs w:val="20"/>
          <w:color w:val="auto"/>
        </w:rPr>
      </w:pPr>
      <w:r>
        <w:rPr>
          <w:rFonts w:ascii="Arial" w:cs="Arial" w:eastAsia="Arial" w:hAnsi="Arial"/>
          <w:sz w:val="18"/>
          <w:szCs w:val="18"/>
          <w:b w:val="1"/>
          <w:bCs w:val="1"/>
          <w:color w:val="auto"/>
        </w:rPr>
        <w:t>None</w:t>
      </w:r>
    </w:p>
    <w:p>
      <w:pPr>
        <w:spacing w:after="0" w:line="202" w:lineRule="exact"/>
        <w:rPr>
          <w:sz w:val="24"/>
          <w:szCs w:val="24"/>
          <w:color w:val="auto"/>
        </w:rPr>
      </w:pPr>
    </w:p>
    <w:p>
      <w:pPr>
        <w:ind w:left="5080"/>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194945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280"/>
          </w:cols>
          <w:pgMar w:left="440" w:top="368" w:right="117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w:t>
      </w:r>
      <w:r>
        <w:rPr>
          <w:sz w:val="20"/>
          <w:szCs w:val="20"/>
          <w:color w:val="auto"/>
        </w:rPr>
        <w:tab/>
      </w:r>
      <w:r>
        <w:rPr>
          <w:rFonts w:ascii="Arial" w:cs="Arial" w:eastAsia="Arial" w:hAnsi="Arial"/>
          <w:sz w:val="16"/>
          <w:szCs w:val="16"/>
          <w:b w:val="1"/>
          <w:bCs w:val="1"/>
          <w:color w:val="auto"/>
        </w:rPr>
        <w:t>Description of Registrant’s Securities to be Registered.</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description of the Class A common stock, $0.0001 par value per share, of Rani Therapeutics Holdings, Inc., a Delaware corporation (the “Registrant”), to be registered hereunder is contained in the section entitled “Description of Capital Stock” in the prospectus included in the Registrant’s Registration Statement on Form S-1 (File No. 333-257809), initially filed with the Securities and Exchange Commission (the “Commission”) on July 9, 2021, as subsequently amended (the “Registration Statement”), and is incorporated herein by reference. Any form of prospectus subsequently filed by the Registrant with the Commission pursuant to Rule 424(b) under the Securities Act of 1933, as amended, that constitutes part of the Registration Statement shall be deemed to be incorporated herein by reference.</w:t>
      </w:r>
    </w:p>
    <w:p>
      <w:pPr>
        <w:spacing w:after="0" w:line="33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Under the “Instructions as to Exhibits” with respect to Form 8-A, no exhibits are required to be filed with this Registration Statement because no other securities of the Registrant are registered on The Nasdaq Stock Market LLC, and the securities registered hereby are not being registered pursuant to Section 12(g) of the Securities Exchange Act of 1934, as amended.</w:t>
      </w:r>
    </w:p>
    <w:p>
      <w:pPr>
        <w:sectPr>
          <w:pgSz w:w="11900" w:h="16838" w:orient="portrait"/>
          <w:cols w:equalWidth="0" w:num="1">
            <w:col w:w="10960"/>
          </w:cols>
          <w:pgMar w:left="440" w:top="270" w:right="499" w:bottom="1440" w:gutter="0" w:footer="0" w:header="0"/>
        </w:sectPr>
      </w:pPr>
    </w:p>
    <w:bookmarkStart w:id="2" w:name="page3"/>
    <w:bookmarkEnd w:id="2"/>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as amended, the Registrant has duly caused this Registration Statement to be signed on its behalf by the undersigned, thereto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Rani Therapeutics Holdings,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July 26,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Talat Imran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 and Director</w:t>
      </w:r>
    </w:p>
    <w:sectPr>
      <w:pgSz w:w="11900" w:h="16838" w:orient="portrait"/>
      <w:cols w:equalWidth="0" w:num="1">
        <w:col w:w="10380"/>
      </w:cols>
      <w:pgMar w:left="440" w:top="270" w:right="10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2021-07-26T15:47:52Z</dcterms:created>
  <dcterms:modified xsi:type="dcterms:W3CDTF">2021-07-26T15:47:52Z</dcterms:modified>
</cp:coreProperties>
</file>