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333-268855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1266190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6,009,542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358775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6,009,542 shares of our Class A common stock, or the shares, including 533,740 shares issuable upon exchange of Class A common units of Rani Therapeutics, LLC, or LLC Interests, which are held by the selling stockholders named in this 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not selling any Class A common stock under this prospectus and will not receive any of the proceeds from the sale of these shares by the selling stockholders.</w:t>
      </w:r>
    </w:p>
    <w:p>
      <w:pPr>
        <w:spacing w:after="0" w:line="328" w:lineRule="exact"/>
        <w:rPr>
          <w:sz w:val="24"/>
          <w:szCs w:val="24"/>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the shares described in this prospectus in a number of different ways and at varying prices. We provide more information about how the selling stockholders may sell their shares in the section titled “Plan of Distribution” beginning on page 9 of this prospectus. The registration of the shares covered by this prospectus does not necessarily mean that any of the shares will be offered or sold by the selling stockholders. The timing and amount of any sale is within each selling stockholder’s sole discretion, subject to certain restrictions.</w:t>
      </w:r>
    </w:p>
    <w:p>
      <w:pPr>
        <w:spacing w:after="0" w:line="315" w:lineRule="exact"/>
        <w:rPr>
          <w:sz w:val="24"/>
          <w:szCs w:val="24"/>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will bear all commissions and discounts, if any, attributable to the sale or disposition of the shares. We will bear all costs, expenses and fees in connection with the registration of the shares. We will not be paying any underwriting discounts or commissions in connection with the sale or disposition by the selling stockholders of the shares.</w:t>
      </w:r>
    </w:p>
    <w:p>
      <w:pPr>
        <w:spacing w:after="0" w:line="324" w:lineRule="exact"/>
        <w:rPr>
          <w:sz w:val="24"/>
          <w:szCs w:val="24"/>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December 28, 2022, the last reported sale price of our Class A common stock was $5.51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311150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20" w:right="26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Class A common stock involves a high degree of risk. You should review carefully the risks and uncertainties described under the section 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3 of this prospectus and any similar section contained in any amendment or supplement to this prospectus, and under similar headings in the documents that are incorporated by reference into this prospectus.</w:t>
      </w:r>
    </w:p>
    <w:p>
      <w:pPr>
        <w:spacing w:after="0" w:line="329" w:lineRule="exact"/>
        <w:rPr>
          <w:sz w:val="24"/>
          <w:szCs w:val="24"/>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309880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29, 2022.</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79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3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60" w:type="dxa"/>
            <w:vAlign w:val="bottom"/>
            <w:gridSpan w:val="4"/>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00" w:type="dxa"/>
            <w:vAlign w:val="bottom"/>
            <w:gridSpan w:val="6"/>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7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7"/>
          </w:tcPr>
          <w:p>
            <w:pPr>
              <w:spacing w:after="0"/>
              <w:rPr>
                <w:sz w:val="17"/>
                <w:szCs w:val="17"/>
                <w:color w:val="auto"/>
              </w:rPr>
            </w:pPr>
          </w:p>
        </w:tc>
        <w:tc>
          <w:tcPr>
            <w:tcW w:w="2660" w:type="dxa"/>
            <w:vAlign w:val="bottom"/>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7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2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780" w:type="dxa"/>
            <w:vAlign w:val="bottom"/>
            <w:gridSpan w:val="5"/>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40" w:type="dxa"/>
            <w:vAlign w:val="bottom"/>
            <w:gridSpan w:val="7"/>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7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7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4400" w:type="dxa"/>
            <w:vAlign w:val="bottom"/>
            <w:gridSpan w:val="9"/>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00" w:type="dxa"/>
            <w:vAlign w:val="bottom"/>
            <w:gridSpan w:val="2"/>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the Securities Act of 1933, as amended, or the Securities Act. Under this shelf registration process, certain selling stockholders may, from time to time, sell in one or more offerings the shares described in this prospectus.</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Times New Roman" w:cs="Times New Roman" w:eastAsia="Times New Roman" w:hAnsi="Times New Roman"/>
          <w:sz w:val="17"/>
          <w:szCs w:val="17"/>
          <w:color w:val="auto"/>
        </w:rPr>
        <w:t>Neither we nor the selling stockholders have authorized anyone to provide you with any information other than that contained or incorporated by reference in this prospectus and any prospectus supplement. You must not rely upon any information or representation not contained or incorporated by reference in this prospectus or any prospectus supplement. We take no responsibility for, and can provide no assurance as to the reliability of, any other information that others may give you. The shares are not being offered in any jurisdictions where it is unlawful to do so. No action is being taken in any jurisdiction outside the United States to permit a public offering of our securities or possession or distribution of this prospectus in that jurisdiction.</w:t>
      </w:r>
    </w:p>
    <w:p>
      <w:pPr>
        <w:spacing w:after="0" w:line="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Throughout this prospectus, we refer to Rani Therapeutics Holdings, Inc. as “Rani Holdings”, and together with its subsidiaries, Rani Therapeutics, LLC and Rani Management Services, Inc., as applicable, as “us”, “our, “we” and the “Company.”</w:t>
      </w: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40"/>
          </w:cols>
          <w:pgMar w:left="320" w:top="455"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Class A common stock discussed under the sections titled “Risk Factors” contained in this prospectus and any prospectus supplement,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76" w:lineRule="exact"/>
        <w:rPr>
          <w:sz w:val="20"/>
          <w:szCs w:val="20"/>
          <w:color w:val="auto"/>
        </w:rPr>
      </w:pPr>
    </w:p>
    <w:p>
      <w:pPr>
        <w:ind w:left="300" w:right="40" w:firstLine="426"/>
        <w:spacing w:after="0" w:line="236" w:lineRule="auto"/>
        <w:rPr>
          <w:sz w:val="20"/>
          <w:szCs w:val="20"/>
          <w:color w:val="auto"/>
        </w:rPr>
      </w:pPr>
      <w:r>
        <w:rPr>
          <w:rFonts w:ascii="Times New Roman" w:cs="Times New Roman" w:eastAsia="Times New Roman" w:hAnsi="Times New Roman"/>
          <w:sz w:val="18"/>
          <w:szCs w:val="18"/>
          <w:color w:val="auto"/>
        </w:rPr>
        <w:t>We are developing and clinically testing a drug-agnostic oral delivery platform, the RaniPill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capsule, which is designed to deliver a wide variety of drug substances, including large molecules such as peptides, proteins, and antibodies. The current RaniPill capsule is designed to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therapeutics, and we are advancing development of the RaniPill HC to address biologics and drugs with higher dosing requirements.</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and its consolidated subsidiary Rani Management Services, Inc., or RMS. In connection with the IPO, we established a holding company structure with Rani Holdings as a holding company and its principal asset is the LLC Interests that it owns. As the sole managing member of Rani LLC, Rani Holdings operates and controls all of Rani LLC’s operations, and through Rani LLC and its subsidiary, conducts all of Rani LLC’s business.</w:t>
      </w:r>
    </w:p>
    <w:p>
      <w:pPr>
        <w:spacing w:after="0" w:line="183"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906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1906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up to 6,009,542 shares of Class A common stock, including 533,740 shares issuable upon exchange of LLC Interests. The shares were acquired by the selling stockholders as described under the section titled “Selling Stockholders” beginning on page 7 of this prospectus. The selling stockholders will determine when and how they sell the shares offered in this prospectus, as described in the section titled “Plan of Distribution.” See “Selling Stockholders” for additional information regarding the selling stockholders.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0"/>
          </w:cols>
          <w:pgMar w:left="320" w:top="455" w:right="9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Investing in our Class A common stock involves a high degree of risk. Before deciding whether to invest in our Class A common stock, you should consider carefully the risks and uncertainties described under the section titled “Risk Factors” contained in our most recent Annual Report on Form</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i w:val="1"/>
          <w:iCs w:val="1"/>
          <w:color w:val="auto"/>
        </w:rPr>
        <w:t>10-K and in our most recent Quarterly Report on Form 10-Q, as well as any amendments thereto reflected in subsequent filings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Class A common stock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partnerships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the tax receivable agreement, by and among us and certain holders of LLC Interests, and the impact of any payments required to be made thereunder on our liquidity and financial condition;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You should read this prospectus, any prospectus supplement, together with the documents we have filed with the SEC that are incorporated by reference herein completely and with the understanding that our actual future results may be materially different from what we expect. We qualify all of the forward-looking statements in the foregoing documents by these cautionary statements.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not receive any of the proceeds from the sale or other disposition of the shares by the selling stockholders pursuant to this prospectus.</w:t>
      </w:r>
    </w:p>
    <w:p>
      <w:pPr>
        <w:spacing w:after="0" w:line="23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the shares to be sold by the selling stockholders pursuant to this prospectus. Other than registration expenses, the selling stockholders will bear underwriting discounts, commissions, placement agent fees or other similar expenses payable with respect to sales of the shares.</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80"/>
          </w:cols>
          <w:pgMar w:left="320" w:top="455" w:right="7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6,009,542 shares of our Class A common stock, which includes 5,475,802 shares of our outstanding Class A common stock and 533,740 shares of our Class A common stock issuable upon the exchange of outstanding LLC Interests.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 aggregate of 533,740 of the shares may be acquired by MedImmune, LLC, David Pyott and David Pyott Living Trust through the exchange of an equal number of LLC Interests that are currently held by such selling stockholders. These LLC Interests were acquired by such selling stockholders in July 2021, pursuant to the recapitalization of all outstanding common units and preferred units of Rani LLC into LLC Interests as a part of the organizational transactions we consummated in connection with the closing of our underwritten initial public offering. These LLC Interests may be exchanged for the shares of our Class A common stock on a one-for-one basis or, at our option, for cash.</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July 2021, 2,959,421 of the shares were issued to South Lake One LLC and 2,318,308 of the shares were issued to Aequanimitas Limited Partnership, each pursuant to the exchange of their LLC Interests for an equal number of shares of our Class A common stock in connection with the closing of our underwritten initial public offering.</w:t>
      </w:r>
    </w:p>
    <w:p>
      <w:pPr>
        <w:spacing w:after="0" w:line="176"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In November 2022, 74,029 of the shares were issued to ER Investment Group 1 LLC and 111,044 of the shares were issued to ERS Investments LLC, each pursuant to the exchange of their LLC Interests for an equal number of shares of our Class A common stock upon their election.</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2022, 13,000 of the shares were issued to Stephanie McGrory, our former employee, in connection with an employment matter.</w:t>
      </w:r>
    </w:p>
    <w:p>
      <w:pPr>
        <w:spacing w:after="0" w:line="225"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On August 3, 2021, we entered into a certain registration rights agreement, or the Registration Rights Agreement, with the selling stockholders, pursuant to which we agreed, subject to certain exceptions, to register the resale of all of the shares of our Class A common stock held by them at any time. We have agreed to provide the selling stockholders with customary indemnification in connection with the registration and resale of the selling stockholders’ shares of Class A common stock pursuant to the Registration Rights Agreement. We have agreed to bear all expenses incurred by us in effecting the registration. The registration statement of which this prospectus is a part has been filed in accordance with the Registration Rights Agreement.</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Except for the ownership of the shares covered by this prospectus, participation in our underwritten initial public offering, the entry into the Registration Rights Agreement, Mr. Pyott’s former service on the board of managers of Rani LLC and Ms. McGrory’s former employment, the selling stockholders have not had any material relationship with us or our affiliates within the past three years.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table below, including the footnotes thereto, lists the selling stockholders and other information regarding the beneficial ownership of the shares held by each of the selling stockholders as of December 14, 2022 based on information provided to us by the selling stockholders.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after the offering assumes the sale of all of the shares offered by the selling stockholders pursuant to this prospectus. However, because the selling stockholders may sell all or some of their shares under this prospectus from time to time, or in another permitted manner, we cannot assure you as to the actual number of shares that will be sold by the selling stockholders or that will be held by the selling stockholders after completion of any sales. We do not know how long any of the selling stockholders will hold the shares before selling them. Information concerning the selling stockholders may change from time to time and changed information will be presented in a supplement to this prospectus if and when necessary and required. For purposes of table below, we have assumed that, after completion of the offering, none of the shares covered by this prospectus will be held by the selling stockholders.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sell all, some or none of their shares in this offering. See “Plan of Distribution.”</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240" w:type="dxa"/>
            <w:vAlign w:val="bottom"/>
            <w:vMerge w:val="restart"/>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Sold</w:t>
            </w:r>
          </w:p>
        </w:tc>
        <w:tc>
          <w:tcPr>
            <w:tcW w:w="1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12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to this</w:t>
            </w:r>
          </w:p>
        </w:tc>
        <w:tc>
          <w:tcPr>
            <w:tcW w:w="1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240" w:type="dxa"/>
            <w:vAlign w:val="bottom"/>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South Lake One LLC and affiliates</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6,661,470</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2,959,421</w:t>
            </w:r>
          </w:p>
        </w:tc>
        <w:tc>
          <w:tcPr>
            <w:tcW w:w="1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3,702,049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Aequanimitas Limited Partnership and affiliates</w:t>
            </w:r>
            <w:r>
              <w:rPr>
                <w:rFonts w:ascii="Times New Roman" w:cs="Times New Roman" w:eastAsia="Times New Roman" w:hAnsi="Times New Roman"/>
                <w:sz w:val="25"/>
                <w:szCs w:val="25"/>
                <w:color w:val="auto"/>
                <w:vertAlign w:val="superscript"/>
              </w:rPr>
              <w:t>(2)</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5,265,165</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2,318,308</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2,946,857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 Investment Group 1 LLC</w:t>
            </w:r>
            <w:r>
              <w:rPr>
                <w:rFonts w:ascii="Times New Roman" w:cs="Times New Roman" w:eastAsia="Times New Roman" w:hAnsi="Times New Roman"/>
                <w:sz w:val="25"/>
                <w:szCs w:val="25"/>
                <w:color w:val="auto"/>
                <w:vertAlign w:val="superscript"/>
              </w:rPr>
              <w:t>(3)</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74,029</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74,029</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ERS Investments LLC</w:t>
            </w:r>
            <w:r>
              <w:rPr>
                <w:rFonts w:ascii="Times New Roman" w:cs="Times New Roman" w:eastAsia="Times New Roman" w:hAnsi="Times New Roman"/>
                <w:sz w:val="25"/>
                <w:szCs w:val="25"/>
                <w:color w:val="auto"/>
                <w:vertAlign w:val="superscript"/>
              </w:rPr>
              <w:t>(4)</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111,044</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111,044</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MedImmune, LLC</w:t>
            </w:r>
            <w:r>
              <w:rPr>
                <w:rFonts w:ascii="Times New Roman" w:cs="Times New Roman" w:eastAsia="Times New Roman" w:hAnsi="Times New Roman"/>
                <w:sz w:val="25"/>
                <w:szCs w:val="25"/>
                <w:color w:val="auto"/>
                <w:vertAlign w:val="superscript"/>
              </w:rPr>
              <w:t>(5)</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362,375</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362,375</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Stephanie McGrory</w:t>
            </w:r>
            <w:r>
              <w:rPr>
                <w:rFonts w:ascii="Times New Roman" w:cs="Times New Roman" w:eastAsia="Times New Roman" w:hAnsi="Times New Roman"/>
                <w:sz w:val="25"/>
                <w:szCs w:val="25"/>
                <w:color w:val="auto"/>
                <w:vertAlign w:val="superscript"/>
              </w:rPr>
              <w:t>(6)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13,000</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13,000</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Pyott Living Trust and affiliates</w:t>
            </w:r>
            <w:r>
              <w:rPr>
                <w:rFonts w:ascii="Times New Roman" w:cs="Times New Roman" w:eastAsia="Times New Roman" w:hAnsi="Times New Roman"/>
                <w:sz w:val="25"/>
                <w:szCs w:val="25"/>
                <w:color w:val="auto"/>
                <w:vertAlign w:val="superscript"/>
              </w:rPr>
              <w:t>(7)</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171,365</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171,365</w:t>
            </w:r>
          </w:p>
        </w:tc>
        <w:tc>
          <w:tcPr>
            <w:tcW w:w="1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 selling stockholders</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12,658,448</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6,009,542</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6,648,906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Class A common stock.</w:t>
      </w:r>
    </w:p>
    <w:p>
      <w:pPr>
        <w:spacing w:after="0" w:line="27" w:lineRule="exact"/>
        <w:rPr>
          <w:sz w:val="20"/>
          <w:szCs w:val="20"/>
          <w:color w:val="auto"/>
        </w:rPr>
      </w:pPr>
    </w:p>
    <w:p>
      <w:pPr>
        <w:ind w:left="5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South Lake One LLC (“South Lake One”). South Lake Management LLC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Investments Limited Partnership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managers has direct or indirect control of South Lake One. South Cone, as the sole member of South Lake One, has the power to control South Lake One and replace its board of managers. The address of these entities is 5711 Avenida Presidente Riesco, Office No. 1603, Las Condes, Santiago, Chile.</w:t>
      </w:r>
    </w:p>
    <w:p>
      <w:pPr>
        <w:spacing w:after="0" w:line="3"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Aequanimitas Limited Partnership, which has a general partner, Aequanimitas Management LLC, whose sole and controlling member is Isidoro Alfonso Quiroga Cortés. The address of these entities is 1830 Leonel Aguirre, Apt No. 101, Montevideo, Uruguay.</w:t>
      </w:r>
    </w:p>
    <w:p>
      <w:pPr>
        <w:spacing w:after="0" w:line="1"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ER Investment Group 1 LLC, which is controlled and managed by Elie Rieder, as the managing member. The address of this entity is 1 Executive Boulevard, Suite 204, Suffern, New York 10901.</w:t>
      </w:r>
    </w:p>
    <w:p>
      <w:pPr>
        <w:ind w:left="540" w:right="1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ERS Investments LLC, which is controlled and managed by Elie Rieder, as the managing member. The address of this entity is 1 Executive Boulevard, Suite 204, Suffern, New York 10901.</w:t>
      </w:r>
    </w:p>
    <w:p>
      <w:pPr>
        <w:ind w:left="540" w:right="16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issuable upon exchange of LLC Interests held by MedImmune LLC. MedImmune, LLC is a limited liability company and a wholly owned subsidiary of the AstraZeneca PLC. The address of this entity is 1 MedImmune Way, Gaithersburg, Maryland 20878.</w:t>
      </w:r>
    </w:p>
    <w:p>
      <w:pPr>
        <w:spacing w:after="0" w:line="1"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held by Stephanie McGrory. The address of Ms. McGrory is 199 Camino a los Cerros, Menlo Park, California 94025.</w:t>
      </w:r>
    </w:p>
    <w:p>
      <w:pPr>
        <w:ind w:left="540" w:right="100" w:hanging="424"/>
        <w:spacing w:after="0" w:line="255"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prior to offering represents shares issuable upon exchange of 32,060 LLC Interests held by David Pyott and 139,305 LLC Interests held by David Pyott Living Trust. David Pyott is the trustee of David Pyott Living Trust. The address of these stockholders is P.O. Box 9410, Avon, Colorado 81620.</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selling stockholders, which term as used herein includes donees, pledgees, transferees or other successors-in-interest selling the shares offered by this prospectus or interests in shares offered by this prospectus received after the date of this prospectus from a selling stockholder as a gift, pledge, partnership distribution or other transfer, may, from time to time, sell, transfer or otherwise dispose of any or all of their shares on any stock exchange, market or trading facility on which the respective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any one or more of the following methods when disposing of shares offered by this prospectus or interests therein:</w:t>
      </w:r>
    </w:p>
    <w:p>
      <w:pPr>
        <w:spacing w:after="0" w:line="78"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the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these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owned by them and, if they default in the performance of their secured obligations, the pledgees or secured parties may offer and sell the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shares or interests therein,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the broker-dealer or other financial institution of shares offered by this prospectus, which securities the broker-dealer or other financial institution may resell pursuant to this prospectus (as supplemented to reflect the transaction).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shares offered by them will be the purchase price of the shares less discounts or commissions, if any. Each of the selling stockholders reserves the right to accept and, together with their agents from time to time, to reject, in whole or in part, any proposed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 of shares to be made directly or through agents. We will not receive any of the proceeds from the sale of any shares by the selling stockholders.</w:t>
      </w:r>
    </w:p>
    <w:p>
      <w:pPr>
        <w:spacing w:after="0" w:line="23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Once sold under the registration statement of which this prospectus forms a part, the shares will be freely tradable in the hands of persons other than our affiliates.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shares or interests therein may be “underwriters” within the meaning of Section 2(11) of the Securities Act. Any discounts, commissions, concessions or profit they earn on any resale of the shares or interests therein may be underwriting discounts and commissions under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Class A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shares may be sold in these jurisdictions only through registered or licensed brokers or dealers. In addition, in some states the shares may not be sold unless they have been registered or qualified for sale or an exemption from registration or qualification requirements is available and is complied with.</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Securities Exchange Act of 1934, as amended, may apply to sales of shares in the market and to the activities of the selling stockholders and their affiliates. These rules may limit the timing of purchases and sales of the shares by the selling stockholders.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 We may be indemnified by the selling stockholders against liabilities, including liabilities under the Securities Act, that may arise from any written information furnished to us by the selling stockholder specifically for use in this prospectus, in accordance with the Registration Rights Agreement, or we may be entitled to contribution.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for a period of up to two years, if necessary, to keep the registration statement effective until all of the shares are sold, or, if earlier, until the distribution contemplated in the registration statement has been complete.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registered pursuant to the registration statement, of which this prospectus forms a part.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offered by this prospectus.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9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2021, from our </w:t>
      </w:r>
      <w:hyperlink r:id="rId3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2022 annual meeting of stockholders, filed with the SEC on April 13, 2022;</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2022, June 30, 2022 and September 30, 2022 filed with the SEC on </w:t>
      </w:r>
      <w:hyperlink r:id="rId32">
        <w:r>
          <w:rPr>
            <w:rFonts w:ascii="Times New Roman" w:cs="Times New Roman" w:eastAsia="Times New Roman" w:hAnsi="Times New Roman"/>
            <w:sz w:val="18"/>
            <w:szCs w:val="18"/>
            <w:u w:val="single" w:color="auto"/>
            <w:color w:val="0000EE"/>
          </w:rPr>
          <w:t>May 11, 2022</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August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4">
        <w:r>
          <w:rPr>
            <w:rFonts w:ascii="Times New Roman" w:cs="Times New Roman" w:eastAsia="Times New Roman" w:hAnsi="Times New Roman"/>
            <w:sz w:val="18"/>
            <w:szCs w:val="18"/>
            <w:u w:val="single" w:color="auto"/>
            <w:color w:val="0000EE"/>
          </w:rPr>
          <w:t>November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respectively;</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5, 2022, March 23,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26, 2022, August 8, 2022, August 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 xml:space="preserve">2022, </w:t>
        </w:r>
      </w:hyperlink>
      <w:hyperlink r:id="rId36">
        <w:r>
          <w:rPr>
            <w:rFonts w:ascii="Times New Roman" w:cs="Times New Roman" w:eastAsia="Times New Roman" w:hAnsi="Times New Roman"/>
            <w:sz w:val="18"/>
            <w:szCs w:val="18"/>
            <w:u w:val="single" w:color="auto"/>
            <w:color w:val="0000EE"/>
          </w:rPr>
          <w:t xml:space="preserve">October 24, 2022 </w:t>
        </w:r>
      </w:hyperlink>
      <w:hyperlink r:id="rId3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December 6, 2022</w:t>
        </w:r>
      </w:hyperlink>
      <w:hyperlink r:id="rId35">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4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38">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3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Quarterly Report on Form 10-Q for the quarter ended June 30, 2022.</w:t>
      </w:r>
    </w:p>
    <w:p>
      <w:pPr>
        <w:spacing w:after="0" w:line="180"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Class A common stock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hyperlink" Target="http://www.sec.gov/Archives/edgar/data/1856725/000095017022005088/rani-20211231.htm" TargetMode="External"/><Relationship Id="rId31" Type="http://schemas.openxmlformats.org/officeDocument/2006/relationships/hyperlink" Target="http://www.sec.gov/Archives/edgar/data/1856725/000114036122014257/ny20001961x1_def14a.htm" TargetMode="External"/><Relationship Id="rId32" Type="http://schemas.openxmlformats.org/officeDocument/2006/relationships/hyperlink" Target="http://www.sec.gov/Archives/edgar/data/1856725/000095017022009334/rani-20220331.htm" TargetMode="External"/><Relationship Id="rId33" Type="http://schemas.openxmlformats.org/officeDocument/2006/relationships/hyperlink" Target="http://www.sec.gov/Archives/edgar/data/1856725/000095017022016492/rani-20220630.htm" TargetMode="External"/><Relationship Id="rId34" Type="http://schemas.openxmlformats.org/officeDocument/2006/relationships/hyperlink" Target="http://www.sec.gov/Archives/edgar/data/1856725/000095017022024442/rani-20220930.htm" TargetMode="External"/><Relationship Id="rId35" Type="http://schemas.openxmlformats.org/officeDocument/2006/relationships/hyperlink" Target="http://www.sec.gov/Archives/edgar/data/1856725/000119312522229280/d385381d8k.htm" TargetMode="External"/><Relationship Id="rId36" Type="http://schemas.openxmlformats.org/officeDocument/2006/relationships/hyperlink" Target="http://www.sec.gov/Archives/edgar/data/1856725/000119312522267186/d308091d8k.htm" TargetMode="External"/><Relationship Id="rId37" Type="http://schemas.openxmlformats.org/officeDocument/2006/relationships/hyperlink" Target="http://www.sec.gov/Archives/edgar/data/1856725/000095017022026089/rani-20221206.htm" TargetMode="External"/><Relationship Id="rId38" Type="http://schemas.openxmlformats.org/officeDocument/2006/relationships/hyperlink" Target="http://www.sec.gov/Archives/edgar/data/1856725/000119312521224394/d193678d8a12b.htm" TargetMode="External"/><Relationship Id="rId39" Type="http://schemas.openxmlformats.org/officeDocument/2006/relationships/hyperlink" Target="http://www.sec.gov/Archives/edgar/data/1856725/000095017022016492/ran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2022-12-29T16:14:03Z</dcterms:created>
  <dcterms:modified xsi:type="dcterms:W3CDTF">2022-12-29T16:14:03Z</dcterms:modified>
</cp:coreProperties>
</file>