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46" w:lineRule="exact"/>
        <w:rPr>
          <w:sz w:val="24"/>
          <w:szCs w:val="24"/>
          <w:color w:val="auto"/>
        </w:rPr>
      </w:pPr>
      <w:r>
        <w:rPr>
          <w:sz w:val="24"/>
          <w:szCs w:val="24"/>
          <w:color w:val="auto"/>
        </w:rPr>
        <w:drawing>
          <wp:anchor simplePos="0" relativeHeight="251657728" behindDoc="1" locked="0" layoutInCell="0" allowOverlap="1">
            <wp:simplePos x="0" y="0"/>
            <wp:positionH relativeFrom="page">
              <wp:posOffset>195580</wp:posOffset>
            </wp:positionH>
            <wp:positionV relativeFrom="page">
              <wp:posOffset>144780</wp:posOffset>
            </wp:positionV>
            <wp:extent cx="71577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page">
              <wp:posOffset>195580</wp:posOffset>
            </wp:positionH>
            <wp:positionV relativeFrom="page">
              <wp:posOffset>453390</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ind w:right="1239"/>
        <w:spacing w:after="0" w:line="277" w:lineRule="auto"/>
        <w:rPr>
          <w:sz w:val="20"/>
          <w:szCs w:val="20"/>
          <w:color w:val="auto"/>
        </w:rPr>
      </w:pPr>
      <w:r>
        <w:rPr>
          <w:rFonts w:ascii="Times New Roman" w:cs="Times New Roman" w:eastAsia="Times New Roman" w:hAnsi="Times New Roman"/>
          <w:sz w:val="43"/>
          <w:szCs w:val="43"/>
          <w:color w:val="auto"/>
        </w:rPr>
        <w:t>SECURITIES AND EXCHANGE COMMISSION Washington, D.C. 20549</w:t>
      </w:r>
    </w:p>
    <w:p>
      <w:pPr>
        <w:spacing w:after="0" w:line="400" w:lineRule="exact"/>
        <w:rPr>
          <w:sz w:val="24"/>
          <w:szCs w:val="24"/>
          <w:color w:val="auto"/>
        </w:rPr>
      </w:pPr>
    </w:p>
    <w:p>
      <w:pPr>
        <w:spacing w:after="0"/>
        <w:rPr>
          <w:sz w:val="20"/>
          <w:szCs w:val="20"/>
          <w:color w:val="auto"/>
        </w:rPr>
      </w:pPr>
      <w:r>
        <w:rPr>
          <w:rFonts w:ascii="Times New Roman" w:cs="Times New Roman" w:eastAsia="Times New Roman" w:hAnsi="Times New Roman"/>
          <w:sz w:val="32"/>
          <w:szCs w:val="32"/>
          <w:color w:val="auto"/>
        </w:rPr>
        <w:t>SCHEDULE 13G</w:t>
      </w:r>
    </w:p>
    <w:p>
      <w:pPr>
        <w:spacing w:after="0" w:line="200" w:lineRule="exact"/>
        <w:rPr>
          <w:sz w:val="24"/>
          <w:szCs w:val="24"/>
          <w:color w:val="auto"/>
        </w:rPr>
      </w:pPr>
    </w:p>
    <w:p>
      <w:pPr>
        <w:spacing w:after="0" w:line="346" w:lineRule="exact"/>
        <w:rPr>
          <w:sz w:val="24"/>
          <w:szCs w:val="24"/>
          <w:color w:val="auto"/>
        </w:rPr>
      </w:pPr>
    </w:p>
    <w:p>
      <w:pPr>
        <w:spacing w:after="0"/>
        <w:rPr>
          <w:sz w:val="20"/>
          <w:szCs w:val="20"/>
          <w:color w:val="auto"/>
        </w:rPr>
      </w:pPr>
      <w:r>
        <w:rPr>
          <w:rFonts w:ascii="Times New Roman" w:cs="Times New Roman" w:eastAsia="Times New Roman" w:hAnsi="Times New Roman"/>
          <w:sz w:val="26"/>
          <w:szCs w:val="26"/>
          <w:color w:val="auto"/>
        </w:rPr>
        <w:t>UNDER THE SECURITIES EXCHANGE ACT OF 1934</w:t>
      </w:r>
    </w:p>
    <w:p>
      <w:pPr>
        <w:spacing w:after="0" w:line="52" w:lineRule="exact"/>
        <w:rPr>
          <w:sz w:val="24"/>
          <w:szCs w:val="24"/>
          <w:color w:val="auto"/>
        </w:rPr>
      </w:pPr>
    </w:p>
    <w:p>
      <w:pPr>
        <w:ind w:left="3520"/>
        <w:spacing w:after="0"/>
        <w:rPr>
          <w:sz w:val="20"/>
          <w:szCs w:val="20"/>
          <w:color w:val="auto"/>
        </w:rPr>
      </w:pPr>
      <w:r>
        <w:rPr>
          <w:rFonts w:ascii="Times New Roman" w:cs="Times New Roman" w:eastAsia="Times New Roman" w:hAnsi="Times New Roman"/>
          <w:sz w:val="22"/>
          <w:szCs w:val="22"/>
          <w:b w:val="1"/>
          <w:bCs w:val="1"/>
          <w:color w:val="auto"/>
        </w:rPr>
        <w:t xml:space="preserve">(Amendment No. </w:t>
      </w:r>
      <w:r>
        <w:rPr>
          <w:rFonts w:ascii="Times New Roman" w:cs="Times New Roman" w:eastAsia="Times New Roman" w:hAnsi="Times New Roman"/>
          <w:sz w:val="22"/>
          <w:szCs w:val="22"/>
          <w:b w:val="1"/>
          <w:bCs w:val="1"/>
          <w:color w:val="0000FF"/>
        </w:rPr>
        <w:t>1</w:t>
      </w:r>
      <w:r>
        <w:rPr>
          <w:rFonts w:ascii="Times New Roman" w:cs="Times New Roman" w:eastAsia="Times New Roman" w:hAnsi="Times New Roman"/>
          <w:sz w:val="22"/>
          <w:szCs w:val="22"/>
          <w:b w:val="1"/>
          <w:bCs w:val="1"/>
          <w:color w:val="auto"/>
        </w:rPr>
        <w:t>)*</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Rani Therapeutics Holdings,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720"/>
        <w:spacing w:after="0"/>
        <w:rPr>
          <w:sz w:val="20"/>
          <w:szCs w:val="20"/>
          <w:color w:val="auto"/>
        </w:rPr>
      </w:pPr>
      <w:r>
        <w:rPr>
          <w:rFonts w:ascii="Times New Roman" w:cs="Times New Roman" w:eastAsia="Times New Roman" w:hAnsi="Times New Roman"/>
          <w:sz w:val="22"/>
          <w:szCs w:val="22"/>
          <w:b w:val="1"/>
          <w:bCs w:val="1"/>
          <w:color w:val="auto"/>
        </w:rPr>
        <w:t>(Name of Issuer)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Common Stock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220"/>
        <w:spacing w:after="0"/>
        <w:rPr>
          <w:sz w:val="20"/>
          <w:szCs w:val="20"/>
          <w:color w:val="auto"/>
        </w:rPr>
      </w:pPr>
      <w:r>
        <w:rPr>
          <w:rFonts w:ascii="Times New Roman" w:cs="Times New Roman" w:eastAsia="Times New Roman" w:hAnsi="Times New Roman"/>
          <w:sz w:val="22"/>
          <w:szCs w:val="22"/>
          <w:b w:val="1"/>
          <w:bCs w:val="1"/>
          <w:color w:val="auto"/>
        </w:rPr>
        <w:t>(Title of Class of Securities)</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502074503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680"/>
        <w:spacing w:after="0"/>
        <w:rPr>
          <w:sz w:val="20"/>
          <w:szCs w:val="20"/>
          <w:color w:val="auto"/>
        </w:rPr>
      </w:pPr>
      <w:r>
        <w:rPr>
          <w:rFonts w:ascii="Times New Roman" w:cs="Times New Roman" w:eastAsia="Times New Roman" w:hAnsi="Times New Roman"/>
          <w:sz w:val="22"/>
          <w:szCs w:val="22"/>
          <w:b w:val="1"/>
          <w:bCs w:val="1"/>
          <w:color w:val="auto"/>
        </w:rPr>
        <w:t>(CUSIP Number)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09/30/2025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1920"/>
        <w:spacing w:after="0"/>
        <w:rPr>
          <w:sz w:val="20"/>
          <w:szCs w:val="20"/>
          <w:color w:val="auto"/>
        </w:rPr>
      </w:pPr>
      <w:r>
        <w:rPr>
          <w:rFonts w:ascii="Times New Roman" w:cs="Times New Roman" w:eastAsia="Times New Roman" w:hAnsi="Times New Roman"/>
          <w:sz w:val="22"/>
          <w:szCs w:val="22"/>
          <w:b w:val="1"/>
          <w:bCs w:val="1"/>
          <w:color w:val="auto"/>
        </w:rPr>
        <w:t>(Date of Event Which Requires Filing of this Statement)</w:t>
      </w:r>
    </w:p>
    <w:p>
      <w:pPr>
        <w:spacing w:after="0" w:line="200" w:lineRule="exact"/>
        <w:rPr>
          <w:sz w:val="24"/>
          <w:szCs w:val="24"/>
          <w:color w:val="auto"/>
        </w:rPr>
      </w:pPr>
    </w:p>
    <w:p>
      <w:pPr>
        <w:spacing w:after="0" w:line="36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Check the appropriate box to designate the rule pursuant to which this Schedule is filed:</w:t>
      </w:r>
    </w:p>
    <w:p>
      <w:pPr>
        <w:spacing w:after="0" w:line="5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-32385</wp:posOffset>
            </wp:positionH>
            <wp:positionV relativeFrom="paragraph">
              <wp:posOffset>92710</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-32385</wp:posOffset>
            </wp:positionH>
            <wp:positionV relativeFrom="paragraph">
              <wp:posOffset>178435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13" w:lineRule="exact"/>
        <w:rPr>
          <w:sz w:val="24"/>
          <w:szCs w:val="24"/>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 xml:space="preserve">CUSIP No. </w:t>
      </w:r>
      <w:r>
        <w:rPr>
          <w:rFonts w:ascii="Times New Roman" w:cs="Times New Roman" w:eastAsia="Times New Roman" w:hAnsi="Times New Roman"/>
          <w:sz w:val="19"/>
          <w:szCs w:val="19"/>
          <w:color w:val="auto"/>
        </w:rPr>
        <w:t>502074503</w:t>
      </w:r>
    </w:p>
    <w:p>
      <w:pPr>
        <w:spacing w:after="0" w:line="200" w:lineRule="exact"/>
        <w:rPr>
          <w:sz w:val="24"/>
          <w:szCs w:val="24"/>
          <w:color w:val="auto"/>
        </w:rPr>
      </w:pPr>
    </w:p>
    <w:p>
      <w:pPr>
        <w:spacing w:after="0" w:line="361"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Armistice Capital, LLC</w:t>
      </w:r>
    </w:p>
    <w:p>
      <w:pPr>
        <w:spacing w:after="0" w:line="20"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Check the appropriate box if a member of a Group (see instructions)</w:t>
      </w:r>
    </w:p>
    <w:p>
      <w:pPr>
        <w:spacing w:after="0" w:line="33" w:lineRule="exact"/>
        <w:rPr>
          <w:sz w:val="24"/>
          <w:szCs w:val="24"/>
          <w:color w:val="auto"/>
        </w:rPr>
      </w:pPr>
    </w:p>
    <w:p>
      <w:pPr>
        <w:ind w:left="1120" w:hanging="1112"/>
        <w:spacing w:after="0"/>
        <w:tabs>
          <w:tab w:leader="none" w:pos="1120" w:val="left"/>
        </w:tabs>
        <w:numPr>
          <w:ilvl w:val="0"/>
          <w:numId w:val="1"/>
        </w:numPr>
        <w:rPr>
          <w:rFonts w:ascii="Times New Roman" w:cs="Times New Roman" w:eastAsia="Times New Roman" w:hAnsi="Times New Roman"/>
          <w:sz w:val="43"/>
          <w:szCs w:val="43"/>
          <w:color w:val="auto"/>
          <w:vertAlign w:val="superscript"/>
        </w:rPr>
      </w:pPr>
      <w:r>
        <w:rPr>
          <w:sz w:val="1"/>
          <w:szCs w:val="1"/>
          <w:color w:val="auto"/>
        </w:rPr>
        <w:drawing>
          <wp:inline distT="0" distB="0" distL="0" distR="0">
            <wp:extent cx="128905" cy="128905"/>
            <wp:effectExtent l="0" t="0" r="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ind w:left="1120"/>
        <w:spacing w:after="0"/>
        <w:rPr>
          <w:rFonts w:ascii="Times New Roman" w:cs="Times New Roman" w:eastAsia="Times New Roman" w:hAnsi="Times New Roman"/>
          <w:sz w:val="43"/>
          <w:szCs w:val="43"/>
          <w:color w:val="auto"/>
          <w:vertAlign w:val="superscript"/>
        </w:rPr>
      </w:pPr>
      <w:r>
        <w:rPr>
          <w:rFonts w:ascii="Times New Roman" w:cs="Times New Roman" w:eastAsia="Times New Roman" w:hAnsi="Times New Roman"/>
          <w:sz w:val="1"/>
          <w:szCs w:val="1"/>
          <w:color w:val="auto"/>
          <w:vertAlign w:val="superscript"/>
        </w:rPr>
        <w:drawing>
          <wp:inline distT="0" distB="0" distL="0" distR="0">
            <wp:extent cx="128905" cy="128270"/>
            <wp:effectExtent l="0" t="0" r="0"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4"/>
          <w:szCs w:val="24"/>
          <w:color w:val="auto"/>
        </w:rPr>
      </w:pPr>
    </w:p>
    <w:p>
      <w:pPr>
        <w:ind w:left="1120" w:hanging="1112"/>
        <w:spacing w:after="0"/>
        <w:tabs>
          <w:tab w:leader="none" w:pos="1120" w:val="left"/>
        </w:tabs>
        <w:numPr>
          <w:ilvl w:val="0"/>
          <w:numId w:val="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 Use Only</w:t>
      </w:r>
    </w:p>
    <w:p>
      <w:pPr>
        <w:spacing w:after="0" w:line="44"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ind w:left="1120"/>
        <w:spacing w:after="0"/>
        <w:rPr>
          <w:sz w:val="20"/>
          <w:szCs w:val="20"/>
          <w:color w:val="auto"/>
        </w:rPr>
      </w:pPr>
      <w:r>
        <w:rPr>
          <w:rFonts w:ascii="Times New Roman" w:cs="Times New Roman" w:eastAsia="Times New Roman" w:hAnsi="Times New Roman"/>
          <w:sz w:val="22"/>
          <w:szCs w:val="22"/>
          <w:color w:val="auto"/>
        </w:rPr>
        <w:t>DELAWARE</w:t>
      </w:r>
    </w:p>
    <w:p>
      <w:pPr>
        <w:sectPr>
          <w:pgSz w:w="11900" w:h="16884" w:orient="portrait"/>
          <w:cols w:equalWidth="0" w:num="1">
            <w:col w:w="10099"/>
          </w:cols>
          <w:pgMar w:left="360" w:top="866" w:right="1440" w:bottom="0" w:gutter="0" w:footer="0" w:header="0"/>
        </w:sectPr>
      </w:pPr>
    </w:p>
    <w:bookmarkStart w:id="1" w:name="page2"/>
    <w:bookmarkEnd w:id="1"/>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Number of</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Shares</w:t>
      </w:r>
    </w:p>
    <w:p>
      <w:pPr>
        <w:spacing w:after="0"/>
        <w:rPr>
          <w:sz w:val="20"/>
          <w:szCs w:val="20"/>
          <w:color w:val="auto"/>
        </w:rPr>
      </w:pPr>
      <w:r>
        <w:rPr>
          <w:rFonts w:ascii="Times New Roman" w:cs="Times New Roman" w:eastAsia="Times New Roman" w:hAnsi="Times New Roman"/>
          <w:sz w:val="21"/>
          <w:szCs w:val="21"/>
          <w:color w:val="auto"/>
        </w:rPr>
        <w:t>Beneficially</w:t>
      </w:r>
    </w:p>
    <w:p>
      <w:pPr>
        <w:spacing w:after="0" w:line="231" w:lineRule="auto"/>
        <w:rPr>
          <w:sz w:val="20"/>
          <w:szCs w:val="20"/>
          <w:color w:val="auto"/>
        </w:rPr>
      </w:pPr>
      <w:r>
        <w:rPr>
          <w:rFonts w:ascii="Times New Roman" w:cs="Times New Roman" w:eastAsia="Times New Roman" w:hAnsi="Times New Roman"/>
          <w:sz w:val="22"/>
          <w:szCs w:val="22"/>
          <w:color w:val="auto"/>
        </w:rPr>
        <w:t>Owned by</w:t>
      </w:r>
    </w:p>
    <w:p>
      <w:pPr>
        <w:spacing w:after="0" w:line="231" w:lineRule="auto"/>
        <w:rPr>
          <w:sz w:val="20"/>
          <w:szCs w:val="20"/>
          <w:color w:val="auto"/>
        </w:rPr>
      </w:pPr>
      <w:r>
        <w:rPr>
          <w:rFonts w:ascii="Times New Roman" w:cs="Times New Roman" w:eastAsia="Times New Roman" w:hAnsi="Times New Roman"/>
          <w:sz w:val="22"/>
          <w:szCs w:val="22"/>
          <w:color w:val="auto"/>
        </w:rPr>
        <w:t>Each</w:t>
      </w:r>
    </w:p>
    <w:p>
      <w:pPr>
        <w:spacing w:after="0" w:line="231" w:lineRule="auto"/>
        <w:rPr>
          <w:sz w:val="20"/>
          <w:szCs w:val="20"/>
          <w:color w:val="auto"/>
        </w:rPr>
      </w:pPr>
      <w:r>
        <w:rPr>
          <w:rFonts w:ascii="Times New Roman" w:cs="Times New Roman" w:eastAsia="Times New Roman" w:hAnsi="Times New Roman"/>
          <w:sz w:val="22"/>
          <w:szCs w:val="22"/>
          <w:color w:val="auto"/>
        </w:rPr>
        <w:t>Reporting</w:t>
      </w:r>
    </w:p>
    <w:p>
      <w:pPr>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9</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10</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w:t>
      </w:r>
    </w:p>
    <w:p>
      <w:pPr>
        <w:spacing w:after="0" w:line="20" w:lineRule="exact"/>
        <w:rPr>
          <w:sz w:val="20"/>
          <w:szCs w:val="20"/>
          <w:color w:val="auto"/>
        </w:rPr>
      </w:pPr>
      <w:r>
        <w:rPr>
          <w:sz w:val="20"/>
          <w:szCs w:val="20"/>
          <w:color w:val="auto"/>
        </w:rPr>
        <w:br w:type="column"/>
      </w:r>
    </w:p>
    <w:p>
      <w:pPr>
        <w:ind w:left="280"/>
        <w:spacing w:after="0"/>
        <w:rPr>
          <w:sz w:val="20"/>
          <w:szCs w:val="20"/>
          <w:color w:val="auto"/>
        </w:rPr>
      </w:pPr>
      <w:r>
        <w:rPr>
          <w:rFonts w:ascii="Times New Roman" w:cs="Times New Roman" w:eastAsia="Times New Roman" w:hAnsi="Times New Roman"/>
          <w:sz w:val="22"/>
          <w:szCs w:val="22"/>
          <w:color w:val="auto"/>
        </w:rPr>
        <w:t>Sole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5</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ind w:left="280"/>
        <w:spacing w:after="0"/>
        <w:rPr>
          <w:sz w:val="20"/>
          <w:szCs w:val="20"/>
          <w:color w:val="auto"/>
        </w:rPr>
      </w:pPr>
      <w:r>
        <w:rPr>
          <w:rFonts w:ascii="Times New Roman" w:cs="Times New Roman" w:eastAsia="Times New Roman" w:hAnsi="Times New Roman"/>
          <w:sz w:val="22"/>
          <w:szCs w:val="22"/>
          <w:color w:val="auto"/>
        </w:rPr>
        <w:t>2,515,652.00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Dispositive</w:t>
      </w:r>
    </w:p>
    <w:p>
      <w:pPr>
        <w:ind w:left="40"/>
        <w:spacing w:after="0" w:line="191" w:lineRule="auto"/>
        <w:rPr>
          <w:sz w:val="20"/>
          <w:szCs w:val="20"/>
          <w:color w:val="auto"/>
        </w:rPr>
      </w:pPr>
      <w:r>
        <w:rPr>
          <w:rFonts w:ascii="Times New Roman" w:cs="Times New Roman" w:eastAsia="Times New Roman" w:hAnsi="Times New Roman"/>
          <w:sz w:val="43"/>
          <w:szCs w:val="43"/>
          <w:color w:val="auto"/>
          <w:vertAlign w:val="subscript"/>
        </w:rPr>
        <w:t>8</w:t>
      </w:r>
      <w:r>
        <w:rPr>
          <w:rFonts w:ascii="Times New Roman" w:cs="Times New Roman" w:eastAsia="Times New Roman" w:hAnsi="Times New Roman"/>
          <w:sz w:val="22"/>
          <w:szCs w:val="22"/>
          <w:color w:val="auto"/>
        </w:rPr>
        <w:t xml:space="preserve"> Power</w:t>
      </w:r>
    </w:p>
    <w:p>
      <w:pPr>
        <w:spacing w:after="0" w:line="8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2,515,652.00</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2,515,652.00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90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4.99 %</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IA, OO</w:t>
      </w:r>
    </w:p>
    <w:p>
      <w:pPr>
        <w:spacing w:after="0" w:line="200" w:lineRule="exact"/>
        <w:rPr>
          <w:sz w:val="20"/>
          <w:szCs w:val="20"/>
          <w:color w:val="auto"/>
        </w:rPr>
      </w:pPr>
    </w:p>
    <w:p>
      <w:pPr>
        <w:sectPr>
          <w:pgSz w:w="11900" w:h="16838" w:orient="portrait"/>
          <w:cols w:equalWidth="0" w:num="2">
            <w:col w:w="1060" w:space="60"/>
            <w:col w:w="8979"/>
          </w:cols>
          <w:pgMar w:left="360" w:top="166" w:right="1440" w:bottom="0" w:gutter="0" w:footer="0" w:header="0"/>
        </w:sectPr>
      </w:pPr>
    </w:p>
    <w:p>
      <w:pPr>
        <w:spacing w:after="0" w:line="200" w:lineRule="exact"/>
        <w:rPr>
          <w:sz w:val="20"/>
          <w:szCs w:val="20"/>
          <w:color w:val="auto"/>
        </w:rPr>
      </w:pPr>
    </w:p>
    <w:p>
      <w:pPr>
        <w:spacing w:after="0" w:line="36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 xml:space="preserve">CUSIP No. </w:t>
      </w:r>
      <w:r>
        <w:rPr>
          <w:rFonts w:ascii="Times New Roman" w:cs="Times New Roman" w:eastAsia="Times New Roman" w:hAnsi="Times New Roman"/>
          <w:sz w:val="19"/>
          <w:szCs w:val="19"/>
          <w:color w:val="auto"/>
        </w:rPr>
        <w:t>502074503</w:t>
      </w:r>
    </w:p>
    <w:p>
      <w:pPr>
        <w:spacing w:after="0" w:line="200" w:lineRule="exact"/>
        <w:rPr>
          <w:sz w:val="20"/>
          <w:szCs w:val="20"/>
          <w:color w:val="auto"/>
        </w:rPr>
      </w:pPr>
    </w:p>
    <w:p>
      <w:pPr>
        <w:spacing w:after="0" w:line="361"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Steven Boyd</w:t>
      </w:r>
    </w:p>
    <w:p>
      <w:pPr>
        <w:spacing w:after="0" w:line="2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1"/>
          <w:szCs w:val="21"/>
          <w:color w:val="auto"/>
        </w:rPr>
        <w:t>Check the appropriate box if a member of a Group (see instructions)</w:t>
      </w:r>
    </w:p>
    <w:p>
      <w:pPr>
        <w:sectPr>
          <w:pgSz w:w="11900" w:h="16838" w:orient="portrait"/>
          <w:cols w:equalWidth="0" w:num="1">
            <w:col w:w="10099"/>
          </w:cols>
          <w:pgMar w:left="360" w:top="166" w:right="1440" w:bottom="0" w:gutter="0" w:footer="0" w:header="0"/>
          <w:type w:val="continuous"/>
        </w:sectPr>
      </w:pPr>
    </w:p>
    <w:p>
      <w:pPr>
        <w:spacing w:after="0" w:line="13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2</w:t>
      </w: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3</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Number of</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Shares</w:t>
      </w:r>
    </w:p>
    <w:p>
      <w:pPr>
        <w:spacing w:after="0"/>
        <w:rPr>
          <w:sz w:val="20"/>
          <w:szCs w:val="20"/>
          <w:color w:val="auto"/>
        </w:rPr>
      </w:pPr>
      <w:r>
        <w:rPr>
          <w:rFonts w:ascii="Times New Roman" w:cs="Times New Roman" w:eastAsia="Times New Roman" w:hAnsi="Times New Roman"/>
          <w:sz w:val="21"/>
          <w:szCs w:val="21"/>
          <w:color w:val="auto"/>
        </w:rPr>
        <w:t>Beneficially</w:t>
      </w:r>
    </w:p>
    <w:p>
      <w:pPr>
        <w:spacing w:after="0" w:line="231" w:lineRule="auto"/>
        <w:rPr>
          <w:sz w:val="20"/>
          <w:szCs w:val="20"/>
          <w:color w:val="auto"/>
        </w:rPr>
      </w:pPr>
      <w:r>
        <w:rPr>
          <w:rFonts w:ascii="Times New Roman" w:cs="Times New Roman" w:eastAsia="Times New Roman" w:hAnsi="Times New Roman"/>
          <w:sz w:val="22"/>
          <w:szCs w:val="22"/>
          <w:color w:val="auto"/>
        </w:rPr>
        <w:t>Owned by</w:t>
      </w:r>
    </w:p>
    <w:p>
      <w:pPr>
        <w:spacing w:after="0" w:line="231" w:lineRule="auto"/>
        <w:rPr>
          <w:sz w:val="20"/>
          <w:szCs w:val="20"/>
          <w:color w:val="auto"/>
        </w:rPr>
      </w:pPr>
      <w:r>
        <w:rPr>
          <w:rFonts w:ascii="Times New Roman" w:cs="Times New Roman" w:eastAsia="Times New Roman" w:hAnsi="Times New Roman"/>
          <w:sz w:val="22"/>
          <w:szCs w:val="22"/>
          <w:color w:val="auto"/>
        </w:rPr>
        <w:t>Each</w:t>
      </w:r>
    </w:p>
    <w:p>
      <w:pPr>
        <w:spacing w:after="0" w:line="231" w:lineRule="auto"/>
        <w:rPr>
          <w:sz w:val="20"/>
          <w:szCs w:val="20"/>
          <w:color w:val="auto"/>
        </w:rPr>
      </w:pPr>
      <w:r>
        <w:rPr>
          <w:rFonts w:ascii="Times New Roman" w:cs="Times New Roman" w:eastAsia="Times New Roman" w:hAnsi="Times New Roman"/>
          <w:sz w:val="22"/>
          <w:szCs w:val="22"/>
          <w:color w:val="auto"/>
        </w:rPr>
        <w:t>Reporting</w:t>
      </w:r>
    </w:p>
    <w:p>
      <w:pPr>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9</w:t>
      </w:r>
    </w:p>
    <w:p>
      <w:pPr>
        <w:spacing w:after="0" w:line="20" w:lineRule="exact"/>
        <w:rPr>
          <w:sz w:val="20"/>
          <w:szCs w:val="20"/>
          <w:color w:val="auto"/>
        </w:rPr>
      </w:pPr>
      <w:r>
        <w:rPr>
          <w:sz w:val="20"/>
          <w:szCs w:val="20"/>
          <w:color w:val="auto"/>
        </w:rPr>
        <w:br w:type="column"/>
      </w:r>
    </w:p>
    <w:p>
      <w:pPr>
        <w:spacing w:after="0" w:line="238"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spacing w:after="0" w:line="17"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UNITED STATES</w:t>
      </w:r>
    </w:p>
    <w:p>
      <w:pPr>
        <w:spacing w:after="0" w:line="85"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5</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ind w:left="280"/>
        <w:spacing w:after="0"/>
        <w:rPr>
          <w:sz w:val="20"/>
          <w:szCs w:val="20"/>
          <w:color w:val="auto"/>
        </w:rPr>
      </w:pPr>
      <w:r>
        <w:rPr>
          <w:rFonts w:ascii="Times New Roman" w:cs="Times New Roman" w:eastAsia="Times New Roman" w:hAnsi="Times New Roman"/>
          <w:sz w:val="22"/>
          <w:szCs w:val="22"/>
          <w:color w:val="auto"/>
        </w:rPr>
        <w:t>2,515,652.00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Dispositive</w:t>
      </w:r>
    </w:p>
    <w:p>
      <w:pPr>
        <w:ind w:left="40"/>
        <w:spacing w:after="0" w:line="191" w:lineRule="auto"/>
        <w:rPr>
          <w:sz w:val="20"/>
          <w:szCs w:val="20"/>
          <w:color w:val="auto"/>
        </w:rPr>
      </w:pPr>
      <w:r>
        <w:rPr>
          <w:rFonts w:ascii="Times New Roman" w:cs="Times New Roman" w:eastAsia="Times New Roman" w:hAnsi="Times New Roman"/>
          <w:sz w:val="43"/>
          <w:szCs w:val="43"/>
          <w:color w:val="auto"/>
          <w:vertAlign w:val="subscript"/>
        </w:rPr>
        <w:t>8</w:t>
      </w:r>
      <w:r>
        <w:rPr>
          <w:rFonts w:ascii="Times New Roman" w:cs="Times New Roman" w:eastAsia="Times New Roman" w:hAnsi="Times New Roman"/>
          <w:sz w:val="22"/>
          <w:szCs w:val="22"/>
          <w:color w:val="auto"/>
        </w:rPr>
        <w:t xml:space="preserve"> Power</w:t>
      </w:r>
    </w:p>
    <w:p>
      <w:pPr>
        <w:spacing w:after="0" w:line="8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2,515,652.00</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2,515,652.00</w:t>
      </w:r>
    </w:p>
    <w:p>
      <w:pPr>
        <w:spacing w:after="0" w:line="43"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pacing w:after="0" w:line="1" w:lineRule="exact"/>
        <w:rPr>
          <w:sz w:val="20"/>
          <w:szCs w:val="20"/>
          <w:color w:val="auto"/>
        </w:rPr>
      </w:pPr>
    </w:p>
    <w:p>
      <w:pPr>
        <w:sectPr>
          <w:pgSz w:w="11900" w:h="16838" w:orient="portrait"/>
          <w:cols w:equalWidth="0" w:num="2">
            <w:col w:w="1060" w:space="60"/>
            <w:col w:w="8979"/>
          </w:cols>
          <w:pgMar w:left="360" w:top="166" w:right="1440" w:bottom="0" w:gutter="0" w:footer="0" w:header="0"/>
          <w:type w:val="continuous"/>
        </w:sectPr>
      </w:pPr>
    </w:p>
    <w:p>
      <w:pPr>
        <w:spacing w:after="0"/>
        <w:rPr>
          <w:sz w:val="20"/>
          <w:szCs w:val="20"/>
          <w:color w:val="auto"/>
        </w:rPr>
      </w:pPr>
      <w:r>
        <w:rPr>
          <w:rFonts w:ascii="Times New Roman" w:cs="Times New Roman" w:eastAsia="Times New Roman" w:hAnsi="Times New Roman"/>
          <w:sz w:val="22"/>
          <w:szCs w:val="22"/>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716915</wp:posOffset>
            </wp:positionH>
            <wp:positionV relativeFrom="paragraph">
              <wp:posOffset>12700</wp:posOffset>
            </wp:positionV>
            <wp:extent cx="128905" cy="12827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28905" cy="128270"/>
                    </a:xfrm>
                    <a:prstGeom prst="rect">
                      <a:avLst/>
                    </a:prstGeom>
                    <a:noFill/>
                  </pic:spPr>
                </pic:pic>
              </a:graphicData>
            </a:graphic>
          </wp:anchor>
        </w:drawing>
      </w:r>
    </w:p>
    <w:p>
      <w:pPr>
        <w:sectPr>
          <w:pgSz w:w="11900" w:h="16838" w:orient="portrait"/>
          <w:cols w:equalWidth="0" w:num="1">
            <w:col w:w="10099"/>
          </w:cols>
          <w:pgMar w:left="360" w:top="166" w:right="1440" w:bottom="0" w:gutter="0" w:footer="0" w:header="0"/>
          <w:type w:val="continuous"/>
        </w:sectPr>
      </w:pPr>
    </w:p>
    <w:bookmarkStart w:id="2" w:name="page3"/>
    <w:bookmarkEnd w:id="2"/>
    <w:p>
      <w:pPr>
        <w:ind w:left="1120"/>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w:t>
      </w:r>
    </w:p>
    <w:p>
      <w:pPr>
        <w:ind w:left="1120"/>
        <w:spacing w:after="0"/>
        <w:rPr>
          <w:sz w:val="20"/>
          <w:szCs w:val="20"/>
          <w:color w:val="auto"/>
        </w:rPr>
      </w:pPr>
      <w:r>
        <w:rPr>
          <w:rFonts w:ascii="Times New Roman" w:cs="Times New Roman" w:eastAsia="Times New Roman" w:hAnsi="Times New Roman"/>
          <w:sz w:val="22"/>
          <w:szCs w:val="22"/>
          <w:color w:val="auto"/>
        </w:rPr>
        <w:t>4.99 %</w:t>
      </w:r>
    </w:p>
    <w:p>
      <w:pPr>
        <w:spacing w:after="0" w:line="2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w:t>
      </w:r>
    </w:p>
    <w:p>
      <w:pPr>
        <w:ind w:left="1120"/>
        <w:spacing w:after="0"/>
        <w:rPr>
          <w:sz w:val="20"/>
          <w:szCs w:val="20"/>
          <w:color w:val="auto"/>
        </w:rPr>
      </w:pPr>
      <w:r>
        <w:rPr>
          <w:rFonts w:ascii="Times New Roman" w:cs="Times New Roman" w:eastAsia="Times New Roman" w:hAnsi="Times New Roman"/>
          <w:sz w:val="22"/>
          <w:szCs w:val="22"/>
          <w:color w:val="auto"/>
        </w:rPr>
        <w:t>HC, IN</w:t>
      </w: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1.</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Name of issuer:</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ind w:left="920"/>
        <w:spacing w:after="0"/>
        <w:rPr>
          <w:sz w:val="20"/>
          <w:szCs w:val="20"/>
          <w:color w:val="auto"/>
        </w:rPr>
      </w:pPr>
      <w:r>
        <w:rPr>
          <w:rFonts w:ascii="Times New Roman" w:cs="Times New Roman" w:eastAsia="Times New Roman" w:hAnsi="Times New Roman"/>
          <w:sz w:val="22"/>
          <w:szCs w:val="22"/>
          <w:color w:val="auto"/>
        </w:rPr>
        <w:t>Rani Therapeutics Holdings, Inc.</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Address of issuer's principal executive offices: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ind w:left="920"/>
        <w:spacing w:after="0"/>
        <w:rPr>
          <w:sz w:val="20"/>
          <w:szCs w:val="20"/>
          <w:color w:val="auto"/>
        </w:rPr>
      </w:pPr>
      <w:r>
        <w:rPr>
          <w:rFonts w:ascii="Times New Roman" w:cs="Times New Roman" w:eastAsia="Times New Roman" w:hAnsi="Times New Roman"/>
          <w:sz w:val="22"/>
          <w:szCs w:val="22"/>
          <w:color w:val="auto"/>
        </w:rPr>
        <w:t>2051 RINGWOOD AVENUE, SAN JOSE, CA, 95131</w:t>
      </w:r>
    </w:p>
    <w:p>
      <w:pPr>
        <w:spacing w:after="0" w:line="2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2.</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Name of person filing:</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ind w:left="920"/>
        <w:spacing w:after="0"/>
        <w:rPr>
          <w:sz w:val="20"/>
          <w:szCs w:val="20"/>
          <w:color w:val="auto"/>
        </w:rPr>
      </w:pPr>
      <w:r>
        <w:rPr>
          <w:rFonts w:ascii="Times New Roman" w:cs="Times New Roman" w:eastAsia="Times New Roman" w:hAnsi="Times New Roman"/>
          <w:sz w:val="22"/>
          <w:szCs w:val="22"/>
          <w:color w:val="auto"/>
        </w:rPr>
        <w:t>Armistice Capital, LLC Steven Boyd Collectively, the "Reporting Persons"</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Address or principal business office or, if none, residence:</w:t>
      </w:r>
    </w:p>
    <w:p>
      <w:pPr>
        <w:spacing w:after="0" w:line="233" w:lineRule="exact"/>
        <w:rPr>
          <w:sz w:val="20"/>
          <w:szCs w:val="20"/>
          <w:color w:val="auto"/>
        </w:rPr>
      </w:pPr>
    </w:p>
    <w:p>
      <w:pPr>
        <w:ind w:left="920" w:hanging="912"/>
        <w:spacing w:after="0" w:line="244" w:lineRule="auto"/>
        <w:tabs>
          <w:tab w:leader="none" w:pos="9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Armistice Capital, LLC 510 Madison Avenue, 7th Floor New York, New York 10022 United States of America Steven Boyd c/o Armistice Capital, LLC 510 Madison Avenue, 7th Floor New York, New York 10022 United States of America</w:t>
      </w:r>
    </w:p>
    <w:p>
      <w:pPr>
        <w:spacing w:after="0" w:line="11"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Citizenship:</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w:t>
      </w:r>
    </w:p>
    <w:p>
      <w:pPr>
        <w:ind w:left="920" w:right="3420"/>
        <w:spacing w:after="0" w:line="256" w:lineRule="auto"/>
        <w:rPr>
          <w:sz w:val="20"/>
          <w:szCs w:val="20"/>
          <w:color w:val="auto"/>
        </w:rPr>
      </w:pPr>
      <w:r>
        <w:rPr>
          <w:rFonts w:ascii="Times New Roman" w:cs="Times New Roman" w:eastAsia="Times New Roman" w:hAnsi="Times New Roman"/>
          <w:sz w:val="22"/>
          <w:szCs w:val="22"/>
          <w:color w:val="auto"/>
        </w:rPr>
        <w:t>Armistice Capital, LLC - Delaware; Steven Boyd - United States of America Title of class of securities:</w:t>
      </w:r>
    </w:p>
    <w:p>
      <w:pPr>
        <w:spacing w:after="0" w:line="230" w:lineRule="auto"/>
        <w:rPr>
          <w:sz w:val="20"/>
          <w:szCs w:val="20"/>
          <w:color w:val="auto"/>
        </w:rPr>
      </w:pPr>
      <w:r>
        <w:rPr>
          <w:rFonts w:ascii="Times New Roman" w:cs="Times New Roman" w:eastAsia="Times New Roman" w:hAnsi="Times New Roman"/>
          <w:sz w:val="22"/>
          <w:szCs w:val="22"/>
          <w:color w:val="auto"/>
        </w:rPr>
        <w:t>(d)</w:t>
      </w:r>
    </w:p>
    <w:p>
      <w:pPr>
        <w:spacing w:after="0" w:line="1"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Common Stock</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CUSIP No.:</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(e)</w:t>
      </w:r>
    </w:p>
    <w:p>
      <w:pPr>
        <w:ind w:left="920"/>
        <w:spacing w:after="0"/>
        <w:rPr>
          <w:sz w:val="20"/>
          <w:szCs w:val="20"/>
          <w:color w:val="auto"/>
        </w:rPr>
      </w:pPr>
      <w:r>
        <w:rPr>
          <w:rFonts w:ascii="Times New Roman" w:cs="Times New Roman" w:eastAsia="Times New Roman" w:hAnsi="Times New Roman"/>
          <w:sz w:val="22"/>
          <w:szCs w:val="22"/>
          <w:color w:val="auto"/>
        </w:rPr>
        <w:t>502074503</w:t>
      </w:r>
    </w:p>
    <w:p>
      <w:pPr>
        <w:spacing w:after="0" w:line="20"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3.</w:t>
      </w:r>
      <w:r>
        <w:rPr>
          <w:sz w:val="20"/>
          <w:szCs w:val="20"/>
          <w:color w:val="auto"/>
        </w:rPr>
        <w:tab/>
      </w:r>
      <w:r>
        <w:rPr>
          <w:rFonts w:ascii="Times New Roman" w:cs="Times New Roman" w:eastAsia="Times New Roman" w:hAnsi="Times New Roman"/>
          <w:sz w:val="21"/>
          <w:szCs w:val="21"/>
          <w:color w:val="auto"/>
        </w:rPr>
        <w:t>If this statement is filed pursuant to §§ 240.13d-1(b) or 240.13d-2(b) or (c), check whether the person filing is a:</w:t>
      </w:r>
    </w:p>
    <w:p>
      <w:pPr>
        <w:spacing w:after="0" w:line="58" w:lineRule="exact"/>
        <w:rPr>
          <w:sz w:val="20"/>
          <w:szCs w:val="20"/>
          <w:color w:val="auto"/>
        </w:rPr>
      </w:pPr>
    </w:p>
    <w:p>
      <w:pPr>
        <w:ind w:left="920" w:hanging="912"/>
        <w:spacing w:after="0"/>
        <w:tabs>
          <w:tab w:leader="none" w:pos="92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Broker or dealer registered under section 15 of the Act (15 U.S.C. 78o);</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Bank as defined in section 3(a)(6) of the Act (15 U.S.C. 78c);</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Insurance company as defined in section 3(a)(19) of the Act (15 U.S.C. 78c);</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Investment company registered under section 8 of the Investment Company Act of 1940 (15 U.S.C. 80a-8);</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An investment adviser in accordance with § 240.13d-1(b)(1)(ii)(E);</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An employee benefit plan or endowment fund in accordance with § 240.13d-1(b)(1)(ii)(F);</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parent holding company or control person in accordance with § 240.13d-1(b)(1)(ii)(G);</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savings associations as defined in Section 3(b) of the Federal Deposit Insurance Act (12 U.S.C. 1813);</w:t>
      </w:r>
    </w:p>
    <w:p>
      <w:pPr>
        <w:spacing w:after="0" w:line="57" w:lineRule="exact"/>
        <w:rPr>
          <w:rFonts w:ascii="Times New Roman" w:cs="Times New Roman" w:eastAsia="Times New Roman" w:hAnsi="Times New Roman"/>
          <w:sz w:val="22"/>
          <w:szCs w:val="22"/>
          <w:color w:val="auto"/>
        </w:rPr>
      </w:pPr>
    </w:p>
    <w:p>
      <w:pPr>
        <w:ind w:left="920" w:right="540" w:hanging="912"/>
        <w:spacing w:after="0" w:line="185" w:lineRule="auto"/>
        <w:tabs>
          <w:tab w:leader="none" w:pos="920" w:val="left"/>
        </w:tabs>
        <w:numPr>
          <w:ilvl w:val="0"/>
          <w:numId w:val="4"/>
        </w:numPr>
        <w:rPr>
          <w:rFonts w:ascii="Times New Roman" w:cs="Times New Roman" w:eastAsia="Times New Roman" w:hAnsi="Times New Roman"/>
          <w:sz w:val="39"/>
          <w:szCs w:val="39"/>
          <w:color w:val="auto"/>
          <w:vertAlign w:val="subscript"/>
        </w:rPr>
      </w:pPr>
      <w:r>
        <w:rPr>
          <w:sz w:val="1"/>
          <w:szCs w:val="1"/>
          <w:color w:val="auto"/>
        </w:rPr>
        <w:drawing>
          <wp:inline distT="0" distB="0" distL="0" distR="0">
            <wp:extent cx="128905" cy="128905"/>
            <wp:effectExtent l="0" t="0" r="0" b="0"/>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0"/>
          <w:szCs w:val="20"/>
          <w:color w:val="auto"/>
        </w:rPr>
        <w:t xml:space="preserve"> A church plan that is excluded from the definition of an investment company under section 3(c)(14) of the Investment Company Act of 1940 (15 U.S.C. 80a-3);</w:t>
      </w:r>
    </w:p>
    <w:p>
      <w:pPr>
        <w:spacing w:after="0" w:line="30" w:lineRule="exact"/>
        <w:rPr>
          <w:rFonts w:ascii="Times New Roman" w:cs="Times New Roman" w:eastAsia="Times New Roman" w:hAnsi="Times New Roman"/>
          <w:sz w:val="39"/>
          <w:szCs w:val="39"/>
          <w:color w:val="auto"/>
          <w:vertAlign w:val="subscript"/>
        </w:rPr>
      </w:pPr>
    </w:p>
    <w:p>
      <w:pPr>
        <w:ind w:left="920"/>
        <w:spacing w:after="0"/>
        <w:rPr>
          <w:rFonts w:ascii="Times New Roman" w:cs="Times New Roman" w:eastAsia="Times New Roman" w:hAnsi="Times New Roman"/>
          <w:sz w:val="39"/>
          <w:szCs w:val="39"/>
          <w:color w:val="auto"/>
          <w:vertAlign w:val="subscript"/>
        </w:rPr>
      </w:pPr>
      <w:r>
        <w:rPr>
          <w:rFonts w:ascii="Times New Roman" w:cs="Times New Roman" w:eastAsia="Times New Roman" w:hAnsi="Times New Roman"/>
          <w:sz w:val="1"/>
          <w:szCs w:val="1"/>
          <w:color w:val="auto"/>
          <w:vertAlign w:val="subscript"/>
        </w:rPr>
        <w:drawing>
          <wp:inline distT="0" distB="0" distL="0" distR="0">
            <wp:extent cx="128905" cy="128905"/>
            <wp:effectExtent l="0" t="0" r="0" b="0"/>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non-U.S. institution in accordance with § 240.13d-1(b)(1)(ii)(J). If filing as a non-U.S. institution in</w:t>
      </w:r>
    </w:p>
    <w:p>
      <w:pPr>
        <w:spacing w:after="0" w:line="14" w:lineRule="exact"/>
        <w:rPr>
          <w:rFonts w:ascii="Times New Roman" w:cs="Times New Roman" w:eastAsia="Times New Roman" w:hAnsi="Times New Roman"/>
          <w:sz w:val="39"/>
          <w:szCs w:val="39"/>
          <w:color w:val="auto"/>
          <w:vertAlign w:val="subscript"/>
        </w:rPr>
      </w:pPr>
    </w:p>
    <w:p>
      <w:pPr>
        <w:ind w:left="920" w:hanging="912"/>
        <w:spacing w:after="0" w:line="230" w:lineRule="auto"/>
        <w:tabs>
          <w:tab w:leader="none" w:pos="92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accordance with § 240.13d-1(b)(1)(ii)(J),</w:t>
      </w:r>
    </w:p>
    <w:p>
      <w:pPr>
        <w:spacing w:after="0" w:line="1"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please specify the type of institution:</w:t>
      </w:r>
    </w:p>
    <w:p>
      <w:pPr>
        <w:spacing w:after="0" w:line="34" w:lineRule="exact"/>
        <w:rPr>
          <w:sz w:val="20"/>
          <w:szCs w:val="20"/>
          <w:color w:val="auto"/>
        </w:rPr>
      </w:pPr>
    </w:p>
    <w:p>
      <w:pPr>
        <w:ind w:left="920" w:hanging="912"/>
        <w:spacing w:after="0"/>
        <w:tabs>
          <w:tab w:leader="none" w:pos="92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Group, in accordance with Rule 240.13d-1(b)(1)(ii)(K).</w:t>
      </w:r>
    </w:p>
    <w:p>
      <w:pPr>
        <w:spacing w:after="0" w:line="341"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4.</w:t>
      </w:r>
      <w:r>
        <w:rPr>
          <w:sz w:val="20"/>
          <w:szCs w:val="20"/>
          <w:color w:val="auto"/>
        </w:rPr>
        <w:tab/>
      </w:r>
      <w:r>
        <w:rPr>
          <w:rFonts w:ascii="Times New Roman" w:cs="Times New Roman" w:eastAsia="Times New Roman" w:hAnsi="Times New Roman"/>
          <w:sz w:val="21"/>
          <w:szCs w:val="21"/>
          <w:color w:val="auto"/>
        </w:rPr>
        <w:t>Ownership</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Amount beneficially owned:</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ind w:left="920"/>
        <w:spacing w:after="0"/>
        <w:rPr>
          <w:sz w:val="20"/>
          <w:szCs w:val="20"/>
          <w:color w:val="auto"/>
        </w:rPr>
      </w:pPr>
      <w:r>
        <w:rPr>
          <w:rFonts w:ascii="Times New Roman" w:cs="Times New Roman" w:eastAsia="Times New Roman" w:hAnsi="Times New Roman"/>
          <w:sz w:val="22"/>
          <w:szCs w:val="22"/>
          <w:color w:val="auto"/>
        </w:rPr>
        <w:t>2,515,652</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Percent of class: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ind w:left="920"/>
        <w:spacing w:after="0"/>
        <w:rPr>
          <w:sz w:val="20"/>
          <w:szCs w:val="20"/>
          <w:color w:val="auto"/>
        </w:rPr>
      </w:pPr>
      <w:r>
        <w:rPr>
          <w:rFonts w:ascii="Times New Roman" w:cs="Times New Roman" w:eastAsia="Times New Roman" w:hAnsi="Times New Roman"/>
          <w:sz w:val="22"/>
          <w:szCs w:val="22"/>
          <w:color w:val="auto"/>
        </w:rPr>
        <w:t>4.99% %</w:t>
      </w:r>
    </w:p>
    <w:p>
      <w:pPr>
        <w:spacing w:after="0" w:line="20" w:lineRule="exact"/>
        <w:rPr>
          <w:sz w:val="20"/>
          <w:szCs w:val="20"/>
          <w:color w:val="auto"/>
        </w:rPr>
      </w:pPr>
    </w:p>
    <w:p>
      <w:pPr>
        <w:ind w:left="920" w:hanging="912"/>
        <w:spacing w:after="0"/>
        <w:tabs>
          <w:tab w:leader="none" w:pos="920"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Number of shares as to which the person has:</w:t>
      </w:r>
    </w:p>
    <w:p>
      <w:pPr>
        <w:sectPr>
          <w:pgSz w:w="11900" w:h="16838" w:orient="portrait"/>
          <w:cols w:equalWidth="0" w:num="1">
            <w:col w:w="11000"/>
          </w:cols>
          <w:pgMar w:left="360" w:top="126" w:right="539" w:bottom="0" w:gutter="0" w:footer="0" w:header="0"/>
        </w:sectPr>
      </w:pPr>
    </w:p>
    <w:bookmarkStart w:id="3" w:name="page4"/>
    <w:bookmarkEnd w:id="3"/>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5.</w:t>
      </w:r>
    </w:p>
    <w:p>
      <w:pPr>
        <w:spacing w:after="0" w:line="35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7.</w:t>
      </w:r>
    </w:p>
    <w:p>
      <w:pPr>
        <w:spacing w:after="0" w:line="200" w:lineRule="exact"/>
        <w:rPr>
          <w:sz w:val="20"/>
          <w:szCs w:val="20"/>
          <w:color w:val="auto"/>
        </w:rPr>
      </w:pPr>
    </w:p>
    <w:p>
      <w:pPr>
        <w:spacing w:after="0" w:line="26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8.</w:t>
      </w:r>
    </w:p>
    <w:p>
      <w:pPr>
        <w:spacing w:after="0" w:line="34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9.</w:t>
      </w: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10.</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22"/>
          <w:szCs w:val="22"/>
          <w:color w:val="auto"/>
        </w:rPr>
        <w:t>(i) Sole power to vote or to direct the vote:</w:t>
      </w:r>
    </w:p>
    <w:p>
      <w:pPr>
        <w:spacing w:after="0" w:line="23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0</w:t>
      </w:r>
    </w:p>
    <w:p>
      <w:pPr>
        <w:spacing w:after="0" w:line="287" w:lineRule="exact"/>
        <w:rPr>
          <w:sz w:val="20"/>
          <w:szCs w:val="20"/>
          <w:color w:val="auto"/>
        </w:rPr>
      </w:pPr>
    </w:p>
    <w:p>
      <w:pPr>
        <w:ind w:right="6240" w:firstLine="6"/>
        <w:spacing w:after="0" w:line="486" w:lineRule="auto"/>
        <w:tabs>
          <w:tab w:leader="none" w:pos="318" w:val="left"/>
        </w:tabs>
        <w:numPr>
          <w:ilvl w:val="0"/>
          <w:numId w:val="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Shared power to vote or to direct the vote: 2,515,652</w:t>
      </w:r>
    </w:p>
    <w:p>
      <w:pPr>
        <w:spacing w:after="0" w:line="1" w:lineRule="exact"/>
        <w:rPr>
          <w:rFonts w:ascii="Times New Roman" w:cs="Times New Roman" w:eastAsia="Times New Roman" w:hAnsi="Times New Roman"/>
          <w:sz w:val="22"/>
          <w:szCs w:val="22"/>
          <w:color w:val="auto"/>
        </w:rPr>
      </w:pPr>
    </w:p>
    <w:p>
      <w:pPr>
        <w:ind w:left="380" w:hanging="374"/>
        <w:spacing w:after="0"/>
        <w:tabs>
          <w:tab w:leader="none" w:pos="380" w:val="left"/>
        </w:tabs>
        <w:numPr>
          <w:ilvl w:val="0"/>
          <w:numId w:val="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Sole power to dispose or to direct the disposition of:</w:t>
      </w:r>
    </w:p>
    <w:p>
      <w:pPr>
        <w:spacing w:after="0" w:line="233"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0</w:t>
      </w:r>
    </w:p>
    <w:p>
      <w:pPr>
        <w:spacing w:after="0" w:line="287" w:lineRule="exact"/>
        <w:rPr>
          <w:rFonts w:ascii="Times New Roman" w:cs="Times New Roman" w:eastAsia="Times New Roman" w:hAnsi="Times New Roman"/>
          <w:sz w:val="22"/>
          <w:szCs w:val="22"/>
          <w:color w:val="auto"/>
        </w:rPr>
      </w:pPr>
    </w:p>
    <w:p>
      <w:pPr>
        <w:ind w:left="380" w:hanging="374"/>
        <w:spacing w:after="0"/>
        <w:tabs>
          <w:tab w:leader="none" w:pos="380" w:val="left"/>
        </w:tabs>
        <w:numPr>
          <w:ilvl w:val="0"/>
          <w:numId w:val="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Shared power to dispose or to direct the disposition of:</w:t>
      </w:r>
    </w:p>
    <w:p>
      <w:pPr>
        <w:spacing w:after="0" w:line="233" w:lineRule="exact"/>
        <w:rPr>
          <w:sz w:val="20"/>
          <w:szCs w:val="20"/>
          <w:color w:val="auto"/>
        </w:rPr>
      </w:pPr>
    </w:p>
    <w:p>
      <w:pPr>
        <w:ind w:right="140"/>
        <w:spacing w:after="0" w:line="234" w:lineRule="auto"/>
        <w:rPr>
          <w:sz w:val="20"/>
          <w:szCs w:val="20"/>
          <w:color w:val="auto"/>
        </w:rPr>
      </w:pPr>
      <w:r>
        <w:rPr>
          <w:rFonts w:ascii="Times New Roman" w:cs="Times New Roman" w:eastAsia="Times New Roman" w:hAnsi="Times New Roman"/>
          <w:sz w:val="22"/>
          <w:szCs w:val="22"/>
          <w:color w:val="auto"/>
        </w:rPr>
        <w:t>2,515,652 The percentage of Shares reported to be beneficially owned by the Reporting Persons are based on information from the Issuer. Armistice Capital, LLC ("Armistice Capital") is the investment manager of Armistice Capital Master Fund Ltd. (the "Master Fund"), the direct holder of the Shares, and pursuant to an Investment Management Agreement, Armistice Capital exercises voting and investment power over the securities of the Issuer held by the Master Fund and thus may be deemed to beneficially own the securities of the Issuer held by the Master Fund. Mr. Boyd, as the managing member of Armistice Capital, may be deemed to beneficially own the securities of the Issuer held by the Master Fund. The Master Fund specifically disclaims beneficial ownership of the securities of the Issuer directly held by it by virtue of its inability to vote or dispose of such securities as a result of its Investment Management Agreement with Armistice Capital.</w:t>
      </w:r>
    </w:p>
    <w:p>
      <w:pPr>
        <w:spacing w:after="0" w:line="26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Ownership of 5 Percent or Less of a Class.</w:t>
      </w:r>
    </w:p>
    <w:p>
      <w:pPr>
        <w:spacing w:after="0" w:line="58"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22"/>
          <w:szCs w:val="22"/>
          <w:color w:val="auto"/>
        </w:rPr>
        <w:t>Ownership of 5 percent or less of a class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Ownership of more than 5 Percent on Behalf of Another Person.</w:t>
      </w:r>
    </w:p>
    <w:p>
      <w:pPr>
        <w:spacing w:after="0" w:line="44" w:lineRule="exact"/>
        <w:rPr>
          <w:sz w:val="20"/>
          <w:szCs w:val="20"/>
          <w:color w:val="auto"/>
        </w:rPr>
      </w:pPr>
    </w:p>
    <w:p>
      <w:pPr>
        <w:jc w:val="both"/>
        <w:spacing w:after="0" w:line="238" w:lineRule="auto"/>
        <w:rPr>
          <w:sz w:val="20"/>
          <w:szCs w:val="20"/>
          <w:color w:val="auto"/>
        </w:rPr>
      </w:pPr>
      <w:r>
        <w:rPr>
          <w:rFonts w:ascii="Times New Roman" w:cs="Times New Roman" w:eastAsia="Times New Roman" w:hAnsi="Times New Roman"/>
          <w:sz w:val="22"/>
          <w:szCs w:val="22"/>
          <w:color w:val="auto"/>
        </w:rPr>
        <w:t>If any other person is known to have the right to receive or the power to direct the receipt of dividends from, or the proceeds from the sale of, such securities, a statement to that effect should be included in response to this item and, if such interest relates to more than 5 percent of the class, such person should be identified. A listing of the shareholders of an investment company registered under the Investment Company Act of 1940 or the beneficiaries of employee benefit plan, pension fund or endowment fund is not required.</w:t>
      </w:r>
    </w:p>
    <w:p>
      <w:pPr>
        <w:spacing w:after="0" w:line="200" w:lineRule="exact"/>
        <w:rPr>
          <w:sz w:val="20"/>
          <w:szCs w:val="20"/>
          <w:color w:val="auto"/>
        </w:rPr>
      </w:pPr>
    </w:p>
    <w:p>
      <w:pPr>
        <w:spacing w:after="0" w:line="247" w:lineRule="exact"/>
        <w:rPr>
          <w:sz w:val="20"/>
          <w:szCs w:val="20"/>
          <w:color w:val="auto"/>
        </w:rPr>
      </w:pPr>
    </w:p>
    <w:p>
      <w:pPr>
        <w:ind w:right="300"/>
        <w:spacing w:after="0" w:line="256" w:lineRule="auto"/>
        <w:rPr>
          <w:sz w:val="20"/>
          <w:szCs w:val="20"/>
          <w:color w:val="auto"/>
        </w:rPr>
      </w:pPr>
      <w:r>
        <w:rPr>
          <w:rFonts w:ascii="Times New Roman" w:cs="Times New Roman" w:eastAsia="Times New Roman" w:hAnsi="Times New Roman"/>
          <w:sz w:val="22"/>
          <w:szCs w:val="22"/>
          <w:color w:val="auto"/>
        </w:rPr>
        <w:t>The Master Fund, a Cayman Islands exempted company that is an investment advisory client of Armistice Capital, has the right to receive dividends from, or the proceeds from the sale of, the reported securities.</w:t>
      </w:r>
    </w:p>
    <w:p>
      <w:pPr>
        <w:ind w:right="460"/>
        <w:spacing w:after="0" w:line="256" w:lineRule="auto"/>
        <w:rPr>
          <w:sz w:val="20"/>
          <w:szCs w:val="20"/>
          <w:color w:val="auto"/>
        </w:rPr>
      </w:pPr>
      <w:r>
        <w:rPr>
          <w:rFonts w:ascii="Times New Roman" w:cs="Times New Roman" w:eastAsia="Times New Roman" w:hAnsi="Times New Roman"/>
          <w:sz w:val="22"/>
          <w:szCs w:val="22"/>
          <w:color w:val="auto"/>
        </w:rPr>
        <w:t>Identification and Classification of the Subsidiary Which Acquired the Security Being Reported on by the Parent Holding Company or Control Person.</w:t>
      </w: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Identification and Classification of Members of the Group.</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Notice of Dissolution of Group.</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31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2"/>
          <w:szCs w:val="22"/>
          <w:color w:val="auto"/>
        </w:rPr>
        <w:t>Certifications:</w:t>
      </w:r>
    </w:p>
    <w:p>
      <w:pPr>
        <w:spacing w:after="0" w:line="44" w:lineRule="exact"/>
        <w:rPr>
          <w:sz w:val="20"/>
          <w:szCs w:val="20"/>
          <w:color w:val="auto"/>
        </w:rPr>
      </w:pPr>
    </w:p>
    <w:p>
      <w:pPr>
        <w:sectPr>
          <w:pgSz w:w="11900" w:h="16847" w:orient="portrait"/>
          <w:cols w:equalWidth="0" w:num="2">
            <w:col w:w="720" w:space="200"/>
            <w:col w:w="10220"/>
          </w:cols>
          <w:pgMar w:left="360" w:top="112" w:right="399" w:bottom="0" w:gutter="0" w:footer="0" w:header="0"/>
        </w:sectPr>
      </w:pPr>
    </w:p>
    <w:p>
      <w:pPr>
        <w:ind w:left="940" w:right="40"/>
        <w:spacing w:after="0" w:line="238" w:lineRule="auto"/>
        <w:rPr>
          <w:sz w:val="20"/>
          <w:szCs w:val="20"/>
          <w:color w:val="auto"/>
        </w:rPr>
      </w:pPr>
      <w:r>
        <w:rPr>
          <w:rFonts w:ascii="Times New Roman" w:cs="Times New Roman" w:eastAsia="Times New Roman" w:hAnsi="Times New Roman"/>
          <w:sz w:val="22"/>
          <w:szCs w:val="22"/>
          <w:color w:val="auto"/>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w:t>
      </w:r>
    </w:p>
    <w:p>
      <w:pPr>
        <w:spacing w:after="0" w:line="285"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2"/>
          <w:szCs w:val="22"/>
          <w:color w:val="auto"/>
        </w:rPr>
        <w:t>SIGNATURE</w:t>
      </w:r>
    </w:p>
    <w:p>
      <w:pPr>
        <w:spacing w:after="0" w:line="44" w:lineRule="exact"/>
        <w:rPr>
          <w:sz w:val="20"/>
          <w:szCs w:val="20"/>
          <w:color w:val="auto"/>
        </w:rPr>
      </w:pPr>
    </w:p>
    <w:p>
      <w:pPr>
        <w:ind w:left="1480"/>
        <w:spacing w:after="0" w:line="258" w:lineRule="auto"/>
        <w:rPr>
          <w:sz w:val="20"/>
          <w:szCs w:val="20"/>
          <w:color w:val="auto"/>
        </w:rPr>
      </w:pPr>
      <w:r>
        <w:rPr>
          <w:rFonts w:ascii="Times New Roman" w:cs="Times New Roman" w:eastAsia="Times New Roman" w:hAnsi="Times New Roman"/>
          <w:sz w:val="22"/>
          <w:szCs w:val="22"/>
          <w:color w:val="auto"/>
        </w:rPr>
        <w:t>After reasonable inquiry and to the best of my knowledge and belief, I certify that the information set forth in this statement is true, complete and correct.</w:t>
      </w:r>
    </w:p>
    <w:p>
      <w:pPr>
        <w:spacing w:after="0" w:line="307" w:lineRule="exact"/>
        <w:rPr>
          <w:sz w:val="20"/>
          <w:szCs w:val="20"/>
          <w:color w:val="auto"/>
        </w:rPr>
      </w:pPr>
    </w:p>
    <w:p>
      <w:pPr>
        <w:ind w:left="2240"/>
        <w:spacing w:after="0"/>
        <w:rPr>
          <w:sz w:val="20"/>
          <w:szCs w:val="20"/>
          <w:color w:val="auto"/>
        </w:rPr>
      </w:pPr>
      <w:r>
        <w:rPr>
          <w:rFonts w:ascii="Times New Roman" w:cs="Times New Roman" w:eastAsia="Times New Roman" w:hAnsi="Times New Roman"/>
          <w:sz w:val="22"/>
          <w:szCs w:val="22"/>
          <w:color w:val="auto"/>
        </w:rPr>
        <w:t>Armistice Capital, LLC</w:t>
      </w:r>
    </w:p>
    <w:p>
      <w:pPr>
        <w:spacing w:after="0" w:line="152" w:lineRule="exact"/>
        <w:rPr>
          <w:sz w:val="20"/>
          <w:szCs w:val="20"/>
          <w:color w:val="auto"/>
        </w:rPr>
      </w:pPr>
    </w:p>
    <w:p>
      <w:pPr>
        <w:ind w:left="4240"/>
        <w:spacing w:after="0"/>
        <w:tabs>
          <w:tab w:leader="none" w:pos="530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Steven Boyd</w:t>
      </w:r>
    </w:p>
    <w:p>
      <w:pPr>
        <w:spacing w:after="0" w:line="44" w:lineRule="exact"/>
        <w:rPr>
          <w:sz w:val="20"/>
          <w:szCs w:val="20"/>
          <w:color w:val="auto"/>
        </w:rPr>
      </w:pPr>
    </w:p>
    <w:p>
      <w:pPr>
        <w:ind w:left="4240"/>
        <w:spacing w:after="0"/>
        <w:rPr>
          <w:sz w:val="20"/>
          <w:szCs w:val="20"/>
          <w:color w:val="auto"/>
        </w:rPr>
      </w:pPr>
      <w:r>
        <w:rPr>
          <w:rFonts w:ascii="Times New Roman" w:cs="Times New Roman" w:eastAsia="Times New Roman" w:hAnsi="Times New Roman"/>
          <w:sz w:val="22"/>
          <w:szCs w:val="22"/>
          <w:color w:val="auto"/>
        </w:rPr>
        <w:t>Name/Title: Steven Boyd - Managing Member</w:t>
      </w:r>
    </w:p>
    <w:p>
      <w:pPr>
        <w:spacing w:after="0" w:line="44" w:lineRule="exact"/>
        <w:rPr>
          <w:sz w:val="20"/>
          <w:szCs w:val="20"/>
          <w:color w:val="auto"/>
        </w:rPr>
      </w:pPr>
    </w:p>
    <w:p>
      <w:pPr>
        <w:ind w:left="4240"/>
        <w:spacing w:after="0"/>
        <w:tabs>
          <w:tab w:leader="none" w:pos="530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11/14/2025</w:t>
      </w:r>
    </w:p>
    <w:p>
      <w:pPr>
        <w:spacing w:after="0" w:line="152"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Steven Boyd</w:t>
      </w:r>
    </w:p>
    <w:p>
      <w:pPr>
        <w:spacing w:after="0" w:line="152" w:lineRule="exact"/>
        <w:rPr>
          <w:sz w:val="20"/>
          <w:szCs w:val="20"/>
          <w:color w:val="auto"/>
        </w:rPr>
      </w:pPr>
    </w:p>
    <w:p>
      <w:pPr>
        <w:ind w:left="2660"/>
        <w:spacing w:after="0"/>
        <w:tabs>
          <w:tab w:leader="none" w:pos="372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Steven Boyd</w:t>
      </w:r>
    </w:p>
    <w:p>
      <w:pPr>
        <w:sectPr>
          <w:pgSz w:w="11900" w:h="16847" w:orient="portrait"/>
          <w:cols w:equalWidth="0" w:num="1">
            <w:col w:w="11140"/>
          </w:cols>
          <w:pgMar w:left="360" w:top="112" w:right="399" w:bottom="0" w:gutter="0" w:footer="0" w:header="0"/>
          <w:type w:val="continuous"/>
        </w:sectPr>
      </w:pPr>
    </w:p>
    <w:bookmarkStart w:id="4" w:name="page5"/>
    <w:bookmarkEnd w:id="4"/>
    <w:p>
      <w:pPr>
        <w:ind w:left="2660"/>
        <w:spacing w:after="0"/>
        <w:rPr>
          <w:sz w:val="20"/>
          <w:szCs w:val="20"/>
          <w:color w:val="auto"/>
        </w:rPr>
      </w:pPr>
      <w:r>
        <w:rPr>
          <w:rFonts w:ascii="Times New Roman" w:cs="Times New Roman" w:eastAsia="Times New Roman" w:hAnsi="Times New Roman"/>
          <w:sz w:val="22"/>
          <w:szCs w:val="22"/>
          <w:color w:val="auto"/>
        </w:rPr>
        <w:t>Name/Title: Steven Boyd</w:t>
      </w:r>
    </w:p>
    <w:p>
      <w:pPr>
        <w:spacing w:after="0" w:line="45" w:lineRule="exact"/>
        <w:rPr>
          <w:sz w:val="20"/>
          <w:szCs w:val="20"/>
          <w:color w:val="auto"/>
        </w:rPr>
      </w:pPr>
    </w:p>
    <w:p>
      <w:pPr>
        <w:ind w:left="2660"/>
        <w:spacing w:after="0"/>
        <w:tabs>
          <w:tab w:leader="none" w:pos="372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11/14/2025</w:t>
      </w:r>
    </w:p>
    <w:p>
      <w:pPr>
        <w:spacing w:after="0" w:line="108"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22"/>
          <w:szCs w:val="22"/>
          <w:b w:val="1"/>
          <w:bCs w:val="1"/>
          <w:color w:val="auto"/>
        </w:rPr>
        <w:t>Exhibit Information</w:t>
      </w:r>
    </w:p>
    <w:p>
      <w:pPr>
        <w:spacing w:after="0" w:line="291" w:lineRule="exact"/>
        <w:rPr>
          <w:sz w:val="20"/>
          <w:szCs w:val="20"/>
          <w:color w:val="auto"/>
        </w:rPr>
      </w:pPr>
    </w:p>
    <w:p>
      <w:pPr>
        <w:spacing w:after="0" w:line="235" w:lineRule="auto"/>
        <w:rPr>
          <w:sz w:val="20"/>
          <w:szCs w:val="20"/>
          <w:color w:val="auto"/>
        </w:rPr>
      </w:pPr>
      <w:r>
        <w:rPr>
          <w:rFonts w:ascii="Times New Roman" w:cs="Times New Roman" w:eastAsia="Times New Roman" w:hAnsi="Times New Roman"/>
          <w:sz w:val="22"/>
          <w:szCs w:val="22"/>
          <w:color w:val="auto"/>
        </w:rPr>
        <w:t>JOINT FILING STATEMENT PURSUANT TO RULE 13d-1(k) The undersigned acknowledge and agree that the foregoing statement on Schedule 13G/A, is filed on behalf of each of the undersigned and that all subsequent amendments to this statement on Schedule 13G/A, shall be filed on behalf of each of the undersigned without the necessity of filing additional joint acquisition statements. The undersigned acknowledge that each shall be responsible for the timely filing of such amendments, and for the completeness and accuracy of the information concerning him or it contained therein, but shall not be responsible for the completeness and accuracy of the information concerning the others, except to the extent that he or it knows or has reason to believe that such information is inaccurate. Dated: November 14, 2025 Armistice Capital, LLC By: /s/ Steven Boyd Steven Boyd - Managing Member Steven Boyd By: /s/ Steven Boyd</w:t>
      </w:r>
    </w:p>
    <w:sectPr>
      <w:pgSz w:w="11900" w:h="16838" w:orient="portrait"/>
      <w:cols w:equalWidth="0" w:num="1">
        <w:col w:w="11140"/>
      </w:cols>
      <w:pgMar w:left="360" w:top="112" w:right="3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625558EC"/>
    <w:multiLevelType w:val="hybridMultilevel"/>
    <w:lvl w:ilvl="0">
      <w:lvlJc w:val="left"/>
      <w:lvlText w:val="2"/>
      <w:numFmt w:val="bullet"/>
      <w:start w:val="1"/>
    </w:lvl>
  </w:abstractNum>
  <w:abstractNum w:abstractNumId="1">
    <w:nsid w:val="238E1F29"/>
    <w:multiLevelType w:val="hybridMultilevel"/>
    <w:lvl w:ilvl="0">
      <w:lvlJc w:val="left"/>
      <w:lvlText w:val="3"/>
      <w:numFmt w:val="bullet"/>
      <w:start w:val="1"/>
    </w:lvl>
  </w:abstractNum>
  <w:abstractNum w:abstractNumId="2">
    <w:nsid w:val="46E87CCD"/>
    <w:multiLevelType w:val="hybridMultilevel"/>
    <w:lvl w:ilvl="0">
      <w:lvlJc w:val="left"/>
      <w:lvlText w:val="(%1)"/>
      <w:numFmt w:val="lowerLetter"/>
      <w:start w:val="2"/>
    </w:lvl>
  </w:abstractNum>
  <w:abstractNum w:abstractNumId="3">
    <w:nsid w:val="3D1B58BA"/>
    <w:multiLevelType w:val="hybridMultilevel"/>
    <w:lvl w:ilvl="0">
      <w:lvlJc w:val="left"/>
      <w:lvlText w:val="(%1)"/>
      <w:numFmt w:val="lowerLetter"/>
      <w:start w:val="1"/>
    </w:lvl>
  </w:abstractNum>
  <w:abstractNum w:abstractNumId="4">
    <w:nsid w:val="507ED7AB"/>
    <w:multiLevelType w:val="hybridMultilevel"/>
    <w:lvl w:ilvl="0">
      <w:lvlJc w:val="left"/>
      <w:lvlText w:val="(%1)"/>
      <w:numFmt w:val="lowerLetter"/>
      <w:start w:val="11"/>
    </w:lvl>
  </w:abstractNum>
  <w:abstractNum w:abstractNumId="5">
    <w:nsid w:val="2EB141F2"/>
    <w:multiLevelType w:val="hybridMultilevel"/>
    <w:lvl w:ilvl="0">
      <w:lvlJc w:val="left"/>
      <w:lvlText w:val="(%1)"/>
      <w:numFmt w:val="lowerLetter"/>
      <w:start w:val="3"/>
    </w:lvl>
  </w:abstractNum>
  <w:abstractNum w:abstractNumId="6">
    <w:nsid w:val="41B71EFB"/>
    <w:multiLevelType w:val="hybridMultilevel"/>
    <w:lvl w:ilvl="0">
      <w:lvlJc w:val="left"/>
      <w:lvlText w:val="(%1)"/>
      <w:numFmt w:val="lowerRoman"/>
      <w:start w:val="2"/>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jpeg"/><Relationship Id="rId15" Type="http://schemas.openxmlformats.org/officeDocument/2006/relationships/image" Target="media/image8.jpe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jpeg"/><Relationship Id="rId19" Type="http://schemas.openxmlformats.org/officeDocument/2006/relationships/image" Target="media/image12.jpeg"/><Relationship Id="rId20" Type="http://schemas.openxmlformats.org/officeDocument/2006/relationships/image" Target="media/image13.jpeg"/><Relationship Id="rId21" Type="http://schemas.openxmlformats.org/officeDocument/2006/relationships/image" Target="media/image14.jpeg"/><Relationship Id="rId22" Type="http://schemas.openxmlformats.org/officeDocument/2006/relationships/image" Target="media/image15.jpeg"/><Relationship Id="rId23" Type="http://schemas.openxmlformats.org/officeDocument/2006/relationships/image" Target="media/image16.jpeg"/><Relationship Id="rId24" Type="http://schemas.openxmlformats.org/officeDocument/2006/relationships/image" Target="media/image17.jpeg"/><Relationship Id="rId25" Type="http://schemas.openxmlformats.org/officeDocument/2006/relationships/image" Target="media/image18.jpeg"/><Relationship Id="rId26" Type="http://schemas.openxmlformats.org/officeDocument/2006/relationships/image" Target="media/image19.jpeg"/><Relationship Id="rId27" Type="http://schemas.openxmlformats.org/officeDocument/2006/relationships/image" Target="media/image20.jpeg"/><Relationship Id="rId28" Type="http://schemas.openxmlformats.org/officeDocument/2006/relationships/image" Target="media/image21.jpeg"/><Relationship Id="rId29" Type="http://schemas.openxmlformats.org/officeDocument/2006/relationships/image" Target="media/image22.jpeg"/><Relationship Id="rId30" Type="http://schemas.openxmlformats.org/officeDocument/2006/relationships/image" Target="media/image23.jpeg"/><Relationship Id="rId31" Type="http://schemas.openxmlformats.org/officeDocument/2006/relationships/image" Target="media/image24.jpeg"/><Relationship Id="rId32" Type="http://schemas.openxmlformats.org/officeDocument/2006/relationships/image" Target="media/image25.jpeg"/><Relationship Id="rId33" Type="http://schemas.openxmlformats.org/officeDocument/2006/relationships/image" Target="media/image26.jpeg"/><Relationship Id="rId34" Type="http://schemas.openxmlformats.org/officeDocument/2006/relationships/image" Target="media/image27.jpeg"/><Relationship Id="rId35" Type="http://schemas.openxmlformats.org/officeDocument/2006/relationships/image" Target="media/image28.jpeg"/><Relationship Id="rId36" Type="http://schemas.openxmlformats.org/officeDocument/2006/relationships/image" Target="media/image29.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2025-11-14T17:22:13Z</dcterms:created>
  <dcterms:modified xsi:type="dcterms:W3CDTF">2025-11-14T17:22:13Z</dcterms:modified>
</cp:coreProperties>
</file>