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Imran Talat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RANI THERAPEUTICS LLC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2051 RINGWOOD AVE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Rani Therapeutics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12/27/2024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855"/>
        <w:gridCol w:w="461"/>
        <w:gridCol w:w="676"/>
        <w:gridCol w:w="1206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12/27/2024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8,014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1.41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486,737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06/27/2025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9,076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0.55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477,661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09/27/2025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9,077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0.48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468,584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12/27/2025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7,906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460,678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03/22/2026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8,916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1.13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451,762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03/27/2026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9,099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0.81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442,663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06/27/2026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7,927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0.74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434,736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is being reported late due to inadvertent administrative oversight.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sale of shares to cover tax withholding obligations in connection with the settlement and release of the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12,343 shares held by VH Moll, L.P. The Reporting Person disclaims beneficial ownership of these securities except to the extent of his pecuniary interest therein.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shares withheld by and surrendered to the Issuer to satisfy tax withholding obligations in connection with the settlement and release of the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Talat Imran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9579" TargetMode="External"/><Relationship Id="rId5" Type="http://schemas.openxmlformats.org/officeDocument/2006/relationships/hyperlink" Target="http://www.sec.gov/cgi-bin/browse-edgar?action=getcompany&amp;CIK=00018567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723</Words>
  <Characters>3927</Characters>
  <CharactersWithSpaces>4531</CharactersWithSpaces>
  <Paragraphs>148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