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9"/>
          <w:szCs w:val="19"/>
          <w:color w:val="auto"/>
        </w:rPr>
        <w:t>RANI THERAPEUTICS HOLDINGS, INC.</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12,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Attn:</w:t>
        <w:tab/>
        <w:t>Chris Edwards</w:t>
      </w:r>
    </w:p>
    <w:p>
      <w:pPr>
        <w:spacing w:after="0" w:line="248" w:lineRule="exact"/>
        <w:rPr>
          <w:sz w:val="24"/>
          <w:szCs w:val="24"/>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Rani Therapeutics Holdings, Inc.</w:t>
      </w:r>
    </w:p>
    <w:p>
      <w:pPr>
        <w:spacing w:after="0" w:line="31"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File No. 333-289424</w:t>
      </w:r>
    </w:p>
    <w:p>
      <w:pPr>
        <w:sectPr>
          <w:pgSz w:w="11900" w:h="16838" w:orient="portrait"/>
          <w:cols w:equalWidth="0" w:num="1">
            <w:col w:w="11000"/>
          </w:cols>
          <w:pgMar w:left="440" w:top="225" w:right="459" w:bottom="1440" w:gutter="0" w:footer="0" w:header="0"/>
        </w:sectPr>
      </w:pPr>
    </w:p>
    <w:p>
      <w:pPr>
        <w:spacing w:after="0" w:line="230" w:lineRule="exact"/>
        <w:rPr>
          <w:sz w:val="24"/>
          <w:szCs w:val="24"/>
          <w:color w:val="auto"/>
        </w:rPr>
      </w:pPr>
    </w:p>
    <w:p>
      <w:pPr>
        <w:jc w:val="both"/>
        <w:ind w:left="1340" w:hanging="795"/>
        <w:spacing w:after="0" w:line="291" w:lineRule="auto"/>
        <w:rPr>
          <w:sz w:val="20"/>
          <w:szCs w:val="20"/>
          <w:color w:val="auto"/>
        </w:rPr>
      </w:pPr>
      <w:r>
        <w:rPr>
          <w:rFonts w:ascii="Times New Roman" w:cs="Times New Roman" w:eastAsia="Times New Roman" w:hAnsi="Times New Roman"/>
          <w:sz w:val="17"/>
          <w:szCs w:val="17"/>
          <w:b w:val="1"/>
          <w:bCs w:val="1"/>
          <w:color w:val="auto"/>
        </w:rPr>
        <w:t>Acceleration Request Requested Date: Requested Time: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August 14, 2025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4:15 PM Eastern Time</w:t>
      </w:r>
    </w:p>
    <w:p>
      <w:pPr>
        <w:spacing w:after="0" w:line="218" w:lineRule="exact"/>
        <w:rPr>
          <w:sz w:val="24"/>
          <w:szCs w:val="24"/>
          <w:color w:val="auto"/>
        </w:rPr>
      </w:pPr>
    </w:p>
    <w:p>
      <w:pPr>
        <w:sectPr>
          <w:pgSz w:w="11900" w:h="16838" w:orient="portrait"/>
          <w:cols w:equalWidth="0" w:num="2">
            <w:col w:w="2640" w:space="340"/>
            <w:col w:w="8020"/>
          </w:cols>
          <w:pgMar w:left="440" w:top="225" w:right="45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firstLine="551"/>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Rani Therapeutics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requests that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accelerate the effective date of the above-referenced Registration Statement on Form S-3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declare the Registration Statement effective as of 4:15 p.m. Eastern Time, on August 14, 2025, or as soon thereafter as possible, or at such other time as the Company or its counsel may request by telephone to the staff of the Commission. The Company hereby authorizes each of Josh Seidenfeld and John McKenna of Cooley LLP, counsel to the Company, to make such a request on its behalf.</w:t>
      </w:r>
    </w:p>
    <w:p>
      <w:pPr>
        <w:spacing w:after="0" w:line="183" w:lineRule="exact"/>
        <w:rPr>
          <w:sz w:val="24"/>
          <w:szCs w:val="24"/>
          <w:color w:val="auto"/>
        </w:rPr>
      </w:pPr>
    </w:p>
    <w:p>
      <w:pPr>
        <w:ind w:right="520" w:firstLine="551"/>
        <w:spacing w:after="0" w:line="282" w:lineRule="auto"/>
        <w:rPr>
          <w:sz w:val="20"/>
          <w:szCs w:val="20"/>
          <w:color w:val="auto"/>
        </w:rPr>
      </w:pPr>
      <w:r>
        <w:rPr>
          <w:rFonts w:ascii="Times New Roman" w:cs="Times New Roman" w:eastAsia="Times New Roman" w:hAnsi="Times New Roman"/>
          <w:sz w:val="18"/>
          <w:szCs w:val="18"/>
          <w:color w:val="auto"/>
        </w:rPr>
        <w:t>Once the Registration Statement has been declared effective, please orally confirm that event with John McKenna of Cooley LLP at (650) 843-5059.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000"/>
          </w:cols>
          <w:pgMar w:left="440" w:top="225" w:right="459" w:bottom="1440" w:gutter="0" w:footer="0" w:header="0"/>
          <w:type w:val="continuous"/>
        </w:sectPr>
      </w:pPr>
    </w:p>
    <w:bookmarkStart w:id="1" w:name="page2"/>
    <w:bookmarkEnd w:id="1"/>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Rani Therapeutics Holdings,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Svai Sanford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Josh Seidenfeld, Cooley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John McKenna, Cooley LLP</w:t>
      </w:r>
    </w:p>
    <w:p>
      <w:pPr>
        <w:spacing w:after="0" w:line="20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[Signature Page to Acceleration Request]</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2025-09-12T23:11:37Z</dcterms:created>
  <dcterms:modified xsi:type="dcterms:W3CDTF">2025-09-12T23:11:37Z</dcterms:modified>
</cp:coreProperties>
</file>