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Hashim Mir</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Rani Therapeutics Holdings,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RANI</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RANI THERAPEUTICS LLC</w:t>
            </w:r>
          </w:p>
        </w:tc>
        <w:tc>
          <w:tcPr>
            <w:tcW w:w="2980" w:type="dxa"/>
            <w:vAlign w:val="bottom"/>
            <w:gridSpan w:val="3"/>
          </w:tcPr>
          <w:p>
            <w:pPr>
              <w:ind w:left="160"/>
              <w:spacing w:after="0"/>
              <w:rPr>
                <w:sz w:val="20"/>
                <w:szCs w:val="20"/>
                <w:color w:val="auto"/>
              </w:rPr>
            </w:pPr>
            <w:r>
              <w:rPr>
                <w:rFonts w:ascii="Arial" w:cs="Arial" w:eastAsia="Arial" w:hAnsi="Arial"/>
                <w:sz w:val="17"/>
                <w:szCs w:val="17"/>
                <w:color w:val="0000FF"/>
              </w:rPr>
              <w:t>03/22/2023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 JOSE</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95131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4,201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5.95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134,265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withheld by and surrendered to the Issuer on March 22, 2023, to satisfy tax withholding obligations that arose in connection with the vesting of the restricted stock units granted to Dr. Hashim on March 22,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Mir Hashim</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589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2023-03-24T22:33:31Z</dcterms:created>
  <dcterms:modified xsi:type="dcterms:W3CDTF">2023-03-24T22:33:31Z</dcterms:modified>
</cp:coreProperties>
</file>