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7049135" cy="4771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477139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McKinley Kate</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00" w:type="dxa"/>
            <w:vAlign w:val="bottom"/>
          </w:tcPr>
          <w:p>
            <w:pPr>
              <w:ind w:left="40"/>
              <w:spacing w:after="0"/>
              <w:rPr>
                <w:sz w:val="20"/>
                <w:szCs w:val="20"/>
                <w:color w:val="auto"/>
              </w:rPr>
            </w:pPr>
            <w:r>
              <w:rPr>
                <w:rFonts w:ascii="Arial" w:cs="Arial" w:eastAsia="Arial" w:hAnsi="Arial"/>
                <w:sz w:val="12"/>
                <w:szCs w:val="12"/>
                <w:color w:val="auto"/>
              </w:rPr>
              <w:t>(Last)</w:t>
            </w:r>
          </w:p>
        </w:tc>
        <w:tc>
          <w:tcPr>
            <w:tcW w:w="1060" w:type="dxa"/>
            <w:vAlign w:val="bottom"/>
          </w:tcPr>
          <w:p>
            <w:pPr>
              <w:ind w:left="260"/>
              <w:spacing w:after="0"/>
              <w:rPr>
                <w:sz w:val="20"/>
                <w:szCs w:val="20"/>
                <w:color w:val="auto"/>
              </w:rPr>
            </w:pPr>
            <w:r>
              <w:rPr>
                <w:rFonts w:ascii="Arial" w:cs="Arial" w:eastAsia="Arial" w:hAnsi="Arial"/>
                <w:sz w:val="12"/>
                <w:szCs w:val="12"/>
                <w:color w:val="auto"/>
              </w:rPr>
              <w:t>(First)</w:t>
            </w:r>
          </w:p>
        </w:tc>
        <w:tc>
          <w:tcPr>
            <w:tcW w:w="88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2051 RINGWOOD AVE</w:t>
            </w:r>
          </w:p>
        </w:tc>
        <w:tc>
          <w:tcPr>
            <w:tcW w:w="880" w:type="dxa"/>
            <w:vAlign w:val="bottom"/>
          </w:tcPr>
          <w:p>
            <w:pPr>
              <w:spacing w:after="0"/>
              <w:rPr>
                <w:sz w:val="22"/>
                <w:szCs w:val="22"/>
                <w:color w:val="auto"/>
              </w:rPr>
            </w:pPr>
          </w:p>
        </w:tc>
      </w:tr>
      <w:tr>
        <w:trPr>
          <w:trHeight w:val="465"/>
        </w:trPr>
        <w:tc>
          <w:tcPr>
            <w:tcW w:w="1000" w:type="dxa"/>
            <w:vAlign w:val="bottom"/>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9"/>
        </w:trPr>
        <w:tc>
          <w:tcPr>
            <w:tcW w:w="10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SAN JOSE</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95131</w:t>
            </w:r>
          </w:p>
        </w:tc>
      </w:tr>
      <w:tr>
        <w:trPr>
          <w:trHeight w:val="452"/>
        </w:trPr>
        <w:tc>
          <w:tcPr>
            <w:tcW w:w="1000" w:type="dxa"/>
            <w:vAlign w:val="bottom"/>
          </w:tcPr>
          <w:p>
            <w:pPr>
              <w:ind w:left="4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88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Rani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RANI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520" w:type="dxa"/>
            <w:vAlign w:val="bottom"/>
            <w:tcBorders>
              <w:top w:val="single" w:sz="8" w:color="0000EE"/>
            </w:tcBorders>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2"/>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80" w:type="dxa"/>
            <w:vAlign w:val="bottom"/>
            <w:gridSpan w:val="2"/>
            <w:vMerge w:val="continue"/>
          </w:tcPr>
          <w:p>
            <w:pPr>
              <w:spacing w:after="0"/>
              <w:rPr>
                <w:sz w:val="10"/>
                <w:szCs w:val="10"/>
                <w:color w:val="auto"/>
              </w:rPr>
            </w:pPr>
          </w:p>
        </w:tc>
        <w:tc>
          <w:tcPr>
            <w:tcW w:w="36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18"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10"/>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12/16/2023</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0000FF"/>
              </w:rPr>
              <w:t>Chief Business Officer</w:t>
            </w:r>
          </w:p>
        </w:tc>
        <w:tc>
          <w:tcPr>
            <w:tcW w:w="0" w:type="dxa"/>
            <w:vAlign w:val="bottom"/>
          </w:tcPr>
          <w:p>
            <w:pPr>
              <w:spacing w:after="0"/>
              <w:rPr>
                <w:sz w:val="1"/>
                <w:szCs w:val="1"/>
                <w:color w:val="auto"/>
              </w:rPr>
            </w:pPr>
          </w:p>
        </w:tc>
      </w:tr>
      <w:tr>
        <w:trPr>
          <w:trHeight w:val="69"/>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250,000</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4.13</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250,000</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05/21/2033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right"/>
              <w:ind w:right="343"/>
              <w:spacing w:after="0"/>
              <w:rPr>
                <w:sz w:val="20"/>
                <w:szCs w:val="20"/>
                <w:color w:val="auto"/>
              </w:rPr>
            </w:pPr>
            <w:r>
              <w:rPr>
                <w:rFonts w:ascii="Times New Roman" w:cs="Times New Roman" w:eastAsia="Times New Roman" w:hAnsi="Times New Roman"/>
                <w:sz w:val="12"/>
                <w:szCs w:val="12"/>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250,000</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250,000</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05/21/2033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right"/>
              <w:ind w:right="183"/>
              <w:spacing w:after="0"/>
              <w:rPr>
                <w:sz w:val="20"/>
                <w:szCs w:val="20"/>
                <w:color w:val="auto"/>
              </w:rPr>
            </w:pPr>
            <w:r>
              <w:rPr>
                <w:rFonts w:ascii="Times New Roman" w:cs="Times New Roman" w:eastAsia="Times New Roman" w:hAnsi="Times New Roman"/>
                <w:sz w:val="12"/>
                <w:szCs w:val="12"/>
                <w:color w:val="0000FF"/>
              </w:rPr>
              <w:t>250,000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25% of the shares subject to the option vest on May 22, 2024; and 1/48th of the shares subject to the option vest monthly over the remaining three years.</w:t>
      </w:r>
    </w:p>
    <w:p>
      <w:pPr>
        <w:spacing w:after="0" w:line="48" w:lineRule="exact"/>
        <w:rPr>
          <w:rFonts w:ascii="Times New Roman" w:cs="Times New Roman" w:eastAsia="Times New Roman" w:hAnsi="Times New Roman"/>
          <w:sz w:val="12"/>
          <w:szCs w:val="12"/>
          <w:color w:val="008000"/>
        </w:rPr>
      </w:pPr>
    </w:p>
    <w:p>
      <w:pPr>
        <w:ind w:left="40" w:right="2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December 16, 2023 (the "Repricing Date"). Pursuant to the Option Repricing, the exercise price of the repriced options has been amended to reduce the exercise price to $2.84 per share, the closing price of the Issuer's Common Stock on the Repricing Date. There is no change to the expiration dates or the vesting schedule of the repriced options.</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Kate McKinley</w:t>
            </w:r>
          </w:p>
        </w:tc>
        <w:tc>
          <w:tcPr>
            <w:tcW w:w="120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5"/>
              </w:rPr>
              <w:t>12/19/2023</w:t>
            </w: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79211"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2023-12-19T15:15:23Z</dcterms:created>
  <dcterms:modified xsi:type="dcterms:W3CDTF">2023-12-19T15:15:23Z</dcterms:modified>
</cp:coreProperties>
</file>