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52705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920" w:right="1980" w:hanging="3899"/>
        <w:spacing w:after="0" w:line="25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2880" w:right="1600" w:hanging="2859"/>
        <w:spacing w:after="0" w:line="253" w:lineRule="auto"/>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 to ________________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001-40672</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-254000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p>
      <w:pPr>
        <w:spacing w:after="0" w:line="4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ind w:left="2020"/>
        <w:spacing w:after="0" w:line="216" w:lineRule="auto"/>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86-3114789</w:t>
      </w: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700" w:space="240"/>
            <w:col w:w="3300"/>
          </w:cols>
          <w:pgMar w:left="320" w:top="520"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1500" w:type="dxa"/>
            <w:vAlign w:val="bottom"/>
          </w:tcPr>
          <w:p>
            <w:pPr>
              <w:spacing w:after="0"/>
              <w:rPr>
                <w:sz w:val="15"/>
                <w:szCs w:val="15"/>
                <w:color w:val="auto"/>
              </w:rPr>
            </w:pPr>
          </w:p>
        </w:tc>
        <w:tc>
          <w:tcPr>
            <w:tcW w:w="2460" w:type="dxa"/>
            <w:vAlign w:val="bottom"/>
          </w:tcPr>
          <w:p>
            <w:pPr>
              <w:jc w:val="center"/>
              <w:ind w:left="103"/>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2460" w:type="dxa"/>
            <w:vAlign w:val="bottom"/>
          </w:tcPr>
          <w:p>
            <w:pPr>
              <w:jc w:val="center"/>
              <w:ind w:left="83"/>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95131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00" w:type="dxa"/>
            <w:vAlign w:val="bottom"/>
          </w:tcPr>
          <w:p>
            <w:pPr>
              <w:spacing w:after="0"/>
              <w:rPr>
                <w:sz w:val="14"/>
                <w:szCs w:val="14"/>
                <w:color w:val="auto"/>
              </w:rPr>
            </w:pPr>
          </w:p>
        </w:tc>
        <w:tc>
          <w:tcPr>
            <w:tcW w:w="2460" w:type="dxa"/>
            <w:vAlign w:val="bottom"/>
          </w:tcPr>
          <w:p>
            <w:pPr>
              <w:jc w:val="center"/>
              <w:ind w:left="10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00" w:type="dxa"/>
            <w:vAlign w:val="bottom"/>
          </w:tcPr>
          <w:p>
            <w:pPr>
              <w:spacing w:after="0"/>
              <w:rPr>
                <w:sz w:val="21"/>
                <w:szCs w:val="21"/>
                <w:color w:val="auto"/>
              </w:rPr>
            </w:pPr>
          </w:p>
        </w:tc>
        <w:tc>
          <w:tcPr>
            <w:tcW w:w="9520" w:type="dxa"/>
            <w:vAlign w:val="bottom"/>
            <w:gridSpan w:val="10"/>
          </w:tcPr>
          <w:p>
            <w:pPr>
              <w:ind w:left="15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6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8"/>
          </w:tcPr>
          <w:p>
            <w:pPr>
              <w:ind w:left="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24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4"/>
          </w:tcPr>
          <w:p>
            <w:pPr>
              <w:jc w:val="center"/>
              <w:ind w:right="1280"/>
              <w:spacing w:after="0" w:line="145" w:lineRule="exact"/>
              <w:rPr>
                <w:sz w:val="20"/>
                <w:szCs w:val="20"/>
                <w:color w:val="auto"/>
              </w:rPr>
            </w:pPr>
            <w:r>
              <w:rPr>
                <w:rFonts w:ascii="Times New Roman" w:cs="Times New Roman" w:eastAsia="Times New Roman" w:hAnsi="Times New Roman"/>
                <w:sz w:val="13"/>
                <w:szCs w:val="13"/>
                <w:b w:val="1"/>
                <w:bCs w:val="1"/>
                <w:color w:val="auto"/>
                <w:w w:val="92"/>
              </w:rPr>
              <w:t>Trading</w:t>
            </w:r>
          </w:p>
        </w:tc>
        <w:tc>
          <w:tcPr>
            <w:tcW w:w="3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120" w:type="dxa"/>
            <w:vAlign w:val="bottom"/>
          </w:tcPr>
          <w:p>
            <w:pPr>
              <w:spacing w:after="0"/>
              <w:rPr>
                <w:sz w:val="14"/>
                <w:szCs w:val="14"/>
                <w:color w:val="auto"/>
              </w:rPr>
            </w:pPr>
          </w:p>
        </w:tc>
        <w:tc>
          <w:tcPr>
            <w:tcW w:w="1080" w:type="dxa"/>
            <w:vAlign w:val="bottom"/>
            <w:tcBorders>
              <w:bottom w:val="single" w:sz="8" w:color="auto"/>
            </w:tcBorders>
            <w:gridSpan w:val="2"/>
          </w:tcPr>
          <w:p>
            <w:pPr>
              <w:spacing w:after="0"/>
              <w:rPr>
                <w:sz w:val="14"/>
                <w:szCs w:val="14"/>
                <w:color w:val="auto"/>
              </w:rPr>
            </w:pPr>
          </w:p>
        </w:tc>
        <w:tc>
          <w:tcPr>
            <w:tcW w:w="374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color w:val="auto"/>
                <w:w w:val="99"/>
              </w:rPr>
              <w:t>RANI</w:t>
            </w:r>
          </w:p>
        </w:tc>
        <w:tc>
          <w:tcPr>
            <w:tcW w:w="5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5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4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00" w:type="dxa"/>
            <w:vAlign w:val="bottom"/>
            <w:gridSpan w:val="10"/>
          </w:tcPr>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22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800" w:type="dxa"/>
            <w:vAlign w:val="bottom"/>
            <w:gridSpan w:val="10"/>
          </w:tcPr>
          <w:p>
            <w:pPr>
              <w:ind w:left="60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3220" w:type="dxa"/>
            <w:vAlign w:val="bottom"/>
          </w:tcPr>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1240" w:type="dxa"/>
            <w:vAlign w:val="bottom"/>
            <w:gridSpan w:val="12"/>
          </w:tcPr>
          <w:p>
            <w:pPr>
              <w:ind w:left="600"/>
              <w:spacing w:after="0" w:line="145"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w:t>
            </w:r>
          </w:p>
        </w:tc>
        <w:tc>
          <w:tcPr>
            <w:tcW w:w="0" w:type="dxa"/>
            <w:vAlign w:val="bottom"/>
          </w:tcPr>
          <w:p>
            <w:pPr>
              <w:spacing w:after="0"/>
              <w:rPr>
                <w:sz w:val="1"/>
                <w:szCs w:val="1"/>
                <w:color w:val="auto"/>
              </w:rPr>
            </w:pPr>
          </w:p>
        </w:tc>
      </w:tr>
      <w:tr>
        <w:trPr>
          <w:trHeight w:val="207"/>
        </w:trPr>
        <w:tc>
          <w:tcPr>
            <w:tcW w:w="11020" w:type="dxa"/>
            <w:vAlign w:val="bottom"/>
            <w:gridSpan w:val="11"/>
          </w:tcPr>
          <w:p>
            <w:pPr>
              <w:spacing w:after="0" w:line="161" w:lineRule="exact"/>
              <w:rPr>
                <w:sz w:val="20"/>
                <w:szCs w:val="20"/>
                <w:color w:val="auto"/>
              </w:rPr>
            </w:pPr>
            <w:r>
              <w:rPr>
                <w:rFonts w:ascii="Times New Roman" w:cs="Times New Roman" w:eastAsia="Times New Roman" w:hAnsi="Times New Roman"/>
                <w:sz w:val="14"/>
                <w:szCs w:val="14"/>
                <w:color w:val="auto"/>
              </w:rPr>
              <w:t xml:space="preserve">(or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1020" w:type="dxa"/>
            <w:vAlign w:val="bottom"/>
            <w:gridSpan w:val="11"/>
          </w:tcPr>
          <w:p>
            <w:pPr>
              <w:ind w:left="600"/>
              <w:spacing w:after="0" w:line="145"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728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this chapter) during the preceding 12 months (or for such shorter period that the registrant was required to submit such files).</w:t>
            </w:r>
          </w:p>
        </w:tc>
        <w:tc>
          <w:tcPr>
            <w:tcW w:w="52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1240" w:type="dxa"/>
            <w:vAlign w:val="bottom"/>
            <w:gridSpan w:val="12"/>
          </w:tcPr>
          <w:p>
            <w:pPr>
              <w:ind w:left="60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w:t>
            </w:r>
          </w:p>
        </w:tc>
        <w:tc>
          <w:tcPr>
            <w:tcW w:w="0" w:type="dxa"/>
            <w:vAlign w:val="bottom"/>
          </w:tcPr>
          <w:p>
            <w:pPr>
              <w:spacing w:after="0"/>
              <w:rPr>
                <w:sz w:val="1"/>
                <w:szCs w:val="1"/>
                <w:color w:val="auto"/>
              </w:rPr>
            </w:pPr>
          </w:p>
        </w:tc>
      </w:tr>
      <w:tr>
        <w:trPr>
          <w:trHeight w:val="179"/>
        </w:trPr>
        <w:tc>
          <w:tcPr>
            <w:tcW w:w="11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definitions of “large accelerated filer,” “accelerated filer,” “smaller reporting company,” and “emerging growth company” in Rule 12b-2 of the Exchange Act.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246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62"/>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246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1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8" w:lineRule="exact"/>
        <w:rPr>
          <w:sz w:val="24"/>
          <w:szCs w:val="24"/>
          <w:color w:val="auto"/>
        </w:rPr>
      </w:pPr>
    </w:p>
    <w:p>
      <w:pPr>
        <w:ind w:right="640" w:firstLine="59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80" w:firstLine="599"/>
        <w:spacing w:after="0" w:line="16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7300" w:val="left"/>
          <w:tab w:leader="none" w:pos="78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p>
    <w:p>
      <w:pPr>
        <w:ind w:right="120" w:firstLine="599"/>
        <w:spacing w:after="0" w:line="253" w:lineRule="auto"/>
        <w:rPr>
          <w:sz w:val="20"/>
          <w:szCs w:val="20"/>
          <w:color w:val="auto"/>
        </w:rPr>
      </w:pPr>
      <w:r>
        <w:rPr>
          <w:rFonts w:ascii="Times New Roman" w:cs="Times New Roman" w:eastAsia="Times New Roman" w:hAnsi="Times New Roman"/>
          <w:sz w:val="14"/>
          <w:szCs w:val="14"/>
          <w:color w:val="auto"/>
        </w:rPr>
        <w:t>The registrant was not a public company as of June 30, 2021, the last business day of its most recently completed second fiscal quarter and therefore cannot calculate the aggregate market value of its voting and non-voting common equity held by non-affiliates as of such date. The registrant’s Class A common stock began trading on The Nasdaq Stock Market LLC on July 30, 2021.</w:t>
      </w:r>
    </w:p>
    <w:p>
      <w:pPr>
        <w:spacing w:after="0" w:line="157" w:lineRule="exact"/>
        <w:rPr>
          <w:sz w:val="24"/>
          <w:szCs w:val="24"/>
          <w:color w:val="auto"/>
        </w:rPr>
      </w:pPr>
    </w:p>
    <w:p>
      <w:pPr>
        <w:ind w:right="40" w:firstLine="599"/>
        <w:spacing w:after="0" w:line="249" w:lineRule="auto"/>
        <w:rPr>
          <w:sz w:val="20"/>
          <w:szCs w:val="20"/>
          <w:color w:val="auto"/>
        </w:rPr>
      </w:pPr>
      <w:r>
        <w:rPr>
          <w:rFonts w:ascii="Times New Roman" w:cs="Times New Roman" w:eastAsia="Times New Roman" w:hAnsi="Times New Roman"/>
          <w:sz w:val="14"/>
          <w:szCs w:val="14"/>
          <w:color w:val="auto"/>
        </w:rPr>
        <w:t>As of March 28, 2022, the registrant had 24,387,030 shares of Class A common stock, $0.0001 par value per share, outstanding, 24,773,286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1,387,471 shares of the registrant’s Class A common stock.</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5" w:lineRule="exact"/>
        <w:rPr>
          <w:sz w:val="24"/>
          <w:szCs w:val="24"/>
          <w:color w:val="auto"/>
        </w:rPr>
      </w:pPr>
    </w:p>
    <w:p>
      <w:pPr>
        <w:ind w:right="140" w:firstLine="599"/>
        <w:spacing w:after="0" w:line="249" w:lineRule="auto"/>
        <w:rPr>
          <w:sz w:val="20"/>
          <w:szCs w:val="20"/>
          <w:color w:val="auto"/>
        </w:rPr>
      </w:pPr>
      <w:r>
        <w:rPr>
          <w:rFonts w:ascii="Times New Roman" w:cs="Times New Roman" w:eastAsia="Times New Roman" w:hAnsi="Times New Roman"/>
          <w:sz w:val="14"/>
          <w:szCs w:val="14"/>
          <w:color w:val="auto"/>
        </w:rPr>
        <w:t>The information required by Part III of this Annual Report on Form 10-K, to the extent not set forth herein, is incorporated herein by reference from the registrant’s definitive proxy statement relating to the Annual Meeting of Stockholders to be held in 2022, which definitive proxy statement shall be filed with the Securities and Exchange Commission within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376555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vMerge w:val="restart"/>
          </w:tcPr>
          <w:p>
            <w:pPr>
              <w:spacing w:after="0"/>
              <w:rPr>
                <w:sz w:val="24"/>
                <w:szCs w:val="24"/>
                <w:color w:val="auto"/>
              </w:rPr>
            </w:pPr>
          </w:p>
        </w:tc>
        <w:tc>
          <w:tcPr>
            <w:tcW w:w="2120" w:type="dxa"/>
            <w:vAlign w:val="bottom"/>
            <w:gridSpan w:val="10"/>
            <w:vMerge w:val="restart"/>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Forward-Looking Statements</w:t>
              </w:r>
            </w:hyperlink>
          </w:p>
        </w:tc>
        <w:tc>
          <w:tcPr>
            <w:tcW w:w="8300" w:type="dxa"/>
            <w:vAlign w:val="bottom"/>
            <w:gridSpan w:val="19"/>
            <w:vMerge w:val="restart"/>
          </w:tcPr>
          <w:p>
            <w:pPr>
              <w:spacing w:after="0"/>
              <w:rPr>
                <w:sz w:val="24"/>
                <w:szCs w:val="24"/>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2120" w:type="dxa"/>
            <w:vAlign w:val="bottom"/>
            <w:tcBorders>
              <w:bottom w:val="single" w:sz="8" w:color="0000FF"/>
            </w:tcBorders>
            <w:gridSpan w:val="10"/>
            <w:vMerge w:val="continue"/>
          </w:tcPr>
          <w:p>
            <w:pPr>
              <w:spacing w:after="0"/>
              <w:rPr>
                <w:sz w:val="13"/>
                <w:szCs w:val="13"/>
                <w:color w:val="auto"/>
              </w:rPr>
            </w:pPr>
          </w:p>
        </w:tc>
        <w:tc>
          <w:tcPr>
            <w:tcW w:w="8300" w:type="dxa"/>
            <w:vAlign w:val="bottom"/>
            <w:gridSpan w:val="19"/>
            <w:vMerge w:val="continue"/>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5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7"/>
          </w:tcPr>
          <w:p>
            <w:pPr>
              <w:spacing w:after="0" w:line="194" w:lineRule="exact"/>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Business</w:t>
              </w:r>
            </w:hyperlink>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Risk Factors</w:t>
              </w:r>
            </w:hyperlink>
          </w:p>
        </w:tc>
        <w:tc>
          <w:tcPr>
            <w:tcW w:w="20" w:type="dxa"/>
            <w:vAlign w:val="bottom"/>
            <w:tcBorders>
              <w:bottom w:val="single" w:sz="8" w:color="0000EE"/>
            </w:tcBorders>
          </w:tcPr>
          <w:p>
            <w:pPr>
              <w:spacing w:after="0"/>
              <w:rPr>
                <w:sz w:val="14"/>
                <w:szCs w:val="14"/>
                <w:color w:val="auto"/>
              </w:rPr>
            </w:pPr>
          </w:p>
        </w:tc>
        <w:tc>
          <w:tcPr>
            <w:tcW w:w="8340" w:type="dxa"/>
            <w:vAlign w:val="bottom"/>
            <w:gridSpan w:val="20"/>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1B.</w:t>
            </w:r>
          </w:p>
        </w:tc>
        <w:tc>
          <w:tcPr>
            <w:tcW w:w="940" w:type="dxa"/>
            <w:vAlign w:val="bottom"/>
            <w:gridSpan w:val="7"/>
          </w:tcPr>
          <w:p>
            <w:pPr>
              <w:spacing w:after="0" w:line="169"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Unresolved</w:t>
              </w:r>
            </w:hyperlink>
          </w:p>
        </w:tc>
        <w:tc>
          <w:tcPr>
            <w:tcW w:w="8340" w:type="dxa"/>
            <w:vAlign w:val="bottom"/>
            <w:gridSpan w:val="20"/>
          </w:tcPr>
          <w:p>
            <w:pPr>
              <w:spacing w:after="0" w:line="169"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Staff Comments</w:t>
              </w:r>
            </w:hyperlink>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w:anchor="page90">
              <w:r>
                <w:rPr>
                  <w:rFonts w:ascii="Times New Roman" w:cs="Times New Roman" w:eastAsia="Times New Roman" w:hAnsi="Times New Roman"/>
                  <w:sz w:val="18"/>
                  <w:szCs w:val="18"/>
                  <w:color w:val="0000FF"/>
                  <w:w w:val="98"/>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11"/>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7"/>
          </w:tcPr>
          <w:p>
            <w:pPr>
              <w:spacing w:after="0" w:line="169" w:lineRule="exact"/>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Legal Proceedings</w:t>
              </w:r>
            </w:hyperlink>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80" w:type="dxa"/>
            <w:vAlign w:val="bottom"/>
            <w:gridSpan w:val="27"/>
          </w:tcPr>
          <w:p>
            <w:pPr>
              <w:spacing w:after="0" w:line="169" w:lineRule="exact"/>
              <w:rPr>
                <w:rFonts w:ascii="Times New Roman" w:cs="Times New Roman" w:eastAsia="Times New Roman" w:hAnsi="Times New Roman"/>
                <w:sz w:val="18"/>
                <w:szCs w:val="18"/>
                <w:color w:val="0000FF"/>
              </w:rPr>
            </w:pPr>
            <w:hyperlink w:anchor="page91">
              <w:r>
                <w:rPr>
                  <w:rFonts w:ascii="Times New Roman" w:cs="Times New Roman" w:eastAsia="Times New Roman" w:hAnsi="Times New Roman"/>
                  <w:sz w:val="18"/>
                  <w:szCs w:val="18"/>
                  <w:color w:val="0000FF"/>
                </w:rPr>
                <w:t>Mine Safety Disclosures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7"/>
          </w:tcPr>
          <w:p>
            <w:pPr>
              <w:spacing w:after="0" w:line="194" w:lineRule="exact"/>
              <w:rPr>
                <w:rFonts w:ascii="Times New Roman" w:cs="Times New Roman" w:eastAsia="Times New Roman" w:hAnsi="Times New Roman"/>
                <w:sz w:val="18"/>
                <w:szCs w:val="18"/>
                <w:color w:val="0000FF"/>
              </w:rPr>
            </w:pPr>
            <w:hyperlink w:anchor="page92">
              <w:r>
                <w:rPr>
                  <w:rFonts w:ascii="Times New Roman" w:cs="Times New Roman" w:eastAsia="Times New Roman" w:hAnsi="Times New Roman"/>
                  <w:sz w:val="18"/>
                  <w:szCs w:val="18"/>
                  <w:color w:val="0000FF"/>
                </w:rPr>
                <w:t>Market for Registrant’s Common Equity, Related Stockholder Matters and Issuer Purchases of Equity Securities</w:t>
              </w:r>
            </w:hyperlink>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8"/>
              </w:rPr>
            </w:pPr>
            <w:hyperlink w:anchor="page92">
              <w:r>
                <w:rPr>
                  <w:rFonts w:ascii="Times New Roman" w:cs="Times New Roman" w:eastAsia="Times New Roman" w:hAnsi="Times New Roman"/>
                  <w:sz w:val="18"/>
                  <w:szCs w:val="18"/>
                  <w:color w:val="0000FF"/>
                  <w:w w:val="98"/>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260" w:type="dxa"/>
            <w:vAlign w:val="bottom"/>
            <w:tcBorders>
              <w:top w:val="single" w:sz="8" w:color="0000FF"/>
            </w:tcBorders>
            <w:gridSpan w:val="21"/>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7.</w:t>
            </w:r>
          </w:p>
        </w:tc>
        <w:tc>
          <w:tcPr>
            <w:tcW w:w="820" w:type="dxa"/>
            <w:vAlign w:val="bottom"/>
            <w:gridSpan w:val="5"/>
          </w:tcPr>
          <w:p>
            <w:pPr>
              <w:spacing w:after="0" w:line="169" w:lineRule="exact"/>
              <w:rPr>
                <w:rFonts w:ascii="Times New Roman" w:cs="Times New Roman" w:eastAsia="Times New Roman" w:hAnsi="Times New Roman"/>
                <w:sz w:val="18"/>
                <w:szCs w:val="18"/>
                <w:color w:val="0000FF"/>
                <w:w w:val="76"/>
              </w:rPr>
            </w:pPr>
            <w:hyperlink w:anchor="page93">
              <w:r>
                <w:rPr>
                  <w:rFonts w:ascii="Times New Roman" w:cs="Times New Roman" w:eastAsia="Times New Roman" w:hAnsi="Times New Roman"/>
                  <w:sz w:val="18"/>
                  <w:szCs w:val="18"/>
                  <w:color w:val="0000FF"/>
                  <w:w w:val="76"/>
                </w:rPr>
                <w:t>Management's</w:t>
              </w:r>
            </w:hyperlink>
          </w:p>
        </w:tc>
        <w:tc>
          <w:tcPr>
            <w:tcW w:w="8460" w:type="dxa"/>
            <w:vAlign w:val="bottom"/>
            <w:gridSpan w:val="22"/>
          </w:tcPr>
          <w:p>
            <w:pPr>
              <w:ind w:left="280"/>
              <w:spacing w:after="0" w:line="169"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Discussion and Analysis of Financial Condition and Results of Operations</w:t>
              </w:r>
            </w:hyperlink>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w:anchor="page107">
              <w:r>
                <w:rPr>
                  <w:rFonts w:ascii="Times New Roman" w:cs="Times New Roman" w:eastAsia="Times New Roman" w:hAnsi="Times New Roman"/>
                  <w:sz w:val="18"/>
                  <w:szCs w:val="18"/>
                  <w:color w:val="0000FF"/>
                </w:rPr>
                <w:t>Quantitative and Qualitative Disclosures about Market Risk</w:t>
              </w:r>
            </w:hyperlink>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gridSpan w:val="2"/>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w:anchor="page108">
              <w:r>
                <w:rPr>
                  <w:rFonts w:ascii="Times New Roman" w:cs="Times New Roman" w:eastAsia="Times New Roman" w:hAnsi="Times New Roman"/>
                  <w:sz w:val="18"/>
                  <w:szCs w:val="18"/>
                  <w:color w:val="0000FF"/>
                  <w:w w:val="9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960" w:type="dxa"/>
            <w:vAlign w:val="bottom"/>
            <w:tcBorders>
              <w:top w:val="single" w:sz="8" w:color="0000FF"/>
            </w:tcBorders>
            <w:gridSpan w:val="2"/>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gridSpan w:val="2"/>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9.</w:t>
            </w:r>
          </w:p>
        </w:tc>
        <w:tc>
          <w:tcPr>
            <w:tcW w:w="3360" w:type="dxa"/>
            <w:vAlign w:val="bottom"/>
            <w:gridSpan w:val="18"/>
          </w:tcPr>
          <w:p>
            <w:pPr>
              <w:spacing w:after="0" w:line="169" w:lineRule="exact"/>
              <w:rPr>
                <w:rFonts w:ascii="Times New Roman" w:cs="Times New Roman" w:eastAsia="Times New Roman" w:hAnsi="Times New Roman"/>
                <w:sz w:val="18"/>
                <w:szCs w:val="18"/>
                <w:color w:val="0000FF"/>
                <w:w w:val="94"/>
              </w:rPr>
            </w:pPr>
            <w:hyperlink w:anchor="page137">
              <w:r>
                <w:rPr>
                  <w:rFonts w:ascii="Times New Roman" w:cs="Times New Roman" w:eastAsia="Times New Roman" w:hAnsi="Times New Roman"/>
                  <w:sz w:val="18"/>
                  <w:szCs w:val="18"/>
                  <w:color w:val="0000FF"/>
                  <w:w w:val="94"/>
                </w:rPr>
                <w:t>Changes in and Disagreements with Accountants</w:t>
              </w:r>
            </w:hyperlink>
          </w:p>
        </w:tc>
        <w:tc>
          <w:tcPr>
            <w:tcW w:w="5920" w:type="dxa"/>
            <w:vAlign w:val="bottom"/>
            <w:gridSpan w:val="9"/>
          </w:tcPr>
          <w:p>
            <w:pPr>
              <w:ind w:left="220"/>
              <w:spacing w:after="0" w:line="169" w:lineRule="exact"/>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on Accounting and Financial Disclosure</w:t>
              </w:r>
            </w:hyperlink>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9A.</w:t>
            </w:r>
          </w:p>
        </w:tc>
        <w:tc>
          <w:tcPr>
            <w:tcW w:w="64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Controls and Procedures</w:t>
              </w:r>
            </w:hyperlink>
          </w:p>
        </w:tc>
        <w:tc>
          <w:tcPr>
            <w:tcW w:w="820" w:type="dxa"/>
            <w:vAlign w:val="bottom"/>
          </w:tcPr>
          <w:p>
            <w:pPr>
              <w:spacing w:after="0"/>
              <w:rPr>
                <w:sz w:val="14"/>
                <w:szCs w:val="14"/>
                <w:color w:val="auto"/>
              </w:rPr>
            </w:pPr>
          </w:p>
        </w:tc>
        <w:tc>
          <w:tcPr>
            <w:tcW w:w="1980" w:type="dxa"/>
            <w:vAlign w:val="bottom"/>
            <w:gridSpan w:val="2"/>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9B.</w:t>
            </w:r>
          </w:p>
        </w:tc>
        <w:tc>
          <w:tcPr>
            <w:tcW w:w="17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Other Information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spacing w:after="0"/>
              <w:rPr>
                <w:sz w:val="14"/>
                <w:szCs w:val="14"/>
                <w:color w:val="auto"/>
              </w:rPr>
            </w:pPr>
          </w:p>
        </w:tc>
        <w:tc>
          <w:tcPr>
            <w:tcW w:w="8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980" w:type="dxa"/>
            <w:vAlign w:val="bottom"/>
            <w:gridSpan w:val="2"/>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80" w:type="dxa"/>
            <w:vAlign w:val="bottom"/>
            <w:gridSpan w:val="27"/>
          </w:tcPr>
          <w:p>
            <w:pPr>
              <w:spacing w:after="0" w:line="169" w:lineRule="exact"/>
              <w:rPr>
                <w:rFonts w:ascii="Times New Roman" w:cs="Times New Roman" w:eastAsia="Times New Roman" w:hAnsi="Times New Roman"/>
                <w:sz w:val="18"/>
                <w:szCs w:val="18"/>
                <w:color w:val="0000FF"/>
              </w:rPr>
            </w:pPr>
            <w:hyperlink w:anchor="page137">
              <w:r>
                <w:rPr>
                  <w:rFonts w:ascii="Times New Roman" w:cs="Times New Roman" w:eastAsia="Times New Roman" w:hAnsi="Times New Roman"/>
                  <w:sz w:val="18"/>
                  <w:szCs w:val="18"/>
                  <w:color w:val="0000FF"/>
                </w:rPr>
                <w:t>Disclosure Regarding Foreign Jurisdictions that Prevent Inspections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7"/>
          </w:tcPr>
          <w:p>
            <w:pPr>
              <w:spacing w:after="0" w:line="194"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Directors, Executive Officers and Corporate Governance</w:t>
              </w:r>
            </w:hyperlink>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w:anchor="page138">
              <w:r>
                <w:rPr>
                  <w:rFonts w:ascii="Times New Roman" w:cs="Times New Roman" w:eastAsia="Times New Roman" w:hAnsi="Times New Roman"/>
                  <w:sz w:val="18"/>
                  <w:szCs w:val="18"/>
                  <w:color w:val="0000FF"/>
                  <w:w w:val="99"/>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6"/>
          </w:tcPr>
          <w:p>
            <w:pPr>
              <w:spacing w:after="0"/>
              <w:rPr>
                <w:sz w:val="14"/>
                <w:szCs w:val="14"/>
                <w:color w:val="auto"/>
              </w:rPr>
            </w:pPr>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980" w:type="dxa"/>
            <w:vAlign w:val="bottom"/>
            <w:gridSpan w:val="2"/>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12.</w:t>
            </w:r>
          </w:p>
        </w:tc>
        <w:tc>
          <w:tcPr>
            <w:tcW w:w="1840" w:type="dxa"/>
            <w:vAlign w:val="bottom"/>
            <w:gridSpan w:val="13"/>
          </w:tcPr>
          <w:p>
            <w:pPr>
              <w:spacing w:after="0" w:line="169"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Security Ownership of</w:t>
              </w:r>
            </w:hyperlink>
          </w:p>
        </w:tc>
        <w:tc>
          <w:tcPr>
            <w:tcW w:w="7440" w:type="dxa"/>
            <w:vAlign w:val="bottom"/>
            <w:gridSpan w:val="14"/>
          </w:tcPr>
          <w:p>
            <w:pPr>
              <w:spacing w:after="0" w:line="169"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Certain Beneficial Owners and Management and Related Stockholder Matters</w:t>
              </w:r>
            </w:hyperlink>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13.</w:t>
            </w:r>
          </w:p>
        </w:tc>
        <w:tc>
          <w:tcPr>
            <w:tcW w:w="73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Certain Relationships and Related Transactions, and Director Independence</w:t>
              </w:r>
            </w:hyperlink>
          </w:p>
        </w:tc>
        <w:tc>
          <w:tcPr>
            <w:tcW w:w="1980" w:type="dxa"/>
            <w:vAlign w:val="bottom"/>
            <w:gridSpan w:val="2"/>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w:anchor="page138">
              <w:r>
                <w:rPr>
                  <w:rFonts w:ascii="Times New Roman" w:cs="Times New Roman" w:eastAsia="Times New Roman" w:hAnsi="Times New Roman"/>
                  <w:sz w:val="18"/>
                  <w:szCs w:val="18"/>
                  <w:color w:val="0000FF"/>
                </w:rPr>
                <w:t>Principal Accountant Fees and Services</w:t>
              </w:r>
            </w:hyperlink>
          </w:p>
        </w:tc>
        <w:tc>
          <w:tcPr>
            <w:tcW w:w="3820" w:type="dxa"/>
            <w:vAlign w:val="bottom"/>
            <w:gridSpan w:val="5"/>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1560" w:type="dxa"/>
            <w:vAlign w:val="bottom"/>
            <w:gridSpan w:val="10"/>
            <w:shd w:val="clear" w:color="auto" w:fill="0000FF"/>
          </w:tcPr>
          <w:p>
            <w:pPr>
              <w:spacing w:after="0" w:line="20" w:lineRule="exact"/>
              <w:rPr>
                <w:sz w:val="1"/>
                <w:szCs w:val="1"/>
                <w:color w:val="auto"/>
              </w:rPr>
            </w:pPr>
          </w:p>
        </w:tc>
        <w:tc>
          <w:tcPr>
            <w:tcW w:w="132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8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160" w:type="dxa"/>
            <w:vAlign w:val="bottom"/>
            <w:gridSpan w:val="3"/>
            <w:vMerge w:val="continue"/>
          </w:tcPr>
          <w:p>
            <w:pPr>
              <w:spacing w:after="0"/>
              <w:rPr>
                <w:sz w:val="14"/>
                <w:szCs w:val="14"/>
                <w:color w:val="auto"/>
              </w:rPr>
            </w:pPr>
          </w:p>
        </w:tc>
        <w:tc>
          <w:tcPr>
            <w:tcW w:w="9280" w:type="dxa"/>
            <w:vAlign w:val="bottom"/>
            <w:gridSpan w:val="27"/>
          </w:tcPr>
          <w:p>
            <w:pPr>
              <w:spacing w:after="0" w:line="169" w:lineRule="exact"/>
              <w:rPr>
                <w:rFonts w:ascii="Times New Roman" w:cs="Times New Roman" w:eastAsia="Times New Roman" w:hAnsi="Times New Roman"/>
                <w:sz w:val="18"/>
                <w:szCs w:val="18"/>
                <w:color w:val="0000FF"/>
              </w:rPr>
            </w:pPr>
            <w:hyperlink w:anchor="page139">
              <w:r>
                <w:rPr>
                  <w:rFonts w:ascii="Times New Roman" w:cs="Times New Roman" w:eastAsia="Times New Roman" w:hAnsi="Times New Roman"/>
                  <w:sz w:val="18"/>
                  <w:szCs w:val="18"/>
                  <w:color w:val="0000FF"/>
                </w:rPr>
                <w:t>Exhibit and Financial Statement Schedules</w:t>
              </w:r>
            </w:hyperlink>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Item 16.</w:t>
            </w:r>
          </w:p>
        </w:tc>
        <w:tc>
          <w:tcPr>
            <w:tcW w:w="310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w:anchor="page140">
              <w:r>
                <w:rPr>
                  <w:rFonts w:ascii="Times New Roman" w:cs="Times New Roman" w:eastAsia="Times New Roman" w:hAnsi="Times New Roman"/>
                  <w:sz w:val="18"/>
                  <w:szCs w:val="18"/>
                  <w:color w:val="0000FF"/>
                </w:rPr>
                <w:t>Form 10-K Summary</w:t>
              </w:r>
            </w:hyperlink>
          </w:p>
        </w:tc>
        <w:tc>
          <w:tcPr>
            <w:tcW w:w="6180" w:type="dxa"/>
            <w:vAlign w:val="bottom"/>
            <w:gridSpan w:val="11"/>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20"/>
              <w:spacing w:after="0" w:line="169" w:lineRule="exact"/>
              <w:rPr>
                <w:rFonts w:ascii="Times New Roman" w:cs="Times New Roman" w:eastAsia="Times New Roman" w:hAnsi="Times New Roman"/>
                <w:sz w:val="18"/>
                <w:szCs w:val="18"/>
                <w:color w:val="0000FF"/>
              </w:rPr>
            </w:pPr>
            <w:hyperlink w:anchor="page141">
              <w:r>
                <w:rPr>
                  <w:rFonts w:ascii="Times New Roman" w:cs="Times New Roman" w:eastAsia="Times New Roman" w:hAnsi="Times New Roman"/>
                  <w:sz w:val="18"/>
                  <w:szCs w:val="18"/>
                  <w:color w:val="0000FF"/>
                </w:rPr>
                <w:t>Signatures</w:t>
              </w:r>
            </w:hyperlink>
          </w:p>
        </w:tc>
        <w:tc>
          <w:tcPr>
            <w:tcW w:w="6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right="200" w:firstLine="1018"/>
        <w:spacing w:after="0" w:line="251"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throughout this Annual Report on Form 10-K, the terms “we,” “us,” and “our,” and similar references refer to Rani Therapeutics Holdings, Inc. (“Rani Holdings”) and its consolidated subsidiaries, Rani Therapeutics, LLC (“Rani LLC”) and Rani Management Systems, Inc. (“RMS”).</w:t>
      </w:r>
    </w:p>
    <w:p>
      <w:pPr>
        <w:spacing w:after="0" w:line="174" w:lineRule="exact"/>
        <w:rPr>
          <w:sz w:val="20"/>
          <w:szCs w:val="20"/>
          <w:color w:val="auto"/>
        </w:rPr>
      </w:pPr>
    </w:p>
    <w:p>
      <w:pPr>
        <w:ind w:right="40" w:firstLine="1018"/>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We use Rani, Rani Therapeutics, RaniPill, the Rani Therapeutics logo, the R logo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w:t>
      </w:r>
      <w:r>
        <w:rPr>
          <w:rFonts w:ascii="Times New Roman" w:cs="Times New Roman" w:eastAsia="Times New Roman" w:hAnsi="Times New Roman"/>
          <w:sz w:val="20"/>
          <w:szCs w:val="20"/>
          <w:i w:val="1"/>
          <w:iCs w:val="1"/>
          <w:color w:val="auto"/>
          <w:vertAlign w:val="superscript"/>
        </w:rPr>
        <w:t>®</w:t>
      </w:r>
      <w:r>
        <w:rPr>
          <w:rFonts w:ascii="Times New Roman" w:cs="Times New Roman" w:eastAsia="Times New Roman" w:hAnsi="Times New Roman"/>
          <w:sz w:val="18"/>
          <w:szCs w:val="18"/>
          <w:i w:val="1"/>
          <w:iCs w:val="1"/>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4"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This Annual Report on Form 10-K, including the section titled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 contains forward-looking statements. All statements other than statements of historical facts contained in this Annual Report on Form 10-K,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right="60" w:firstLine="1018"/>
        <w:spacing w:after="0" w:line="272"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Annual Report on Form 10-K include, but are not limited to, statements about:</w:t>
      </w:r>
    </w:p>
    <w:p>
      <w:pPr>
        <w:spacing w:after="0" w:line="15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211" w:lineRule="exact"/>
        <w:rPr>
          <w:rFonts w:ascii="Times New Roman" w:cs="Times New Roman" w:eastAsia="Times New Roman" w:hAnsi="Times New Roman"/>
          <w:sz w:val="18"/>
          <w:szCs w:val="18"/>
          <w:color w:val="auto"/>
        </w:rPr>
      </w:pPr>
    </w:p>
    <w:p>
      <w:pPr>
        <w:ind w:left="1020" w:right="76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162"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RaniPill HC or any redesign and conduct additional preclinical and clinical studies of any future design of the RaniPill capsule to accommodate target payloads that are larger than the payload capacity of the RaniPill capsule currently used for our product candidates;</w:t>
      </w:r>
    </w:p>
    <w:p>
      <w:pPr>
        <w:spacing w:after="0" w:line="1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 w:name="page4"/>
    <w:bookmarkEnd w:id="3"/>
    <w:p>
      <w:pPr>
        <w:ind w:left="1020" w:right="3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1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211"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1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11"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1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 and</w:t>
      </w:r>
    </w:p>
    <w:p>
      <w:pPr>
        <w:spacing w:after="0" w:line="211"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(the “JOBS Act”).</w:t>
      </w:r>
    </w:p>
    <w:p>
      <w:pPr>
        <w:spacing w:after="0" w:line="187"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and elsewhere in this Annual Report on Form 10-K. Because forward-looking statements are inherently subject to risks and uncertainties, 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6"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4" w:lineRule="exact"/>
        <w:rPr>
          <w:sz w:val="20"/>
          <w:szCs w:val="20"/>
          <w:color w:val="auto"/>
        </w:rPr>
      </w:pPr>
    </w:p>
    <w:p>
      <w:pPr>
        <w:ind w:right="100" w:firstLine="1018"/>
        <w:spacing w:after="0" w:line="243"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Securities and Exchange Commission (“SEC”), before making investment decisions regarding our Class A common stock. See “Special Note Regarding Forward-Looking Statements.”</w:t>
      </w:r>
    </w:p>
    <w:p>
      <w:pPr>
        <w:spacing w:after="0" w:line="183" w:lineRule="exact"/>
        <w:rPr>
          <w:sz w:val="20"/>
          <w:szCs w:val="20"/>
          <w:color w:val="auto"/>
        </w:rPr>
      </w:pPr>
    </w:p>
    <w:p>
      <w:pPr>
        <w:ind w:left="1020" w:right="300" w:hanging="503"/>
        <w:spacing w:after="0" w:line="25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very limited operating history, have incurred operating losses since our inception and expect to incur significant losses for the foreseeable future. We may never generate any revenue from commercial products or become profitable or, if we achieve profitability, we may not be able to sustain it.</w:t>
      </w:r>
    </w:p>
    <w:p>
      <w:pPr>
        <w:spacing w:after="0" w:line="176"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clinical stage biopharmaceutical company with no approved products and no historical commercial product revenue, which makes it difficult to assess our future prospects and financial results.</w:t>
      </w:r>
    </w:p>
    <w:p>
      <w:pPr>
        <w:spacing w:after="0" w:line="162"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when needed on acceptable terms, we may be forced to delay, limit, reduce or terminate our product development programs, commercialization efforts or other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 w:name="page5"/>
    <w:bookmarkEnd w:id="4"/>
    <w:p>
      <w:pPr>
        <w:ind w:left="544" w:right="180" w:hanging="503"/>
        <w:spacing w:after="0" w:line="245"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have only two product candidates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80" w:lineRule="exact"/>
        <w:rPr>
          <w:rFonts w:ascii="Times New Roman" w:cs="Times New Roman" w:eastAsia="Times New Roman" w:hAnsi="Times New Roman"/>
          <w:sz w:val="18"/>
          <w:szCs w:val="18"/>
          <w:color w:val="auto"/>
        </w:rPr>
      </w:pPr>
    </w:p>
    <w:p>
      <w:pPr>
        <w:ind w:left="544" w:right="500" w:hanging="503"/>
        <w:spacing w:after="0" w:line="266"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62" w:lineRule="exact"/>
        <w:rPr>
          <w:rFonts w:ascii="Times New Roman" w:cs="Times New Roman" w:eastAsia="Times New Roman" w:hAnsi="Times New Roman"/>
          <w:sz w:val="18"/>
          <w:szCs w:val="18"/>
          <w:color w:val="auto"/>
        </w:rPr>
      </w:pPr>
    </w:p>
    <w:p>
      <w:pPr>
        <w:ind w:left="544" w:right="120" w:hanging="503"/>
        <w:spacing w:after="0" w:line="250"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organization, we have completed only one phase 1 clinical trial, have not submitted an investigational new drug application, (“IND”), to the Food and Drug Administration (“FDA”), and we have never conducted later-stage clinical trials or submitted a Biologics License Application (“BLA”), and may be unable to do so for any of our product candidates.</w:t>
      </w:r>
    </w:p>
    <w:p>
      <w:pPr>
        <w:spacing w:after="0" w:line="176" w:lineRule="exact"/>
        <w:rPr>
          <w:rFonts w:ascii="Times New Roman" w:cs="Times New Roman" w:eastAsia="Times New Roman" w:hAnsi="Times New Roman"/>
          <w:sz w:val="18"/>
          <w:szCs w:val="18"/>
          <w:color w:val="auto"/>
        </w:rPr>
      </w:pPr>
    </w:p>
    <w:p>
      <w:pPr>
        <w:ind w:left="544" w:right="140" w:hanging="503"/>
        <w:spacing w:after="0" w:line="250"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76" w:lineRule="exact"/>
        <w:rPr>
          <w:rFonts w:ascii="Times New Roman" w:cs="Times New Roman" w:eastAsia="Times New Roman" w:hAnsi="Times New Roman"/>
          <w:sz w:val="18"/>
          <w:szCs w:val="18"/>
          <w:color w:val="auto"/>
        </w:rPr>
      </w:pPr>
    </w:p>
    <w:p>
      <w:pPr>
        <w:ind w:left="544" w:right="20" w:hanging="503"/>
        <w:spacing w:after="0" w:line="245"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80" w:lineRule="exact"/>
        <w:rPr>
          <w:rFonts w:ascii="Times New Roman" w:cs="Times New Roman" w:eastAsia="Times New Roman" w:hAnsi="Times New Roman"/>
          <w:sz w:val="18"/>
          <w:szCs w:val="18"/>
          <w:color w:val="auto"/>
        </w:rPr>
      </w:pPr>
    </w:p>
    <w:p>
      <w:pPr>
        <w:ind w:left="544" w:hanging="503"/>
        <w:spacing w:after="0"/>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clinical data on our product candidates to indicate whether they are safe or effective for long-term use in humans.</w:t>
      </w:r>
    </w:p>
    <w:p>
      <w:pPr>
        <w:spacing w:after="0" w:line="211" w:lineRule="exact"/>
        <w:rPr>
          <w:rFonts w:ascii="Times New Roman" w:cs="Times New Roman" w:eastAsia="Times New Roman" w:hAnsi="Times New Roman"/>
          <w:sz w:val="18"/>
          <w:szCs w:val="18"/>
          <w:color w:val="auto"/>
        </w:rPr>
      </w:pPr>
    </w:p>
    <w:p>
      <w:pPr>
        <w:ind w:left="564" w:hanging="564"/>
        <w:spacing w:after="0" w:line="245" w:lineRule="auto"/>
        <w:tabs>
          <w:tab w:leader="none" w:pos="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suppliers for key materials used in our manufacturing processes as well as for the manufacturing of active pharmaceutical ingredients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180" w:lineRule="exact"/>
        <w:rPr>
          <w:rFonts w:ascii="Times New Roman" w:cs="Times New Roman" w:eastAsia="Times New Roman" w:hAnsi="Times New Roman"/>
          <w:sz w:val="18"/>
          <w:szCs w:val="18"/>
          <w:color w:val="auto"/>
        </w:rPr>
      </w:pPr>
    </w:p>
    <w:p>
      <w:pPr>
        <w:ind w:left="544" w:right="660" w:hanging="503"/>
        <w:spacing w:after="0" w:line="266"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high-capacity oral delivery device, RaniPill HC, is in early stages of development, and it is subject to the inherent risks and uncertainties of developing a novel, innovative technology. Our efforts to develop RaniPill HC may not be successful.</w:t>
      </w:r>
    </w:p>
    <w:p>
      <w:pPr>
        <w:spacing w:after="0" w:line="162" w:lineRule="exact"/>
        <w:rPr>
          <w:rFonts w:ascii="Times New Roman" w:cs="Times New Roman" w:eastAsia="Times New Roman" w:hAnsi="Times New Roman"/>
          <w:sz w:val="18"/>
          <w:szCs w:val="18"/>
          <w:color w:val="auto"/>
        </w:rPr>
      </w:pPr>
    </w:p>
    <w:p>
      <w:pPr>
        <w:ind w:left="544" w:right="280" w:hanging="503"/>
        <w:spacing w:after="0" w:line="266"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62" w:lineRule="exact"/>
        <w:rPr>
          <w:rFonts w:ascii="Times New Roman" w:cs="Times New Roman" w:eastAsia="Times New Roman" w:hAnsi="Times New Roman"/>
          <w:sz w:val="18"/>
          <w:szCs w:val="18"/>
          <w:color w:val="auto"/>
        </w:rPr>
      </w:pPr>
    </w:p>
    <w:p>
      <w:pPr>
        <w:ind w:left="544" w:hanging="503"/>
        <w:spacing w:after="0"/>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impact our business including our ongoing and planned preclinical studies and clinical trials.</w:t>
      </w:r>
    </w:p>
    <w:p>
      <w:pPr>
        <w:spacing w:after="0" w:line="211" w:lineRule="exact"/>
        <w:rPr>
          <w:rFonts w:ascii="Times New Roman" w:cs="Times New Roman" w:eastAsia="Times New Roman" w:hAnsi="Times New Roman"/>
          <w:sz w:val="18"/>
          <w:szCs w:val="18"/>
          <w:color w:val="auto"/>
        </w:rPr>
      </w:pPr>
    </w:p>
    <w:p>
      <w:pPr>
        <w:ind w:left="544" w:right="140" w:hanging="503"/>
        <w:spacing w:after="0" w:line="266"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biotherapeutics and pharmaceutical companies, and our operating results will suffer if we fail to compete effectively.</w:t>
      </w:r>
    </w:p>
    <w:p>
      <w:pPr>
        <w:spacing w:after="0" w:line="162" w:lineRule="exact"/>
        <w:rPr>
          <w:rFonts w:ascii="Times New Roman" w:cs="Times New Roman" w:eastAsia="Times New Roman" w:hAnsi="Times New Roman"/>
          <w:sz w:val="18"/>
          <w:szCs w:val="18"/>
          <w:color w:val="auto"/>
        </w:rPr>
      </w:pPr>
    </w:p>
    <w:p>
      <w:pPr>
        <w:jc w:val="both"/>
        <w:ind w:left="544" w:right="80" w:hanging="503"/>
        <w:spacing w:after="0" w:line="296" w:lineRule="auto"/>
        <w:tabs>
          <w:tab w:leader="none" w:pos="544"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38" w:lineRule="exact"/>
        <w:rPr>
          <w:rFonts w:ascii="Times New Roman" w:cs="Times New Roman" w:eastAsia="Times New Roman" w:hAnsi="Times New Roman"/>
          <w:sz w:val="17"/>
          <w:szCs w:val="17"/>
          <w:color w:val="auto"/>
        </w:rPr>
      </w:pPr>
    </w:p>
    <w:p>
      <w:pPr>
        <w:ind w:left="544" w:right="40" w:hanging="503"/>
        <w:spacing w:after="0" w:line="245"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affect our ability to develop and commercialize RaniPill capsule, and otherwise negatively affect our operating results and business.</w:t>
      </w:r>
    </w:p>
    <w:p>
      <w:pPr>
        <w:spacing w:after="0" w:line="180" w:lineRule="exact"/>
        <w:rPr>
          <w:rFonts w:ascii="Times New Roman" w:cs="Times New Roman" w:eastAsia="Times New Roman" w:hAnsi="Times New Roman"/>
          <w:sz w:val="18"/>
          <w:szCs w:val="18"/>
          <w:color w:val="auto"/>
        </w:rPr>
      </w:pPr>
    </w:p>
    <w:p>
      <w:pPr>
        <w:ind w:left="544" w:hanging="503"/>
        <w:spacing w:after="0"/>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may depend in part on our ability to build and maintain our intellectual property portfolio.</w:t>
      </w:r>
    </w:p>
    <w:p>
      <w:pPr>
        <w:spacing w:after="0" w:line="211" w:lineRule="exact"/>
        <w:rPr>
          <w:rFonts w:ascii="Times New Roman" w:cs="Times New Roman" w:eastAsia="Times New Roman" w:hAnsi="Times New Roman"/>
          <w:sz w:val="18"/>
          <w:szCs w:val="18"/>
          <w:color w:val="auto"/>
        </w:rPr>
      </w:pPr>
    </w:p>
    <w:p>
      <w:pPr>
        <w:ind w:left="544" w:right="120" w:hanging="503"/>
        <w:spacing w:after="0" w:line="250" w:lineRule="auto"/>
        <w:tabs>
          <w:tab w:leader="none" w:pos="5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principal asset is our interest in Rani LLC.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171450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4"/>
          </w:cols>
          <w:pgMar w:left="796" w:top="540" w:right="359" w:bottom="1440" w:gutter="0" w:footer="0" w:header="0"/>
        </w:sectPr>
      </w:pPr>
    </w:p>
    <w:bookmarkStart w:id="5" w:name="page6"/>
    <w:bookmarkEnd w:id="5"/>
    <w:p>
      <w:pPr>
        <w:ind w:left="503" w:hanging="503"/>
        <w:spacing w:after="0" w:line="245"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180" w:lineRule="exact"/>
        <w:rPr>
          <w:rFonts w:ascii="Times New Roman" w:cs="Times New Roman" w:eastAsia="Times New Roman" w:hAnsi="Times New Roman"/>
          <w:sz w:val="18"/>
          <w:szCs w:val="18"/>
          <w:color w:val="auto"/>
        </w:rPr>
      </w:pPr>
    </w:p>
    <w:p>
      <w:pPr>
        <w:ind w:left="503" w:right="26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multi-class structure of our common stock has the effect of concentrating voting control, which will limit your ability to influence the outcome of important transactions, including a change in control.</w:t>
      </w:r>
    </w:p>
    <w:p>
      <w:pPr>
        <w:spacing w:after="0" w:line="162"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290830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540"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ind w:right="480" w:firstLine="1018"/>
        <w:spacing w:after="0" w:line="250"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77"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 xml:space="preserve">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w:t>
      </w:r>
      <w:r>
        <w:rPr>
          <w:rFonts w:ascii="Times New Roman" w:cs="Times New Roman" w:eastAsia="Times New Roman" w:hAnsi="Times New Roman"/>
          <w:sz w:val="18"/>
          <w:szCs w:val="18"/>
          <w:color w:val="auto"/>
          <w:highlight w:val="white"/>
        </w:rPr>
        <w:t>known as the RaniPill HC, which is in preclinical stage and</w:t>
      </w:r>
      <w:r>
        <w:rPr>
          <w:rFonts w:ascii="Times New Roman" w:cs="Times New Roman" w:eastAsia="Times New Roman" w:hAnsi="Times New Roman"/>
          <w:sz w:val="18"/>
          <w:szCs w:val="18"/>
          <w:color w:val="auto"/>
        </w:rPr>
        <w:t xml:space="preserve">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 Together, we believe that the current RaniPill capsule and RaniPill HC could enable us to deliver most biologics currently on the market via a convenient, oral daily dose.</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believe that our drug-agnostic and high bioavailability oral delivery technology positions us to be the leader in oral biologics.</w:t>
      </w:r>
    </w:p>
    <w:p>
      <w:pPr>
        <w:spacing w:after="0" w:line="21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 xml:space="preserve">In March 2022, we initiated a phase 1 clinical trial with RT-102, a RaniPill capsule containing our proprietary formulation of parathyroid hormone (“PTH”), in Australia. The study will compare pharmacokinetics of PTH administered via RaniPill capsule to PTH administered via subcutaneous injection. We previously completed a phase 1 clinical study with RT-101, a RaniPill capsule containing our proprietary formulation of octreotide, in Australia. </w:t>
      </w:r>
      <w:r>
        <w:rPr>
          <w:rFonts w:ascii="Times New Roman" w:cs="Times New Roman" w:eastAsia="Times New Roman" w:hAnsi="Times New Roman"/>
          <w:sz w:val="18"/>
          <w:szCs w:val="18"/>
          <w:color w:val="auto"/>
          <w:highlight w:val="white"/>
        </w:rPr>
        <w:t>The phase 1 study successfully achieved both its primary and secondary endpoints, demonstrating the safety and tolerability of RT-101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achieving oral bioavailability of octreotide greater than 70%. No serious adverse events were reported.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segment and technology</w:t>
      </w:r>
    </w:p>
    <w:p>
      <w:pPr>
        <w:spacing w:after="0" w:line="216"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More than half of the adult population of the U.S. has one or more chronic diseases. The affected population is expected to continue to grow as the population ages. Chronic conditions, including cancers, cardiovascular diseases, autoimmune diseases, and metabolic disorders, are increasingly being treated with biologics. In 2021, six of the ten highest revenue-producing drugs in the world were biologics. Current treatments using biologics are primarily via injection.</w:t>
      </w:r>
    </w:p>
    <w:p>
      <w:pPr>
        <w:spacing w:after="0" w:line="181"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18"/>
          <w:szCs w:val="18"/>
          <w:color w:val="auto"/>
        </w:rPr>
        <w:t>Biologics, the fastest growing segment of the drug industry, refers to a broad class of drugs that are derived from living sources. Biologics are distinguished from small molecules, like aspirin, which derive from chemistry. Biologics include, for example, recombinant therapeutic proteins, peptides, and monoclonal antibodies, as well as cell and gene therapies. In 2019, worldwide sales of biologics were estimated to have reached approximately $269.0 billion and are projected to reach $465.0 billion by 2023.</w:t>
      </w:r>
    </w:p>
    <w:p>
      <w:pPr>
        <w:spacing w:after="0" w:line="181" w:lineRule="exact"/>
        <w:rPr>
          <w:sz w:val="20"/>
          <w:szCs w:val="20"/>
          <w:color w:val="auto"/>
        </w:rPr>
      </w:pPr>
    </w:p>
    <w:p>
      <w:pPr>
        <w:ind w:right="200" w:firstLine="1018"/>
        <w:spacing w:after="0" w:line="242" w:lineRule="auto"/>
        <w:rPr>
          <w:sz w:val="20"/>
          <w:szCs w:val="20"/>
          <w:color w:val="auto"/>
        </w:rPr>
      </w:pPr>
      <w:r>
        <w:rPr>
          <w:rFonts w:ascii="Times New Roman" w:cs="Times New Roman" w:eastAsia="Times New Roman" w:hAnsi="Times New Roman"/>
          <w:sz w:val="18"/>
          <w:szCs w:val="18"/>
          <w:color w:val="auto"/>
        </w:rPr>
        <w:t>Biologics must generally be administered through intravenous, intramuscular, or subcutaneous injection. Patient aversion to injections has promoted a significant interest in the development of solutions to enable the oral delivery of biologics. However, a significant hurdle is the ability to achieve sufficient bioavailability with oral biologics to produce an intended therapeutic effect. Bioavailability refers to the proportion of a delivered dose that reaches the bloodstream in active form. Attempts at oral delivery of biotherapeutics have remained largely unsuccessful due to the rapid degradation and digestion of biologics in the gastrointestinal (“GI”) environment before they can be absorbed into the bloodstream.</w:t>
      </w:r>
    </w:p>
    <w:p>
      <w:pPr>
        <w:spacing w:after="0" w:line="185" w:lineRule="exact"/>
        <w:rPr>
          <w:sz w:val="20"/>
          <w:szCs w:val="20"/>
          <w:color w:val="auto"/>
        </w:rPr>
      </w:pPr>
    </w:p>
    <w:p>
      <w:pPr>
        <w:ind w:right="120" w:firstLine="1018"/>
        <w:spacing w:after="0" w:line="242" w:lineRule="auto"/>
        <w:rPr>
          <w:sz w:val="20"/>
          <w:szCs w:val="20"/>
          <w:color w:val="auto"/>
        </w:rPr>
      </w:pPr>
      <w:r>
        <w:rPr>
          <w:rFonts w:ascii="Times New Roman" w:cs="Times New Roman" w:eastAsia="Times New Roman" w:hAnsi="Times New Roman"/>
          <w:sz w:val="18"/>
          <w:szCs w:val="18"/>
          <w:color w:val="auto"/>
        </w:rPr>
        <w:t>Our solution is our novel, proprietary and patented platform technology referred to as the RaniPill capsule, an orally ingestible pill designed to automatically deploy in the small intestine to administer a precise therapeutic dose of a biologic into the intestinal wall. Our several preclinical studies and clinical trials have demonstrated bioavailability of dosing via the RaniPill capsule that is generally comparable to dosing subcutaneously, with high dosing accuracy: this level of bioavailability is significantly higher than any that has been demonstrated with respect to others’ attempts at oral delivery of biologics.</w:t>
      </w:r>
    </w:p>
    <w:p>
      <w:pPr>
        <w:spacing w:after="0" w:line="185"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We are pursuing a number of clinical and preclinical pipeline programs utilizing our current RaniPill capsule. In addition, our newly designed high-capacity oral biologic delivery device, the RaniPill HC, has the potential to deliver 500%-plus higher payloads than our current RaniPill capsule. We believe this is a significant breakthrough in drug delivery with the potential to provide expansive opportunities for the company, such that we could potentially pursue a daily dosing option for over 50 additional biologics, for internal development or through partnership, including such biologics as pembrolizumab, etanercept, trastuzumab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secukinumab. We believe that oral biologics utilizing our RaniPill technology have the potential to disrupt the large and growing biologics market.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Transactions</w:t>
      </w:r>
    </w:p>
    <w:p>
      <w:pPr>
        <w:spacing w:after="0" w:line="243" w:lineRule="exact"/>
        <w:rPr>
          <w:sz w:val="20"/>
          <w:szCs w:val="20"/>
          <w:color w:val="auto"/>
        </w:rPr>
      </w:pPr>
    </w:p>
    <w:p>
      <w:pPr>
        <w:ind w:right="180" w:firstLine="1018"/>
        <w:spacing w:after="0" w:line="242"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(“IPO”) of its Class A common stock, to facilitate certain organizational transactions, and to operate the business of Rani LLC and its consolidated subsidiary RMS. In connection with the IPO, we established a holding company structure with Rani Holdings as a holding company and its principal asset is the Class A common units (“Class A Units”) of Rani LLC that it owns. As the sole managing member of Rani LLC, Rani Holdings operates and controls all of Rani LLC’s operations, and through Rani LLC and its subsidiary, conducts all of Rani LLC’s business.</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connection with the IPO, we were party to the following organizational transactions (the “Organizational Transactions”):</w:t>
      </w:r>
    </w:p>
    <w:p>
      <w:pPr>
        <w:spacing w:after="0" w:line="212" w:lineRule="exact"/>
        <w:rPr>
          <w:sz w:val="20"/>
          <w:szCs w:val="20"/>
          <w:color w:val="auto"/>
        </w:rPr>
      </w:pPr>
    </w:p>
    <w:p>
      <w:pPr>
        <w:ind w:left="1020" w:right="4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Rani LLC’s operating agreement (the “Rani LLC Agreement”) to appoint Rani Holdings as the sole managing member of Rani LLC and effectuated an exchange of all outstanding interests in Rani LLC into Class A Units and an equal number of voting noneconomic Class B units.</w:t>
      </w:r>
    </w:p>
    <w:p>
      <w:pPr>
        <w:spacing w:after="0" w:line="176" w:lineRule="exact"/>
        <w:rPr>
          <w:rFonts w:ascii="Times New Roman" w:cs="Times New Roman" w:eastAsia="Times New Roman" w:hAnsi="Times New Roman"/>
          <w:sz w:val="18"/>
          <w:szCs w:val="18"/>
          <w:color w:val="auto"/>
        </w:rPr>
      </w:pPr>
    </w:p>
    <w:p>
      <w:pPr>
        <w:ind w:left="1020" w:right="160" w:hanging="503"/>
        <w:spacing w:after="0" w:line="24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180"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holders of Class A Units tendered their Class A Units for shares of our Class A common stock. Certain holders of Class A Units continued to hold such Class A Units (“Continuing LLC Owners”) and received shares of our Class B common stock.</w:t>
      </w:r>
    </w:p>
    <w:p>
      <w:pPr>
        <w:spacing w:after="0" w:line="162" w:lineRule="exact"/>
        <w:rPr>
          <w:rFonts w:ascii="Times New Roman" w:cs="Times New Roman" w:eastAsia="Times New Roman" w:hAnsi="Times New Roman"/>
          <w:sz w:val="18"/>
          <w:szCs w:val="18"/>
          <w:color w:val="auto"/>
        </w:rPr>
      </w:pPr>
    </w:p>
    <w:p>
      <w:pPr>
        <w:ind w:left="1020" w:hanging="503"/>
        <w:spacing w:after="0" w:line="24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are entitled to exchange, subject to the terms of the Rani LLC Agreement, the Class A Units they hold in Rani LLC, together with the shares they hold of our Class B common stock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18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and tax receivable agreement (“Tax Receivable Agreement” or “TRA”) with certain of the Continuing LLC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16" w:lineRule="exact"/>
        <w:rPr>
          <w:sz w:val="20"/>
          <w:szCs w:val="20"/>
          <w:color w:val="auto"/>
        </w:rPr>
      </w:pPr>
    </w:p>
    <w:p>
      <w:pPr>
        <w:ind w:right="400" w:firstLine="1018"/>
        <w:spacing w:after="0" w:line="245" w:lineRule="auto"/>
        <w:rPr>
          <w:sz w:val="20"/>
          <w:szCs w:val="20"/>
          <w:color w:val="auto"/>
        </w:rPr>
      </w:pPr>
      <w:r>
        <w:rPr>
          <w:rFonts w:ascii="Times New Roman" w:cs="Times New Roman" w:eastAsia="Times New Roman" w:hAnsi="Times New Roman"/>
          <w:sz w:val="18"/>
          <w:szCs w:val="18"/>
          <w:color w:val="auto"/>
        </w:rPr>
        <w:t>Our strategic vision is to disrupt and expand the approximately $269.0 billion market currently served by injectable only therapeutic biologics. We plan to do this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strategy includes the following aspects.</w:t>
      </w:r>
    </w:p>
    <w:p>
      <w:pPr>
        <w:spacing w:after="0" w:line="208" w:lineRule="exact"/>
        <w:rPr>
          <w:sz w:val="20"/>
          <w:szCs w:val="20"/>
          <w:color w:val="auto"/>
        </w:rPr>
      </w:pPr>
    </w:p>
    <w:p>
      <w:pPr>
        <w:ind w:left="1280" w:right="40" w:hanging="367"/>
        <w:spacing w:after="0" w:line="246"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Pursue validated and commercially established market opportunities</w:t>
      </w:r>
      <w:r>
        <w:rPr>
          <w:rFonts w:ascii="Times New Roman" w:cs="Times New Roman" w:eastAsia="Times New Roman" w:hAnsi="Times New Roman"/>
          <w:sz w:val="18"/>
          <w:szCs w:val="18"/>
          <w:color w:val="auto"/>
        </w:rPr>
        <w:t>. We intend to pursue high-value markets with biologics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w:t>
      </w:r>
    </w:p>
    <w:p>
      <w:pPr>
        <w:spacing w:after="0" w:line="177" w:lineRule="exact"/>
        <w:rPr>
          <w:rFonts w:ascii="Times New Roman" w:cs="Times New Roman" w:eastAsia="Times New Roman" w:hAnsi="Times New Roman"/>
          <w:sz w:val="18"/>
          <w:szCs w:val="18"/>
          <w:color w:val="auto"/>
        </w:rPr>
      </w:pPr>
    </w:p>
    <w:p>
      <w:pPr>
        <w:ind w:left="1280" w:right="360" w:hanging="367"/>
        <w:spacing w:after="0" w:line="252"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the RaniPill capsule as a platform technology with regulatory authorities</w:t>
      </w:r>
      <w:r>
        <w:rPr>
          <w:rFonts w:ascii="Times New Roman" w:cs="Times New Roman" w:eastAsia="Times New Roman" w:hAnsi="Times New Roman"/>
          <w:sz w:val="18"/>
          <w:szCs w:val="18"/>
          <w:color w:val="auto"/>
        </w:rPr>
        <w:t>. We plan to demonstrate the safety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tolerability of the RaniPill capsule through clinical trials independent of any biologic. Data from these studies will be used to support subsequent regulatory applications for our product candidates.</w:t>
      </w:r>
    </w:p>
    <w:p>
      <w:pPr>
        <w:spacing w:after="0" w:line="171" w:lineRule="exact"/>
        <w:rPr>
          <w:rFonts w:ascii="Times New Roman" w:cs="Times New Roman" w:eastAsia="Times New Roman" w:hAnsi="Times New Roman"/>
          <w:sz w:val="18"/>
          <w:szCs w:val="18"/>
          <w:color w:val="auto"/>
        </w:rPr>
      </w:pPr>
    </w:p>
    <w:p>
      <w:pPr>
        <w:ind w:left="1280" w:right="360" w:hanging="367"/>
        <w:spacing w:after="0" w:line="271"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in-house manufacturing of the RaniPill capsule</w:t>
      </w:r>
      <w:r>
        <w:rPr>
          <w:rFonts w:ascii="Times New Roman" w:cs="Times New Roman" w:eastAsia="Times New Roman" w:hAnsi="Times New Roman"/>
          <w:sz w:val="18"/>
          <w:szCs w:val="18"/>
          <w:color w:val="auto"/>
        </w:rPr>
        <w:t>. We have vertically integrated our manufacturing, and plan to continue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scale and optimize our manufacturing processes by expanding our use of automation.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 w:name="page9"/>
    <w:bookmarkEnd w:id="8"/>
    <w:p>
      <w:pPr>
        <w:ind w:left="1280" w:right="20" w:hanging="367"/>
        <w:spacing w:after="0" w:line="252"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 in RaniPill capsule capabilities</w:t>
      </w:r>
      <w:r>
        <w:rPr>
          <w:rFonts w:ascii="Times New Roman" w:cs="Times New Roman" w:eastAsia="Times New Roman" w:hAnsi="Times New Roman"/>
          <w:sz w:val="18"/>
          <w:szCs w:val="18"/>
          <w:color w:val="auto"/>
        </w:rPr>
        <w:t>. We intend to become a leader in oral biologics by continuing to invest in our technology,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expanding payload capacity and developing novel biologic formulations to maximize the number of therapeutic targets and addressable markets.</w:t>
      </w:r>
    </w:p>
    <w:p>
      <w:pPr>
        <w:spacing w:after="0" w:line="171" w:lineRule="exact"/>
        <w:rPr>
          <w:rFonts w:ascii="Times New Roman" w:cs="Times New Roman" w:eastAsia="Times New Roman" w:hAnsi="Times New Roman"/>
          <w:sz w:val="18"/>
          <w:szCs w:val="18"/>
          <w:color w:val="auto"/>
        </w:rPr>
      </w:pPr>
    </w:p>
    <w:p>
      <w:pPr>
        <w:ind w:left="1280" w:right="380" w:hanging="374"/>
        <w:spacing w:after="0" w:line="271"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our reach by selectively entering into strategic partnerships</w:t>
      </w:r>
      <w:r>
        <w:rPr>
          <w:rFonts w:ascii="Times New Roman" w:cs="Times New Roman" w:eastAsia="Times New Roman" w:hAnsi="Times New Roman"/>
          <w:sz w:val="18"/>
          <w:szCs w:val="18"/>
          <w:color w:val="auto"/>
        </w:rPr>
        <w:t>. We are opportunistically exploring strategic partnerships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 us to expand our commercial reach and enable oral administration of a broader array of biologics.</w:t>
      </w:r>
    </w:p>
    <w:p>
      <w:pPr>
        <w:spacing w:after="0" w:line="153" w:lineRule="exact"/>
        <w:rPr>
          <w:rFonts w:ascii="Times New Roman" w:cs="Times New Roman" w:eastAsia="Times New Roman" w:hAnsi="Times New Roman"/>
          <w:sz w:val="18"/>
          <w:szCs w:val="18"/>
          <w:color w:val="auto"/>
        </w:rPr>
      </w:pPr>
    </w:p>
    <w:p>
      <w:pPr>
        <w:ind w:left="1280" w:right="20" w:hanging="367"/>
        <w:spacing w:after="0" w:line="252"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strengthen our intellectual property portfolio</w:t>
      </w:r>
      <w:r>
        <w:rPr>
          <w:rFonts w:ascii="Times New Roman" w:cs="Times New Roman" w:eastAsia="Times New Roman" w:hAnsi="Times New Roman"/>
          <w:sz w:val="18"/>
          <w:szCs w:val="18"/>
          <w:color w:val="auto"/>
        </w:rPr>
        <w:t>. Our patent portfolio has helped establish us as a leading oral biologics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right="160" w:firstLine="1018"/>
        <w:spacing w:after="0" w:line="250" w:lineRule="auto"/>
        <w:rPr>
          <w:sz w:val="20"/>
          <w:szCs w:val="20"/>
          <w:color w:val="auto"/>
        </w:rPr>
      </w:pPr>
      <w:r>
        <w:rPr>
          <w:rFonts w:ascii="Times New Roman" w:cs="Times New Roman" w:eastAsia="Times New Roman" w:hAnsi="Times New Roman"/>
          <w:sz w:val="18"/>
          <w:szCs w:val="18"/>
          <w:color w:val="auto"/>
        </w:rPr>
        <w:t>Rani LLC was founded by Mir Imran, our Chairman of the Board, who continues to contribute to our strategic planning and product development. Mir Imran has a background in medicine and engineering, is a prolific inventor, and a serial entrepreneur, having founded more than 20 life sciences companies.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Technology</w:t>
      </w:r>
    </w:p>
    <w:p>
      <w:pPr>
        <w:spacing w:after="0" w:line="216" w:lineRule="exact"/>
        <w:rPr>
          <w:sz w:val="20"/>
          <w:szCs w:val="20"/>
          <w:color w:val="auto"/>
        </w:rPr>
      </w:pPr>
    </w:p>
    <w:p>
      <w:pPr>
        <w:ind w:right="460" w:firstLine="1018"/>
        <w:spacing w:after="0" w:line="266" w:lineRule="auto"/>
        <w:rPr>
          <w:sz w:val="20"/>
          <w:szCs w:val="20"/>
          <w:color w:val="auto"/>
        </w:rPr>
      </w:pPr>
      <w:r>
        <w:rPr>
          <w:rFonts w:ascii="Times New Roman" w:cs="Times New Roman" w:eastAsia="Times New Roman" w:hAnsi="Times New Roman"/>
          <w:sz w:val="18"/>
          <w:szCs w:val="18"/>
          <w:color w:val="auto"/>
        </w:rPr>
        <w:t>Each of our product candidates is a RaniPill capsule containing a biologic. We may use the term RaniPill platform herein to refer to the physical structure and/or mechanisms of the RaniPill capsule absent a biologic.</w:t>
      </w:r>
    </w:p>
    <w:p>
      <w:pPr>
        <w:spacing w:after="0" w:line="162"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 xml:space="preserve">Our clinically tested RaniPill delivery platform described below is intended to be capable of delivering up to a 3 mg dose of any drug. We are also developing a high-capacity version </w:t>
      </w:r>
      <w:r>
        <w:rPr>
          <w:rFonts w:ascii="Times New Roman" w:cs="Times New Roman" w:eastAsia="Times New Roman" w:hAnsi="Times New Roman"/>
          <w:sz w:val="18"/>
          <w:szCs w:val="18"/>
          <w:color w:val="auto"/>
          <w:highlight w:val="white"/>
        </w:rPr>
        <w:t>known as the RaniPill HC, which is in preclinical stage and</w:t>
      </w:r>
      <w:r>
        <w:rPr>
          <w:rFonts w:ascii="Times New Roman" w:cs="Times New Roman" w:eastAsia="Times New Roman" w:hAnsi="Times New Roman"/>
          <w:sz w:val="18"/>
          <w:szCs w:val="18"/>
          <w:color w:val="auto"/>
        </w:rPr>
        <w:t xml:space="preserve"> which is intended to enable delivery of drug payloads up to 20 mg.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RaniPill capsule</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RaniPill capsule is a versatile, drug-agnostic, orally ingestible pill approximately the size of a fish oil or calcium pill or a ‘000’-sized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124460</wp:posOffset>
            </wp:positionV>
            <wp:extent cx="2785745" cy="1894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574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40" w:firstLine="1018"/>
        <w:spacing w:after="0" w:line="250" w:lineRule="auto"/>
        <w:rPr>
          <w:sz w:val="20"/>
          <w:szCs w:val="20"/>
          <w:color w:val="auto"/>
        </w:rPr>
      </w:pPr>
      <w:r>
        <w:rPr>
          <w:rFonts w:ascii="Times New Roman" w:cs="Times New Roman" w:eastAsia="Times New Roman" w:hAnsi="Times New Roman"/>
          <w:sz w:val="18"/>
          <w:szCs w:val="18"/>
          <w:color w:val="auto"/>
        </w:rPr>
        <w:t>The capsule includes a proprietary coating designed to withstand stomach acid but dissolve in the jejunum portion of the small intestine. Dissolution of the coating leads to a series of steps that result in a biologic being delivered into the highly vascularized wall of the small intestine so that the biologic can be absorbed into the vasculature and enter the bloodstream.</w:t>
      </w:r>
    </w:p>
    <w:p>
      <w:pPr>
        <w:spacing w:after="0" w:line="204" w:lineRule="exact"/>
        <w:rPr>
          <w:sz w:val="20"/>
          <w:szCs w:val="20"/>
          <w:color w:val="auto"/>
        </w:rPr>
      </w:pPr>
    </w:p>
    <w:p>
      <w:pPr>
        <w:ind w:right="440" w:firstLine="1018"/>
        <w:spacing w:after="0" w:line="266" w:lineRule="auto"/>
        <w:rPr>
          <w:sz w:val="20"/>
          <w:szCs w:val="20"/>
          <w:color w:val="auto"/>
        </w:rPr>
      </w:pPr>
      <w:r>
        <w:rPr>
          <w:rFonts w:ascii="Times New Roman" w:cs="Times New Roman" w:eastAsia="Times New Roman" w:hAnsi="Times New Roman"/>
          <w:sz w:val="18"/>
          <w:szCs w:val="18"/>
          <w:color w:val="auto"/>
        </w:rPr>
        <w:t>The following illustrations depict the clinically tested RaniPill capsule traversing through and deploying within a lumen of the intestine illustrated in cross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328930</wp:posOffset>
            </wp:positionV>
            <wp:extent cx="690054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00545" cy="831215"/>
                    </a:xfrm>
                    <a:prstGeom prst="rect">
                      <a:avLst/>
                    </a:prstGeom>
                    <a:noFill/>
                  </pic:spPr>
                </pic:pic>
              </a:graphicData>
            </a:graphic>
          </wp:anchor>
        </w:drawing>
      </w:r>
    </w:p>
    <w:p>
      <w:pPr>
        <w:spacing w:after="0" w:line="399" w:lineRule="exact"/>
        <w:rPr>
          <w:sz w:val="20"/>
          <w:szCs w:val="20"/>
          <w:color w:val="auto"/>
        </w:rPr>
      </w:pPr>
    </w:p>
    <w:p>
      <w:pPr>
        <w:ind w:left="1080"/>
        <w:spacing w:after="0"/>
        <w:tabs>
          <w:tab w:leader="none" w:pos="3880" w:val="left"/>
          <w:tab w:leader="none" w:pos="6740" w:val="left"/>
          <w:tab w:leader="none" w:pos="9580" w:val="left"/>
        </w:tabs>
        <w:rPr>
          <w:sz w:val="20"/>
          <w:szCs w:val="20"/>
          <w:color w:val="auto"/>
        </w:rPr>
      </w:pPr>
      <w:r>
        <w:rPr>
          <w:rFonts w:ascii="Times New Roman" w:cs="Times New Roman" w:eastAsia="Times New Roman" w:hAnsi="Times New Roman"/>
          <w:sz w:val="18"/>
          <w:szCs w:val="18"/>
          <w:color w:val="auto"/>
        </w:rPr>
        <w:t>Panel A</w:t>
      </w:r>
      <w:r>
        <w:rPr>
          <w:sz w:val="20"/>
          <w:szCs w:val="20"/>
          <w:color w:val="auto"/>
        </w:rPr>
        <w:tab/>
      </w:r>
      <w:r>
        <w:rPr>
          <w:rFonts w:ascii="Times New Roman" w:cs="Times New Roman" w:eastAsia="Times New Roman" w:hAnsi="Times New Roman"/>
          <w:sz w:val="18"/>
          <w:szCs w:val="18"/>
          <w:color w:val="auto"/>
        </w:rPr>
        <w:t>Panel B</w:t>
      </w:r>
      <w:r>
        <w:rPr>
          <w:sz w:val="20"/>
          <w:szCs w:val="20"/>
          <w:color w:val="auto"/>
        </w:rPr>
        <w:tab/>
      </w:r>
      <w:r>
        <w:rPr>
          <w:rFonts w:ascii="Times New Roman" w:cs="Times New Roman" w:eastAsia="Times New Roman" w:hAnsi="Times New Roman"/>
          <w:sz w:val="18"/>
          <w:szCs w:val="18"/>
          <w:color w:val="auto"/>
        </w:rPr>
        <w:t>Panel C</w:t>
      </w:r>
      <w:r>
        <w:rPr>
          <w:sz w:val="20"/>
          <w:szCs w:val="20"/>
          <w:color w:val="auto"/>
        </w:rPr>
        <w:tab/>
      </w:r>
      <w:r>
        <w:rPr>
          <w:rFonts w:ascii="Times New Roman" w:cs="Times New Roman" w:eastAsia="Times New Roman" w:hAnsi="Times New Roman"/>
          <w:sz w:val="18"/>
          <w:szCs w:val="18"/>
          <w:color w:val="auto"/>
        </w:rPr>
        <w:t>Panel D</w:t>
      </w:r>
    </w:p>
    <w:p>
      <w:pPr>
        <w:spacing w:after="0" w:line="198" w:lineRule="exact"/>
        <w:rPr>
          <w:sz w:val="20"/>
          <w:szCs w:val="20"/>
          <w:color w:val="auto"/>
        </w:rPr>
      </w:pPr>
    </w:p>
    <w:p>
      <w:pPr>
        <w:ind w:left="760" w:right="1180"/>
        <w:spacing w:after="0" w:line="266" w:lineRule="auto"/>
        <w:rPr>
          <w:sz w:val="20"/>
          <w:szCs w:val="20"/>
          <w:color w:val="auto"/>
        </w:rPr>
      </w:pPr>
      <w:r>
        <w:rPr>
          <w:rFonts w:ascii="Times New Roman" w:cs="Times New Roman" w:eastAsia="Times New Roman" w:hAnsi="Times New Roman"/>
          <w:sz w:val="18"/>
          <w:szCs w:val="18"/>
          <w:u w:val="single" w:color="auto"/>
          <w:color w:val="auto"/>
        </w:rPr>
        <w:t>Panel A</w:t>
      </w:r>
      <w:r>
        <w:rPr>
          <w:rFonts w:ascii="Times New Roman" w:cs="Times New Roman" w:eastAsia="Times New Roman" w:hAnsi="Times New Roman"/>
          <w:sz w:val="18"/>
          <w:szCs w:val="18"/>
          <w:color w:val="auto"/>
        </w:rPr>
        <w:t>: As the RaniPill capsule exits the stomach and enters the small intestine, the higher pH environment of around 6.5 in the jejunum begins to dissolve the coating.</w:t>
      </w:r>
    </w:p>
    <w:p>
      <w:pPr>
        <w:spacing w:after="0" w:line="162" w:lineRule="exact"/>
        <w:rPr>
          <w:sz w:val="20"/>
          <w:szCs w:val="20"/>
          <w:color w:val="auto"/>
        </w:rPr>
      </w:pPr>
    </w:p>
    <w:p>
      <w:pPr>
        <w:ind w:left="760" w:right="1280"/>
        <w:spacing w:after="0" w:line="266" w:lineRule="auto"/>
        <w:rPr>
          <w:sz w:val="20"/>
          <w:szCs w:val="20"/>
          <w:color w:val="auto"/>
        </w:rPr>
      </w:pPr>
      <w:r>
        <w:rPr>
          <w:rFonts w:ascii="Times New Roman" w:cs="Times New Roman" w:eastAsia="Times New Roman" w:hAnsi="Times New Roman"/>
          <w:sz w:val="18"/>
          <w:szCs w:val="18"/>
          <w:u w:val="single" w:color="auto"/>
          <w:color w:val="auto"/>
        </w:rPr>
        <w:t>Panel B</w:t>
      </w:r>
      <w:r>
        <w:rPr>
          <w:rFonts w:ascii="Times New Roman" w:cs="Times New Roman" w:eastAsia="Times New Roman" w:hAnsi="Times New Roman"/>
          <w:sz w:val="18"/>
          <w:szCs w:val="18"/>
          <w:color w:val="auto"/>
        </w:rPr>
        <w:t>: Dissolution of the coating exposes a balloon in the RaniPill capsule to intestinal fluid which results in the balloon self-inflating.</w:t>
      </w:r>
    </w:p>
    <w:p>
      <w:pPr>
        <w:spacing w:after="0" w:line="162" w:lineRule="exact"/>
        <w:rPr>
          <w:sz w:val="20"/>
          <w:szCs w:val="20"/>
          <w:color w:val="auto"/>
        </w:rPr>
      </w:pPr>
    </w:p>
    <w:p>
      <w:pPr>
        <w:ind w:left="760" w:right="780"/>
        <w:spacing w:after="0" w:line="250" w:lineRule="auto"/>
        <w:rPr>
          <w:sz w:val="20"/>
          <w:szCs w:val="20"/>
          <w:color w:val="auto"/>
        </w:rPr>
      </w:pPr>
      <w:r>
        <w:rPr>
          <w:rFonts w:ascii="Times New Roman" w:cs="Times New Roman" w:eastAsia="Times New Roman" w:hAnsi="Times New Roman"/>
          <w:sz w:val="18"/>
          <w:szCs w:val="18"/>
          <w:u w:val="single" w:color="auto"/>
          <w:color w:val="auto"/>
        </w:rPr>
        <w:t>Panel C</w:t>
      </w:r>
      <w:r>
        <w:rPr>
          <w:rFonts w:ascii="Times New Roman" w:cs="Times New Roman" w:eastAsia="Times New Roman" w:hAnsi="Times New Roman"/>
          <w:sz w:val="18"/>
          <w:szCs w:val="18"/>
          <w:color w:val="auto"/>
        </w:rPr>
        <w:t>: Inflation of the balloon orients a microneedle contained within the balloon approximately perpendicular to the intestinal wall. The pressure in the balloon delivers the microneedle, which is smaller than a grain of rice, into the intestinal wall. The microneedle dissolves in the moist tissue environment, and the drug is absorbed into the vasculature and thereby into the bloodstream.</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Panel D</w:t>
      </w:r>
      <w:r>
        <w:rPr>
          <w:rFonts w:ascii="Times New Roman" w:cs="Times New Roman" w:eastAsia="Times New Roman" w:hAnsi="Times New Roman"/>
          <w:sz w:val="18"/>
          <w:szCs w:val="18"/>
          <w:color w:val="auto"/>
        </w:rPr>
        <w:t>: The balloon immediately deflates upon microneedle delivery and is excreted through normal digestive processes.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Features and advantages of the RaniPill capsule</w:t>
      </w:r>
    </w:p>
    <w:p>
      <w:pPr>
        <w:spacing w:after="0" w:line="216"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The RaniPill capsule is a result of years of internal research activities to develop and optimize specialized components and systems that make up the RaniPill capsule. Several advanced features are included in the RaniPill capsule, providing what we believe to be significant and sustainable competitive advantages in the field of oral delivery of biologics. Some of the features and advantages of the RaniPill capsule are listed below.</w:t>
      </w:r>
    </w:p>
    <w:p>
      <w:pPr>
        <w:spacing w:after="0" w:line="175" w:lineRule="exact"/>
        <w:rPr>
          <w:sz w:val="20"/>
          <w:szCs w:val="20"/>
          <w:color w:val="auto"/>
        </w:rPr>
      </w:pPr>
    </w:p>
    <w:p>
      <w:pPr>
        <w:ind w:left="1280" w:right="40" w:hanging="374"/>
        <w:spacing w:after="0" w:line="265"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High bioavailability and high dosing accuracy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Our studies conducted to date have demonstrated that the RaniPill capsule delivers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biologics with bioavailability that is generally comparable to dosing subcutaneously, with high dosing accuracy. This level of bioavailability is similar to subcutaneous injection and is significantly higher than that of currently marketed chemistry-based oral biologics, the best attempts of which to our awareness have resulted in peptides being delivered with only low single-digit bioavailability.</w:t>
      </w:r>
    </w:p>
    <w:p>
      <w:pPr>
        <w:spacing w:after="0" w:line="162" w:lineRule="exact"/>
        <w:rPr>
          <w:rFonts w:ascii="Times New Roman" w:cs="Times New Roman" w:eastAsia="Times New Roman" w:hAnsi="Times New Roman"/>
          <w:sz w:val="17"/>
          <w:szCs w:val="17"/>
          <w:color w:val="auto"/>
        </w:rPr>
      </w:pPr>
    </w:p>
    <w:p>
      <w:pPr>
        <w:ind w:left="1280" w:right="500" w:hanging="374"/>
        <w:spacing w:after="0" w:line="26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Protective coating avoids deployment in the stomach</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proprietary protective coating formulation is pH-sensitive, enabling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RaniPill capsule to maintain its integrity through the acidic environment in the stomach for deployment in the small intestine.</w:t>
      </w:r>
    </w:p>
    <w:p>
      <w:pPr>
        <w:spacing w:after="0" w:line="158" w:lineRule="exact"/>
        <w:rPr>
          <w:rFonts w:ascii="Times New Roman" w:cs="Times New Roman" w:eastAsia="Times New Roman" w:hAnsi="Times New Roman"/>
          <w:sz w:val="18"/>
          <w:szCs w:val="18"/>
          <w:color w:val="auto"/>
        </w:rPr>
      </w:pPr>
    </w:p>
    <w:p>
      <w:pPr>
        <w:ind w:left="1280" w:right="120" w:hanging="374"/>
        <w:spacing w:after="0" w:line="246"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Protection of the drug prior to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microneedle is protected from intestinal fluid until delivery, and then the rapid injection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microneedle into the intestinal wall during delivery provides for little or no exposure of the microneedle to intestinal fluid. This technique serves to overcome the body’s natural mechanisms that break biologics down in the harsh GI environment and thus block biologics from reaching the blood stream from within the intestine.</w:t>
      </w:r>
    </w:p>
    <w:p>
      <w:pPr>
        <w:spacing w:after="0" w:line="177" w:lineRule="exact"/>
        <w:rPr>
          <w:rFonts w:ascii="Times New Roman" w:cs="Times New Roman" w:eastAsia="Times New Roman" w:hAnsi="Times New Roman"/>
          <w:sz w:val="18"/>
          <w:szCs w:val="18"/>
          <w:color w:val="auto"/>
        </w:rPr>
      </w:pPr>
    </w:p>
    <w:p>
      <w:pPr>
        <w:ind w:left="1280" w:right="20" w:hanging="374"/>
        <w:spacing w:after="0" w:line="246"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Proprietary microneedle design preserves drug integrity and sterility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proprietary dissolvable microneedle is made from injectable-grade, sterile materials. The microneedle is designed to accommodate in its hollow interior a biologic formed into a microtablet of up to 3 mg. Once exposed to body fluids, the microneedle begins to dissolve and expose the biologic for absorption into the vasculature. The sealed microneedle preserves the integrity and sterility of the biologic until the microneedle dissolves.</w:t>
      </w:r>
    </w:p>
    <w:p>
      <w:pPr>
        <w:spacing w:after="0" w:line="177" w:lineRule="exact"/>
        <w:rPr>
          <w:rFonts w:ascii="Times New Roman" w:cs="Times New Roman" w:eastAsia="Times New Roman" w:hAnsi="Times New Roman"/>
          <w:sz w:val="18"/>
          <w:szCs w:val="18"/>
          <w:color w:val="auto"/>
        </w:rPr>
      </w:pPr>
    </w:p>
    <w:p>
      <w:pPr>
        <w:ind w:left="1280" w:right="80" w:hanging="374"/>
        <w:spacing w:after="0" w:line="251"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Delivery of the microneedle in both fed and fasted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RaniPill capsule is designed to deliver the microneedle even if the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ingests the RaniPill capsule with or after a meal, which we expect will allow for more flexible dosing regimens and improved patient adherence to a given regimen.</w:t>
      </w:r>
    </w:p>
    <w:p>
      <w:pPr>
        <w:spacing w:after="0" w:line="174" w:lineRule="exact"/>
        <w:rPr>
          <w:rFonts w:ascii="Times New Roman" w:cs="Times New Roman" w:eastAsia="Times New Roman" w:hAnsi="Times New Roman"/>
          <w:sz w:val="18"/>
          <w:szCs w:val="18"/>
          <w:color w:val="auto"/>
        </w:rPr>
      </w:pPr>
    </w:p>
    <w:p>
      <w:pPr>
        <w:ind w:left="1280" w:right="140" w:hanging="374"/>
        <w:spacing w:after="0" w:line="26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Self-inflating balloon ensures reliable delivery</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proprietary self-inflating balloon is designed to provide optimal pressure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microneedle. In addition, the novel design of the balloon positions the microneedle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ind w:left="1280" w:right="20"/>
        <w:spacing w:after="0" w:line="266" w:lineRule="auto"/>
        <w:rPr>
          <w:sz w:val="20"/>
          <w:szCs w:val="20"/>
          <w:color w:val="auto"/>
        </w:rPr>
      </w:pPr>
      <w:r>
        <w:rPr>
          <w:rFonts w:ascii="Times New Roman" w:cs="Times New Roman" w:eastAsia="Times New Roman" w:hAnsi="Times New Roman"/>
          <w:sz w:val="18"/>
          <w:szCs w:val="18"/>
          <w:color w:val="auto"/>
        </w:rPr>
        <w:t>approximately perpendicular to the intestinal wall for reliable drug delivery, with up to 80% drug delivery success observed in our clinical trial of RT-101. The self-inflating balloon has been designed to minimize GI discomfort.</w:t>
      </w:r>
    </w:p>
    <w:p>
      <w:pPr>
        <w:spacing w:after="0" w:line="160" w:lineRule="exact"/>
        <w:rPr>
          <w:sz w:val="20"/>
          <w:szCs w:val="20"/>
          <w:color w:val="auto"/>
        </w:rPr>
      </w:pPr>
    </w:p>
    <w:p>
      <w:pPr>
        <w:ind w:left="1280" w:right="620" w:hanging="374"/>
        <w:spacing w:after="0" w:line="268"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Drug-agnostic design provides a standardized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RaniPill capsule is designed to deliver any molecule irrespective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molecular mass. This allows a single platform design to be used with multiple drugs.</w:t>
      </w:r>
    </w:p>
    <w:p>
      <w:pPr>
        <w:spacing w:after="0" w:line="158" w:lineRule="exact"/>
        <w:rPr>
          <w:rFonts w:ascii="Times New Roman" w:cs="Times New Roman" w:eastAsia="Times New Roman" w:hAnsi="Times New Roman"/>
          <w:sz w:val="18"/>
          <w:szCs w:val="18"/>
          <w:color w:val="auto"/>
        </w:rPr>
      </w:pPr>
    </w:p>
    <w:p>
      <w:pPr>
        <w:ind w:left="1280" w:right="100" w:hanging="374"/>
        <w:spacing w:after="0" w:line="241"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Optimized dosing regimen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Based on the confirmed patient preference for oral delivery alternatives, we expect better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adherence with oral dosing versus injections, thus enabling a more physician-selectable dosing regimen. For example, the RaniPill capsule may enable a regimen of small daily doses, versus larger less-frequent doses for injections prescribed to improve treatment adherence; small daily dosing may allow for therapeutic exposures to be maintained within a narrow range, whereas larger less frequent injection dosing can lead to large variations in therapeutic exposure, which can directly contribute to adverse events, loss of efficacy, and increased propensity for immunogenic response.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Studies underscoring the advantages of the RaniPill capsule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Platform study in humans confirming reliable deployment in fed and fasted states</w:t>
      </w:r>
    </w:p>
    <w:p>
      <w:pPr>
        <w:spacing w:after="0" w:line="214"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An initial clinical assessment of the RaniPill capsule (without a drug) was conducted to evaluate the safety and tolerability of the platform and to compare device performance in fed and fasted states in twenty healthy volunteers, divided into two groups of ten.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184"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The total transit time for the RaniPill capsule was longer in the fed group than in the fasted group because the capsule remained in the stomach longer in the fed group. However, food did not impact the deployment time of the RaniPill capsule. This was confirmed via radiographic tracking which showed successful balloon inflation, indicating both that the protective coating dissolved as designed and the balloon inflated as designed, regardless of the presence of matter in the lumen of the intestinal tract.</w:t>
      </w:r>
    </w:p>
    <w:p>
      <w:pPr>
        <w:spacing w:after="0" w:line="181"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No volunteers reported difficulty in swallowing the capsule, nor did any study participant report experiencing pain or sensing an awareness upon balloon deployment.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Patient and physician survey indicating strong preference for pills over injections even for infrequent dosing</w:t>
      </w:r>
    </w:p>
    <w:p>
      <w:pPr>
        <w:spacing w:after="0" w:line="214"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We commissioned an independent third-party survey to investigate United States patient and physician preference for oral medications versus injections. The results clearly indicated that both patients and prescribing physicians would prefer pills to injections over a broad base of patient populations and treatment regimens. The results also indicate that a majority of physicians would be likely to prescribe an oral regimen as a first line therapy.</w:t>
      </w:r>
    </w:p>
    <w:p>
      <w:pPr>
        <w:spacing w:after="0" w:line="181"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Across all patient groups, genders, ages, conditions treated, and severity of condition, there was a consistently strong preference for switching from injections to pills, even for infrequent injection regimens of up to six months.</w:t>
      </w:r>
    </w:p>
    <w:p>
      <w:pPr>
        <w:spacing w:after="0" w:line="189" w:lineRule="exact"/>
        <w:rPr>
          <w:sz w:val="20"/>
          <w:szCs w:val="20"/>
          <w:color w:val="auto"/>
        </w:rPr>
      </w:pPr>
    </w:p>
    <w:p>
      <w:pPr>
        <w:ind w:right="300" w:firstLine="1018"/>
        <w:spacing w:after="0" w:line="242" w:lineRule="auto"/>
        <w:rPr>
          <w:sz w:val="20"/>
          <w:szCs w:val="20"/>
          <w:color w:val="auto"/>
        </w:rPr>
      </w:pPr>
      <w:r>
        <w:rPr>
          <w:rFonts w:ascii="Times New Roman" w:cs="Times New Roman" w:eastAsia="Times New Roman" w:hAnsi="Times New Roman"/>
          <w:sz w:val="18"/>
          <w:szCs w:val="18"/>
          <w:color w:val="auto"/>
        </w:rPr>
        <w:t>The 611 responding patients were aged 18 years or older and presently using an injectable biologic to treat a condition. Six patient groups each included 100-103 patients with current primary treatment being injections of Simponi, Entyvio, Stelara, Prolia, Evenity, or Cosentyx. The 201 responding physicians, mostly endocrinologists and rheumatologists, were presently prescribing injectable biologics to their patients. The physicians answered questions regarding the biologics listed with respect to the patient groups as well as five additional biologics (Natpara, Forteo, Tymlos, Norditropin, and Genotropin).</w:t>
      </w:r>
    </w:p>
    <w:p>
      <w:pPr>
        <w:spacing w:after="0" w:line="185"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The results of this extensive patient preference survey across a large and varied patient population are consistent with the results obtained from our prior patient preference survey showing, for example, that 88% of rheumatoid arthritis patients taking Humira injections once every two weeks would prefer a daily pill and 76% of patients taking Prolia once every six months would prefer a daily pill. In each patient group surveyed, at least 64% of respondents would prefer a daily pill to their current injectable treatment regimen.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Repeat-dose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 w:name="page12"/>
    <w:bookmarkEnd w:id="11"/>
    <w:p>
      <w:pPr>
        <w:ind w:left="1020"/>
        <w:spacing w:after="0"/>
        <w:rPr>
          <w:sz w:val="20"/>
          <w:szCs w:val="20"/>
          <w:color w:val="auto"/>
        </w:rPr>
      </w:pPr>
      <w:r>
        <w:rPr>
          <w:rFonts w:ascii="Times New Roman" w:cs="Times New Roman" w:eastAsia="Times New Roman" w:hAnsi="Times New Roman"/>
          <w:sz w:val="18"/>
          <w:szCs w:val="18"/>
          <w:color w:val="auto"/>
        </w:rPr>
        <w:t>We have conducted two seven-day repeat-dose studies in canines under GLP guidelines, with no safety issues or adverse events observed.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studies indicate the potential for safe, daily dosing with the RaniPill capsule.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16" w:lineRule="exact"/>
        <w:rPr>
          <w:sz w:val="20"/>
          <w:szCs w:val="20"/>
          <w:color w:val="auto"/>
        </w:rPr>
      </w:pPr>
    </w:p>
    <w:p>
      <w:pPr>
        <w:ind w:right="160" w:firstLine="1018"/>
        <w:spacing w:after="0" w:line="242" w:lineRule="auto"/>
        <w:rPr>
          <w:sz w:val="20"/>
          <w:szCs w:val="20"/>
          <w:color w:val="auto"/>
        </w:rPr>
      </w:pPr>
      <w:r>
        <w:rPr>
          <w:rFonts w:ascii="Times New Roman" w:cs="Times New Roman" w:eastAsia="Times New Roman" w:hAnsi="Times New Roman"/>
          <w:sz w:val="18"/>
          <w:szCs w:val="18"/>
          <w:color w:val="auto"/>
        </w:rPr>
        <w:t>The broad utility of the RaniPill capsule to enable the oral delivery of biologics reliably provides us with a range of attractive development opportunities. We have prioritized development based on specific scientific, developmental, regulatory, and commercial considerations to optimize our portfolio of targeted product candidates. Our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185"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We have tested the RaniPill capsule with several biologics, in numerous preclinical studies. In March 2022, we initiated testing of RT-102 in a Phase 1 clinical trial in Australia. Previously, we completed a Phase 1 clinical trial of RT-101 in Australia.</w:t>
      </w:r>
    </w:p>
    <w:p>
      <w:pPr>
        <w:spacing w:after="0" w:line="162"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Below is a summary of our product candidate pipeline. We believe these drugs are compatible with our technology based on their dosage and dosing schedule. Most importantly, if clinical testing proves successful and our product candidates are approved by regulatory authorities, these products would give millions of patients a convenient, oral option to effectively manage their diseases. We may complement these programs with robust partnering activities to maximize the value inherent in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126365</wp:posOffset>
            </wp:positionV>
            <wp:extent cx="6172200" cy="3472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RT-XXX refers to the RaniPill capsule containing a biologic in a proprietary Rani formulation.</w:t>
      </w:r>
    </w:p>
    <w:p>
      <w:pPr>
        <w:spacing w:after="0" w:line="1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Each of these indications will require separate regulatory approvals.</w:t>
      </w:r>
    </w:p>
    <w:p>
      <w:pPr>
        <w:ind w:left="900"/>
        <w:spacing w:after="0" w:line="234" w:lineRule="auto"/>
        <w:rPr>
          <w:sz w:val="20"/>
          <w:szCs w:val="20"/>
          <w:color w:val="auto"/>
        </w:rPr>
      </w:pPr>
      <w:r>
        <w:rPr>
          <w:rFonts w:ascii="Times New Roman" w:cs="Times New Roman" w:eastAsia="Times New Roman" w:hAnsi="Times New Roman"/>
          <w:sz w:val="18"/>
          <w:szCs w:val="18"/>
          <w:i w:val="1"/>
          <w:iCs w:val="1"/>
          <w:color w:val="auto"/>
        </w:rPr>
        <w:t>**Changchun High &amp; New Technology Industries will have a limited opportunity to negotiate for rights within China.</w:t>
      </w:r>
    </w:p>
    <w:p>
      <w:pPr>
        <w:spacing w:after="0" w:line="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Timelines are subject to regulatory agency review delays.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RT-101: Octreotide for the treatment of NETs and acromegaly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currently approved products</w:t>
      </w:r>
    </w:p>
    <w:p>
      <w:pPr>
        <w:spacing w:after="0" w:line="214" w:lineRule="exact"/>
        <w:rPr>
          <w:sz w:val="20"/>
          <w:szCs w:val="20"/>
          <w:color w:val="auto"/>
        </w:rPr>
      </w:pPr>
    </w:p>
    <w:p>
      <w:pPr>
        <w:ind w:right="160" w:firstLine="1018"/>
        <w:spacing w:after="0" w:line="245" w:lineRule="auto"/>
        <w:rPr>
          <w:sz w:val="20"/>
          <w:szCs w:val="20"/>
          <w:color w:val="auto"/>
        </w:rPr>
      </w:pPr>
      <w:r>
        <w:rPr>
          <w:rFonts w:ascii="Times New Roman" w:cs="Times New Roman" w:eastAsia="Times New Roman" w:hAnsi="Times New Roman"/>
          <w:sz w:val="18"/>
          <w:szCs w:val="18"/>
          <w:color w:val="auto"/>
        </w:rPr>
        <w:t>Octreotide, developed by Novartis AG and sold under the brand name Sandostatin, is a truncated and modified form of the human somatostatin. Somatostatin is a peptide hormone involved in the regulation of the endocrine system. It acts as an inhibitory hormone and influences hGH release, insulin and glucagon secretion, regional blood flow, gastric acid secretion, intestinal mobility, and neuronal activity. Octreotide is a more potent mimetic with a significantly longer half-life than naturally occurring somatostatin.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12" w:name="page13"/>
    <w:bookmarkEnd w:id="12"/>
    <w:p>
      <w:pPr>
        <w:ind w:firstLine="1018"/>
        <w:spacing w:after="0"/>
        <w:rPr>
          <w:sz w:val="20"/>
          <w:szCs w:val="20"/>
          <w:color w:val="auto"/>
        </w:rPr>
      </w:pPr>
      <w:r>
        <w:rPr>
          <w:rFonts w:ascii="Times New Roman" w:cs="Times New Roman" w:eastAsia="Times New Roman" w:hAnsi="Times New Roman"/>
          <w:sz w:val="18"/>
          <w:szCs w:val="18"/>
          <w:color w:val="auto"/>
        </w:rPr>
        <w:t>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extended-release formulation via painful, deep intramuscular injections every four weeks. Despite the inconvenience of the current route of administration, the worldwide market for octreotide in 2020 was approximately $2.7 billion. A chemistry-based attempt to develop an oral version of octreotide for treatment of acromegaly (MYCAPSSA from Amryt Pharma) resulted in a product with less than 1% bioavailability, which, due to this low bioavailability, was approved only for maintenance therapy of acromegaly patients on a low (100 µg) dose.</w:t>
      </w:r>
    </w:p>
    <w:p>
      <w:pPr>
        <w:spacing w:after="0" w:line="185" w:lineRule="exact"/>
        <w:rPr>
          <w:sz w:val="20"/>
          <w:szCs w:val="20"/>
          <w:color w:val="auto"/>
        </w:rPr>
      </w:pPr>
    </w:p>
    <w:p>
      <w:pPr>
        <w:ind w:right="140" w:firstLine="1018"/>
        <w:spacing w:after="0" w:line="250" w:lineRule="auto"/>
        <w:rPr>
          <w:sz w:val="20"/>
          <w:szCs w:val="20"/>
          <w:color w:val="auto"/>
        </w:rPr>
      </w:pPr>
      <w:r>
        <w:rPr>
          <w:rFonts w:ascii="Times New Roman" w:cs="Times New Roman" w:eastAsia="Times New Roman" w:hAnsi="Times New Roman"/>
          <w:sz w:val="18"/>
          <w:szCs w:val="18"/>
          <w:color w:val="auto"/>
        </w:rPr>
        <w:t>The total patient population of NETs and acromegaly in the United States is estimated to be around 200,000. Approximately 12,000 new cases of NETs and 3,000 new cases of acromegaly are diagnosed annually in the United States. The worldwide market for injectable somatostatin analogs is approximately $6.0 billion annually across both indications.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RT-101</w:t>
      </w:r>
    </w:p>
    <w:p>
      <w:pPr>
        <w:spacing w:after="0" w:line="214" w:lineRule="exact"/>
        <w:rPr>
          <w:sz w:val="20"/>
          <w:szCs w:val="20"/>
          <w:color w:val="auto"/>
        </w:rPr>
      </w:pPr>
    </w:p>
    <w:p>
      <w:pPr>
        <w:jc w:val="both"/>
        <w:ind w:right="140" w:firstLine="1018"/>
        <w:spacing w:after="0" w:line="250" w:lineRule="auto"/>
        <w:rPr>
          <w:sz w:val="20"/>
          <w:szCs w:val="20"/>
          <w:color w:val="auto"/>
        </w:rPr>
      </w:pPr>
      <w:r>
        <w:rPr>
          <w:rFonts w:ascii="Times New Roman" w:cs="Times New Roman" w:eastAsia="Times New Roman" w:hAnsi="Times New Roman"/>
          <w:sz w:val="18"/>
          <w:szCs w:val="18"/>
          <w:color w:val="auto"/>
        </w:rPr>
        <w:t>We are developing RT-101, the RaniPill capsule containing our novel formulation of octreotide, for oral treatment of NETs and acromegaly. We have worldwide commercial rights to RT-101. We believe that the oral delivery route provided by RT-101 has the potential to take market share from injectables and expand oral delivery of octreotide beyond the limited reach of MYCAPSSA.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RT-101 Pharmacokinetic study</w:t>
      </w:r>
    </w:p>
    <w:p>
      <w:pPr>
        <w:spacing w:after="0" w:line="239"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Pharmacokinetic (“PK”) profiles of octreotide delivered as RT-101 were obtained in conscious beagles, and compared to that of an equivalent IV dose of the commercially available product, Sandostatin®. All animals receiving RT-101 tolerated the oral administration of the capsule. For the RT-101 group, the average maximum concentration (“Cmax”) was 9.9 ± 1.2 ng/ml and average Tmax for the group was 22 ± 3 minutes after payload delivery. The average absolute bioavailability of octreotide delivered via RT-101 was 78%.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RT-101 seven-day repeat dose GLP study</w:t>
      </w:r>
    </w:p>
    <w:p>
      <w:pPr>
        <w:spacing w:after="0" w:line="212"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Tolerability and reliability of RT-101 was assessed in a seven-day administration study in canines, under GLP guidelines. RT-101 was orally administered daily to test group animals, and control group animals received an enteric coated capsule containing nonpareil sugar. Blood samples were collected after each RT-101 dose was administered to confirm successful payload delivery by measuring plasma concentrations of the drug. Plasma samples analyzed from test group animals showed that 77% of the administered devices successfully delivered the drug, with seven of eight animals having at least five successful payload deliveries over the seven-day dosing period. RT-101 was well-tolerated by all animals in the study. There were no clinical adverse effects observed in either group throughout the study duration. The GI tract was critically evaluated in all animals and no significant macroscopic or microscopic abnormalities were observed in any animal. These results demonstrated that the RaniPill capsule can be consumed on a daily basis for seven days, deploy within the targeted region of the small intestine without causing any adverse clinical effects, and remnants can be excreted without complications.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Endoscopic delivery of octreotide into the jejunum of healthy volunteers</w:t>
      </w:r>
    </w:p>
    <w:p>
      <w:pPr>
        <w:spacing w:after="0" w:line="212" w:lineRule="exact"/>
        <w:rPr>
          <w:sz w:val="20"/>
          <w:szCs w:val="20"/>
          <w:color w:val="auto"/>
        </w:rPr>
      </w:pPr>
    </w:p>
    <w:p>
      <w:pPr>
        <w:ind w:right="80" w:firstLine="1018"/>
        <w:spacing w:after="0" w:line="242" w:lineRule="auto"/>
        <w:rPr>
          <w:sz w:val="20"/>
          <w:szCs w:val="20"/>
          <w:color w:val="auto"/>
        </w:rPr>
      </w:pPr>
      <w:r>
        <w:rPr>
          <w:rFonts w:ascii="Times New Roman" w:cs="Times New Roman" w:eastAsia="Times New Roman" w:hAnsi="Times New Roman"/>
          <w:sz w:val="18"/>
          <w:szCs w:val="18"/>
          <w:color w:val="auto"/>
        </w:rPr>
        <w:t>To obtain early proof-of-concept data, we evaluated PK of Sandostatin® (a commercial formulation of octreotide) delivered via a direct injection into the jejunal wall to mimic the intended route of delivery by the RaniPill capsule. Results from this study, which involved five healthy volunteers, showed a highly similar PK profile of octreotide delivered by a direct injection into the intestinal wall to that obtained with RT-101 in its Phase 1 clinical trial. (</w:t>
      </w:r>
      <w:r>
        <w:rPr>
          <w:rFonts w:ascii="Times New Roman" w:cs="Times New Roman" w:eastAsia="Times New Roman" w:hAnsi="Times New Roman"/>
          <w:sz w:val="18"/>
          <w:szCs w:val="18"/>
          <w:i w:val="1"/>
          <w:iCs w:val="1"/>
          <w:color w:val="auto"/>
        </w:rPr>
        <w:t>See below RT-101 Phase 1 study</w:t>
      </w:r>
      <w:r>
        <w:rPr>
          <w:rFonts w:ascii="Times New Roman" w:cs="Times New Roman" w:eastAsia="Times New Roman" w:hAnsi="Times New Roman"/>
          <w:sz w:val="18"/>
          <w:szCs w:val="18"/>
          <w:color w:val="auto"/>
        </w:rPr>
        <w:t>). These data indicate that a change in formulation of octreotide from liquid to solid form did not significantly affect the PK of the drug.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RT-101 Phase 1 study</w:t>
      </w:r>
    </w:p>
    <w:p>
      <w:pPr>
        <w:spacing w:after="0" w:line="212" w:lineRule="exact"/>
        <w:rPr>
          <w:sz w:val="20"/>
          <w:szCs w:val="20"/>
          <w:color w:val="auto"/>
        </w:rPr>
      </w:pPr>
    </w:p>
    <w:p>
      <w:pPr>
        <w:ind w:right="260" w:firstLine="1018"/>
        <w:spacing w:after="0" w:line="245" w:lineRule="auto"/>
        <w:rPr>
          <w:sz w:val="20"/>
          <w:szCs w:val="20"/>
          <w:color w:val="auto"/>
        </w:rPr>
      </w:pPr>
      <w:r>
        <w:rPr>
          <w:rFonts w:ascii="Times New Roman" w:cs="Times New Roman" w:eastAsia="Times New Roman" w:hAnsi="Times New Roman"/>
          <w:sz w:val="18"/>
          <w:szCs w:val="18"/>
          <w:color w:val="auto"/>
        </w:rPr>
        <w:t>We conducted a Phase 1 clinical trial with RT-101 in 62 healthy subjects to evaluate safety and tolerability as primary endpoints and bioavailability as a secondary endpoint. Bioavailability of octreotide delivered via RT-101 was 65% relative to an intravenous control group. We believe this is the first demonstration of such high bioavailability of an oral biologic in humans. To date, the best published bioavailability for oral octreotide is approximately 1%. The results of the RT-101 Phase 1 clinical trial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3" w:name="page14"/>
    <w:bookmarkEnd w:id="13"/>
    <w:p>
      <w:pPr>
        <w:ind w:right="460"/>
        <w:spacing w:after="0" w:line="266" w:lineRule="auto"/>
        <w:rPr>
          <w:sz w:val="20"/>
          <w:szCs w:val="20"/>
          <w:color w:val="auto"/>
        </w:rPr>
      </w:pPr>
      <w:r>
        <w:rPr>
          <w:rFonts w:ascii="Times New Roman" w:cs="Times New Roman" w:eastAsia="Times New Roman" w:hAnsi="Times New Roman"/>
          <w:sz w:val="18"/>
          <w:szCs w:val="18"/>
          <w:color w:val="auto"/>
        </w:rPr>
        <w:t>the utility of the RaniPill capsule to deliver octreotide orally, and at levels of octreotide comparable to subcutaneous injection. In addition, the results indicate that the RaniPill capsule may be used for other biologics.</w:t>
      </w:r>
    </w:p>
    <w:p>
      <w:pPr>
        <w:spacing w:after="0" w:line="162"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A similar study conducted in awake canines shows that the data from the canine model were consistent with the PK data obtained in humans, indicating that the canine is an appropriate model for octreotide.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clinical trials</w:t>
      </w:r>
    </w:p>
    <w:p>
      <w:pPr>
        <w:spacing w:after="0" w:line="212" w:lineRule="exact"/>
        <w:rPr>
          <w:sz w:val="20"/>
          <w:szCs w:val="20"/>
          <w:color w:val="auto"/>
        </w:rPr>
      </w:pPr>
    </w:p>
    <w:p>
      <w:pPr>
        <w:jc w:val="both"/>
        <w:ind w:right="100" w:firstLine="1018"/>
        <w:spacing w:after="0" w:line="250" w:lineRule="auto"/>
        <w:rPr>
          <w:sz w:val="20"/>
          <w:szCs w:val="20"/>
          <w:color w:val="auto"/>
        </w:rPr>
      </w:pPr>
      <w:r>
        <w:rPr>
          <w:rFonts w:ascii="Times New Roman" w:cs="Times New Roman" w:eastAsia="Times New Roman" w:hAnsi="Times New Roman"/>
          <w:sz w:val="18"/>
          <w:szCs w:val="18"/>
          <w:color w:val="auto"/>
        </w:rPr>
        <w:t>We are currently optimizing the formulation for RT-101, to potentially enable once daily dosing. Once optimized, we will test and verify the formulation in appropriate animal models. Once the formulation is validated in preclinical studies, we plan to initiate clinical trials for the development of RT-101.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RT-102: Parathyroid hormone (PTH) for the treatment of osteoporosis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currently approved products</w:t>
      </w:r>
    </w:p>
    <w:p>
      <w:pPr>
        <w:spacing w:after="0" w:line="214"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with age.</w:t>
      </w:r>
    </w:p>
    <w:p>
      <w:pPr>
        <w:spacing w:after="0" w:line="177" w:lineRule="exact"/>
        <w:rPr>
          <w:sz w:val="20"/>
          <w:szCs w:val="20"/>
          <w:color w:val="auto"/>
        </w:rPr>
      </w:pPr>
    </w:p>
    <w:p>
      <w:pPr>
        <w:ind w:right="100" w:firstLine="1018"/>
        <w:spacing w:after="0" w:line="242" w:lineRule="auto"/>
        <w:rPr>
          <w:sz w:val="20"/>
          <w:szCs w:val="20"/>
          <w:color w:val="auto"/>
        </w:rPr>
      </w:pPr>
      <w:r>
        <w:rPr>
          <w:rFonts w:ascii="Times New Roman" w:cs="Times New Roman" w:eastAsia="Times New Roman" w:hAnsi="Times New Roman"/>
          <w:sz w:val="18"/>
          <w:szCs w:val="18"/>
          <w:color w:val="auto"/>
        </w:rPr>
        <w:t>PTH is an effective bone-building treatment for osteoporosis. PTH is a hormone secreted by the parathyroid glands that regulates serum calcium concentration and promotes bone growth. PTH therapies are delivered by daily subcutaneous injections for up to 2 years. Approximately 10 million Americans suffer from osteoporosis; however, we estimate that only a small fraction of this population is being treated with a form of PTH. While there may be other reasons for this, we believe that patient aversion to daily injections may be a major factor. As a result, non-bone-building and less effective antiresorptive drugs are used as first line therapies because they are available in oral form.</w:t>
      </w:r>
    </w:p>
    <w:p>
      <w:pPr>
        <w:spacing w:after="0" w:line="185"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Teriparatide, a synthetic form of the natural human parathyroid hormone hPTH(1-34), is a PTH analog administered as a once-daily injection to treat osteoporosis, first developed by Eli Lilly and Company and sold under the brand name Forteo. Another PTH analog injectable is Tymlos by Radius Health, Inc., approved in 2017. A teriparatide biosimilar injectable by Pfenex, Inc. was approved in 2019. Annual sales revenue of PTH analogs and biosimilars globally in 2019 was approximately $2.0 billion.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RT-102</w:t>
      </w:r>
    </w:p>
    <w:p>
      <w:pPr>
        <w:spacing w:after="0" w:line="214" w:lineRule="exact"/>
        <w:rPr>
          <w:sz w:val="20"/>
          <w:szCs w:val="20"/>
          <w:color w:val="auto"/>
        </w:rPr>
      </w:pPr>
    </w:p>
    <w:p>
      <w:pPr>
        <w:ind w:right="140" w:firstLine="1018"/>
        <w:spacing w:after="0" w:line="250" w:lineRule="auto"/>
        <w:rPr>
          <w:sz w:val="20"/>
          <w:szCs w:val="20"/>
          <w:color w:val="auto"/>
        </w:rPr>
      </w:pPr>
      <w:r>
        <w:rPr>
          <w:rFonts w:ascii="Times New Roman" w:cs="Times New Roman" w:eastAsia="Times New Roman" w:hAnsi="Times New Roman"/>
          <w:sz w:val="18"/>
          <w:szCs w:val="18"/>
          <w:color w:val="auto"/>
        </w:rPr>
        <w:t>We are developing RT-102, the RaniPill capsule containing our novel formulation of PTH, for oral treatment of osteoporosis. We have worldwide commercial rights to RT-102. In addition to the existing market, we believe there is an opportunity to expand the market by advancing RT-102 as a first line therapy for osteoporosis.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Dose escalation study</w:t>
      </w:r>
    </w:p>
    <w:p>
      <w:pPr>
        <w:spacing w:after="0" w:line="212"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We conducted a preclinical study with RT-102 where PK of PTH was determined in awake beagles at varying dosage levels of teriparatide formulation. Reference PK curves were also generated using Forteo administered at the approved dose and route of delivery of 20 µg subcutaneous liquid injection. Results of this study in terms of concentration-time profiles of hPTH(1-34) are provided in the following graph.</w:t>
      </w:r>
    </w:p>
    <w:p>
      <w:pPr>
        <w:spacing w:after="0" w:line="177" w:lineRule="exact"/>
        <w:rPr>
          <w:sz w:val="20"/>
          <w:szCs w:val="20"/>
          <w:color w:val="auto"/>
        </w:rPr>
      </w:pPr>
    </w:p>
    <w:p>
      <w:pPr>
        <w:jc w:val="both"/>
        <w:ind w:right="80" w:firstLine="1018"/>
        <w:spacing w:after="0" w:line="250" w:lineRule="auto"/>
        <w:rPr>
          <w:sz w:val="20"/>
          <w:szCs w:val="20"/>
          <w:color w:val="auto"/>
        </w:rPr>
      </w:pPr>
      <w:r>
        <w:rPr>
          <w:rFonts w:ascii="Times New Roman" w:cs="Times New Roman" w:eastAsia="Times New Roman" w:hAnsi="Times New Roman"/>
          <w:sz w:val="18"/>
          <w:szCs w:val="18"/>
          <w:color w:val="auto"/>
        </w:rPr>
        <w:t>RT-102 yielded steep increases in concentration of PTH followed by a rapid decline to baseline levels, similar to the subcutaneous controls. Such a profile is desirable to produce an osteoanabolic effect. The overall duration of drug exposures remained short with drug concentrations returning to baseline levels within three hours. RT-102 was well tolerated by all animals with no significant adverse events noted at any of the doses tested.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Seven-day repeat dose GLP study with RT-102</w:t>
      </w:r>
    </w:p>
    <w:p>
      <w:pPr>
        <w:spacing w:after="0" w:line="212" w:lineRule="exact"/>
        <w:rPr>
          <w:sz w:val="20"/>
          <w:szCs w:val="20"/>
          <w:color w:val="auto"/>
        </w:rPr>
      </w:pPr>
    </w:p>
    <w:p>
      <w:pPr>
        <w:ind w:right="160" w:firstLine="1018"/>
        <w:spacing w:after="0" w:line="242" w:lineRule="auto"/>
        <w:rPr>
          <w:sz w:val="20"/>
          <w:szCs w:val="20"/>
          <w:color w:val="auto"/>
        </w:rPr>
      </w:pPr>
      <w:r>
        <w:rPr>
          <w:rFonts w:ascii="Times New Roman" w:cs="Times New Roman" w:eastAsia="Times New Roman" w:hAnsi="Times New Roman"/>
          <w:sz w:val="18"/>
          <w:szCs w:val="18"/>
          <w:color w:val="auto"/>
        </w:rPr>
        <w:t>Tolerability and reliability of RT-102 was assessed in a multi-day administration study in canines, under GLP guidelines. RT-102 was administered daily to eight test animals, and another four control animals received an enteric coated capsule containing nonpareil sugar followed by a seven-day washout period. Blood samples were collected after each RT-102 dose was administered to determine payload delivery by measuring plasma concentrations of the drug. The RaniPill capsule was well-tolerated by all animals in the study. Plasma samples analyzed from test group animals showed that 61% of the administered devices successfully delivered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4" w:name="page15"/>
    <w:bookmarkEnd w:id="14"/>
    <w:p>
      <w:pPr>
        <w:ind w:right="60"/>
        <w:spacing w:after="0" w:line="266" w:lineRule="auto"/>
        <w:rPr>
          <w:sz w:val="20"/>
          <w:szCs w:val="20"/>
          <w:color w:val="auto"/>
        </w:rPr>
      </w:pPr>
      <w:r>
        <w:rPr>
          <w:rFonts w:ascii="Times New Roman" w:cs="Times New Roman" w:eastAsia="Times New Roman" w:hAnsi="Times New Roman"/>
          <w:sz w:val="18"/>
          <w:szCs w:val="18"/>
          <w:color w:val="auto"/>
        </w:rPr>
        <w:t>drug. There were no clinical adverse effects observed in either group throughout the study duration. The GI tract was critically evaluated in all animals and no significant macroscopic abnormalities were observed in any animal.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14"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In March 2022, we initiated a Phase 1 clinical trial of RT-102 in Australia. The single-center, open label, Phase 1 study will evaluate the pharmacokinetics, safety, and tolerability of parathyroid hormone administered via the RaniPill capsule in healthy adult women volunteers. RT-102 will be ingested orally, administering a single dose of parathyroid hormone. Doses given will range from 20 to 80 μg.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RT-105: Anti-TNF-alpha antibody for the treatment of psoriatic arthritis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currently approved products</w:t>
      </w:r>
    </w:p>
    <w:p>
      <w:pPr>
        <w:spacing w:after="0" w:line="214"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$20.7 billion in 2021. Adalimumab is approved by the FDA and EMA to treat a range of autoimmune conditions, including psoriasis, rheumatoid arthritis, and Crohn’s disease. In the U.S. alone, there are an estimated 1.5 million patients with rheumatoid arthritis, 7 million with psoriasis, and 3 million with Crohn’s disease or ulcerative colitis. Currently, six Humira biosimilars have been approved by the FDA, but will not enter the U.S. market until 2023, per licensing agreements with the originator.</w:t>
      </w:r>
    </w:p>
    <w:p>
      <w:pPr>
        <w:spacing w:after="0" w:line="184" w:lineRule="exact"/>
        <w:rPr>
          <w:sz w:val="20"/>
          <w:szCs w:val="20"/>
          <w:color w:val="auto"/>
        </w:rPr>
      </w:pPr>
    </w:p>
    <w:p>
      <w:pPr>
        <w:ind w:right="540" w:firstLine="1018"/>
        <w:spacing w:after="0" w:line="266" w:lineRule="auto"/>
        <w:rPr>
          <w:sz w:val="20"/>
          <w:szCs w:val="20"/>
          <w:color w:val="auto"/>
        </w:rPr>
      </w:pPr>
      <w:r>
        <w:rPr>
          <w:rFonts w:ascii="Times New Roman" w:cs="Times New Roman" w:eastAsia="Times New Roman" w:hAnsi="Times New Roman"/>
          <w:sz w:val="18"/>
          <w:szCs w:val="18"/>
          <w:color w:val="auto"/>
        </w:rPr>
        <w:t>Patients who use adalimumab administer the drug through a painful subcutaneous injection once every two weeks. Despite the painful injections required to administer it, adalimumab was the best-selling drug globally in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RT-105</w:t>
      </w:r>
    </w:p>
    <w:p>
      <w:pPr>
        <w:spacing w:after="0" w:line="214"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We are developing RT-105, the RaniPill capsule containing our novel formulation of adalimumab, for oral treatment of a host of inflammatory conditions, beginning with treatment of psoriatic arthritis and later expanding to other indications for which TNF-alpha inhibitors are approved. We have worldwide commercial rights to RT-105. We believe that the development of an orally administered anti-TNF-alpha antibody represents a significant market opportunity.</w:t>
      </w:r>
    </w:p>
    <w:p>
      <w:pPr>
        <w:spacing w:after="0" w:line="181" w:lineRule="exact"/>
        <w:rPr>
          <w:sz w:val="20"/>
          <w:szCs w:val="20"/>
          <w:color w:val="auto"/>
        </w:rPr>
      </w:pPr>
    </w:p>
    <w:p>
      <w:pPr>
        <w:ind w:right="340" w:firstLine="1018"/>
        <w:spacing w:after="0" w:line="245" w:lineRule="auto"/>
        <w:rPr>
          <w:sz w:val="20"/>
          <w:szCs w:val="20"/>
          <w:color w:val="auto"/>
        </w:rPr>
      </w:pPr>
      <w:r>
        <w:rPr>
          <w:rFonts w:ascii="Times New Roman" w:cs="Times New Roman" w:eastAsia="Times New Roman" w:hAnsi="Times New Roman"/>
          <w:sz w:val="18"/>
          <w:szCs w:val="18"/>
          <w:color w:val="auto"/>
        </w:rPr>
        <w:t>Our preclinical studies and clinical trials with adalimumab have demonstrated the successful delivery of a large antibody via the RaniPill platform. Moreover, our studies indicate that serum concentrations comparable to the approved subcutaneous dosing method can achieved for antibody therapies using the RaniPill platform, providing compelling evidence that the RaniPill capsule could be a viable alternative to painful subcutaneous antibody injection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4"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We evaluated the performance of RT-105 containing an adalimumab biosimilar in awake canines and compared it to the performance of the adalimumab biosimilar given by way of subcutaneous and intravenous injection. The PK profile for RT-105 was comparable to the profile for subcutaneous administration, and mean bioavailability for RT-105 was 49%, compared to 46% with subcutaneous injection.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Endoscopic administration of adalimumab into the jejunum of healthy human volunteers</w:t>
      </w:r>
    </w:p>
    <w:p>
      <w:pPr>
        <w:spacing w:after="0" w:line="212"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To assess whether the observations from preclinical studies regarding absorption of adalimumab through the intestinal wall translate to clinical trials, we conducted an endoscopic study in humans. The study involved 10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a 14-day study period.</w:t>
      </w:r>
    </w:p>
    <w:p>
      <w:pPr>
        <w:spacing w:after="0" w:line="181"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PK profiles were similar with no notable differences observed in either area under curve (“AUC”) or Cmax. The mean AUC was 62.7 ± 11.4 µg/ml*day*kg/mg for the subcutaneous group and 45.0 ± 29.0 µg/ml*day*kg/mg for the intrajejunal group. No serious adverse events were noted in this study, and adverse events of headache and flu-like symptoms after intrajejunal administration resolved within 48 hours. The results are consistent with data obtained in preclinical studies, confirming intrajejunal delivery as a viable route of delivery for adalimumab.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Phase 1</w:t>
      </w:r>
    </w:p>
    <w:p>
      <w:pPr>
        <w:spacing w:after="0" w:line="2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plan to initiate a Phase 1 clinical trial of RT-105 in healthy volunteers in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RT-109: Human growth hormone (hGH) for the treatment of growth hormone deficiency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currently approved products</w:t>
      </w:r>
    </w:p>
    <w:p>
      <w:pPr>
        <w:spacing w:after="0" w:line="214"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Juvenile growth disorders and adult growth hormone deficiency affect between 30,000 and 80,000 people in the U.S. Growth hormone is a peptide that is secreted by the pituitary gland and promotes cell growth, proliferation, and regeneration. This anabolic hormone also stimulates insulin-like growth factor 1 which has growth enhancing effects on a broad set of tissues.</w:t>
      </w:r>
    </w:p>
    <w:p>
      <w:pPr>
        <w:spacing w:after="0" w:line="177" w:lineRule="exact"/>
        <w:rPr>
          <w:sz w:val="20"/>
          <w:szCs w:val="20"/>
          <w:color w:val="auto"/>
        </w:rPr>
      </w:pPr>
    </w:p>
    <w:p>
      <w:pPr>
        <w:ind w:right="100" w:firstLine="1018"/>
        <w:spacing w:after="0" w:line="242" w:lineRule="auto"/>
        <w:rPr>
          <w:sz w:val="20"/>
          <w:szCs w:val="20"/>
          <w:color w:val="auto"/>
        </w:rPr>
      </w:pPr>
      <w:r>
        <w:rPr>
          <w:rFonts w:ascii="Times New Roman" w:cs="Times New Roman" w:eastAsia="Times New Roman" w:hAnsi="Times New Roman"/>
          <w:sz w:val="18"/>
          <w:szCs w:val="18"/>
          <w:color w:val="auto"/>
        </w:rPr>
        <w:t>HGH is approved by the FDA for the treatment of growth hormone deficiency. A recombinant form of hGH is used to treat juvenile growth disorders and adult growth hormone deficiency. Treatment involves painful daily subcutaneous hGH injections often over multiple years. Genentech, Inc., now part of Roche Holding AG, pioneered the use of recombinant hGH, receiving FDA approval for its commercial sale in 1985. HGH is currently available from a number of sources and is sold by Eli Lilly and Company under the brand name Humatrope and by Genentech, Inc. under the brand name Nutropin. Worldwide sales of hGH were approximately $3.9 billion in 2020 and are projected to reach $9.2 billion by 2030.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RT-109</w:t>
      </w:r>
    </w:p>
    <w:p>
      <w:pPr>
        <w:spacing w:after="0" w:line="214"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We are developing RT-109, the RaniPill capsule containing our novel formulation of hGH, for oral treatment of growth hormone deficiency. We have worldwide commercial rights to RT-109. We have entered into an Evaluation and First Right of Refusal Agreement with Changchun High &amp; New Technology Industries (“CCHN”), which includes limited rights to negotiate commercialization rights for RT-109 in China. Because patients typically need daily injections of hGH over several years, we believe that a once-daily oral version would transform treatment regimens for both pediatric and adult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are conducting preclinical PK studies with RT-109.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plan to initiate a Phase 1 clinical trial in healthy volunteers in the second half of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RT-110: PTH for the treatment of hypoparathyroidism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currently approved products</w:t>
      </w:r>
    </w:p>
    <w:p>
      <w:pPr>
        <w:spacing w:after="0" w:line="214"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Hypoparathyroidism is a rare condition of low levels of serum PTH resulting in low calcium levels in the blood. The prevalence of hypoparathyroidism in the United States is approximately 115,000 people. PTH is currently approved for the treatment of hypoparathyroidism by the FDA and EMA. PTH treatment requires lifelong daily injections but has suboptimal efficacy. Treatment of hypoparathyroidism is most effective with consistent and sustained plasma levels of PTH.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RT-110</w:t>
      </w:r>
    </w:p>
    <w:p>
      <w:pPr>
        <w:spacing w:after="0" w:line="214"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We are developing RT-110, the RaniPill capsule containing our second novel formulation of PTH, for oral treatment of hypoparathyroidism. We have worldwide commercial rights to RT-110. We believe that there is an unmet need for a delivery method more convenient than injection, and we further believe that the RaniPill capsule will provide for a treatment regimen that can better maintain consistent and sustained plasma levels of PTH than the current treatment regimen of daily PTH injections.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4" w:lineRule="exact"/>
        <w:rPr>
          <w:sz w:val="20"/>
          <w:szCs w:val="20"/>
          <w:color w:val="auto"/>
        </w:rPr>
      </w:pPr>
    </w:p>
    <w:p>
      <w:pPr>
        <w:ind w:firstLine="1018"/>
        <w:spacing w:after="0" w:line="296" w:lineRule="auto"/>
        <w:rPr>
          <w:sz w:val="20"/>
          <w:szCs w:val="20"/>
          <w:color w:val="auto"/>
        </w:rPr>
      </w:pPr>
      <w:r>
        <w:rPr>
          <w:rFonts w:ascii="Times New Roman" w:cs="Times New Roman" w:eastAsia="Times New Roman" w:hAnsi="Times New Roman"/>
          <w:sz w:val="17"/>
          <w:szCs w:val="17"/>
          <w:color w:val="auto"/>
        </w:rPr>
        <w:t>We are creating a sustained release formulation of RT-110 which will provide for continuous exposures of the hormone required to normalize the calcium imbalance in hypoparathyroidism patients. We plan to conduct preclinical PK studies of RT-110 prior to initiating human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plan to initiate a Phase 1 clinical trial in healthy volunteers in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Opportunities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envision complementing our core programs with robust partnering activities to maximize the value inherent in the RaniPill capsule.</w:t>
      </w:r>
    </w:p>
    <w:p>
      <w:pPr>
        <w:spacing w:after="0" w:line="212" w:lineRule="exact"/>
        <w:rPr>
          <w:sz w:val="20"/>
          <w:szCs w:val="20"/>
          <w:color w:val="auto"/>
        </w:rPr>
      </w:pPr>
    </w:p>
    <w:p>
      <w:pPr>
        <w:ind w:right="40" w:firstLine="1018"/>
        <w:spacing w:after="0"/>
        <w:rPr>
          <w:sz w:val="20"/>
          <w:szCs w:val="20"/>
          <w:color w:val="auto"/>
        </w:rPr>
      </w:pPr>
      <w:r>
        <w:rPr>
          <w:rFonts w:ascii="Times New Roman" w:cs="Times New Roman" w:eastAsia="Times New Roman" w:hAnsi="Times New Roman"/>
          <w:sz w:val="18"/>
          <w:szCs w:val="18"/>
          <w:color w:val="auto"/>
        </w:rPr>
        <w:t>One market segment for which we believe that the RaniPill capsule can add significant value is the treatment of diabetes. The CDC estimates that approximately 10% of the U.S. population have diabetes. Of these, 90% to 95% suffer from Type 2 diabetes, which is characterized by progressive hyperinsulinemia (pre-diabetes or insulin resistance) followed by hyperglycemia as a result of the body’s inability to properly respond to insulin and, eventually, produce sufficient insulin. Diabetes has no known cure and can give rise to a host of serious and often life-threatening complications, including cardiovascular disease, neuropathy, retinopathy, cognitive impairment, and stroke. This results in estimated economic costs totaling over $300.0 billion in the United States annually. Further, according to the CDC, about a third of Americans are pre-diabetic, a health condition in which blood glucose levels are higher than normal for long periods as a result of progressing insulin resistance.</w:t>
      </w:r>
    </w:p>
    <w:p>
      <w:pPr>
        <w:spacing w:after="0" w:line="185" w:lineRule="exact"/>
        <w:rPr>
          <w:sz w:val="20"/>
          <w:szCs w:val="20"/>
          <w:color w:val="auto"/>
        </w:rPr>
      </w:pPr>
    </w:p>
    <w:p>
      <w:pPr>
        <w:jc w:val="both"/>
        <w:ind w:right="560" w:firstLine="1018"/>
        <w:spacing w:after="0" w:line="250" w:lineRule="auto"/>
        <w:rPr>
          <w:sz w:val="20"/>
          <w:szCs w:val="20"/>
          <w:color w:val="auto"/>
        </w:rPr>
      </w:pPr>
      <w:r>
        <w:rPr>
          <w:rFonts w:ascii="Times New Roman" w:cs="Times New Roman" w:eastAsia="Times New Roman" w:hAnsi="Times New Roman"/>
          <w:sz w:val="18"/>
          <w:szCs w:val="18"/>
          <w:color w:val="auto"/>
        </w:rPr>
        <w:t>In addition to the potential of the RaniPill capsule to replace treatment by injections, we believe that an oral treatment option could be adopted earlier in the treatment of diabetes or adopted to treat pre-diabetic patients, which could result in improved outcomes in the pre-diabetic and diabetic patient populations.</w:t>
      </w:r>
    </w:p>
    <w:p>
      <w:pPr>
        <w:spacing w:after="0" w:line="177" w:lineRule="exact"/>
        <w:rPr>
          <w:sz w:val="20"/>
          <w:szCs w:val="20"/>
          <w:color w:val="auto"/>
        </w:rPr>
      </w:pPr>
    </w:p>
    <w:p>
      <w:pPr>
        <w:ind w:right="900" w:firstLine="1018"/>
        <w:spacing w:after="0" w:line="266" w:lineRule="auto"/>
        <w:rPr>
          <w:sz w:val="20"/>
          <w:szCs w:val="20"/>
          <w:color w:val="auto"/>
        </w:rPr>
      </w:pPr>
      <w:r>
        <w:rPr>
          <w:rFonts w:ascii="Times New Roman" w:cs="Times New Roman" w:eastAsia="Times New Roman" w:hAnsi="Times New Roman"/>
          <w:sz w:val="18"/>
          <w:szCs w:val="18"/>
          <w:color w:val="auto"/>
        </w:rPr>
        <w:t>Due to the size, cost, and complexity of clinical trials required to address the diabetes market, our strategy is to partner with large pharmaceutical companies to create oral versions of injected diabetes drugs, such as GLP-1 mimetics and basal insulin.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RT-104: GLP-1 mimetic for the treatment of Type 2 diabetes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currently approved products</w:t>
      </w:r>
    </w:p>
    <w:p>
      <w:pPr>
        <w:spacing w:after="0" w:line="214" w:lineRule="exact"/>
        <w:rPr>
          <w:sz w:val="20"/>
          <w:szCs w:val="20"/>
          <w:color w:val="auto"/>
        </w:rPr>
      </w:pPr>
    </w:p>
    <w:p>
      <w:pPr>
        <w:ind w:right="800" w:firstLine="1018"/>
        <w:spacing w:after="0" w:line="266" w:lineRule="auto"/>
        <w:rPr>
          <w:sz w:val="20"/>
          <w:szCs w:val="20"/>
          <w:color w:val="auto"/>
        </w:rPr>
      </w:pPr>
      <w:r>
        <w:rPr>
          <w:rFonts w:ascii="Times New Roman" w:cs="Times New Roman" w:eastAsia="Times New Roman" w:hAnsi="Times New Roman"/>
          <w:sz w:val="18"/>
          <w:szCs w:val="18"/>
          <w:color w:val="auto"/>
        </w:rPr>
        <w:t>GLP-1 mimetics are used to treat Type 2 diabetes by increasing insulin secretion and suppressing glucagon secretion. Several large pharmaceutical companies market GLP-1 mimetics, and the global combined sales of these were estimated to be $12.7 billion in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RT-104</w:t>
      </w:r>
    </w:p>
    <w:p>
      <w:pPr>
        <w:spacing w:after="0" w:line="214"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We are developing RT-104, the RaniPill capsule containing our novel formulation of a GLP-1 mimetic, for oral treatment of Type 2 diabetes. Based on a survey we commissioned, we found that 89% of endocrinologists prescribing GLP-1 mimetics were likely to switch their prescription to a once-daily pill if available, and we believe that RT-104 would be more appealing to patients than the presently available injectable form. We have worldwide commercial rights to RT-104.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study with Byetta</w:t>
      </w:r>
    </w:p>
    <w:p>
      <w:pPr>
        <w:spacing w:after="0" w:line="21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We conducted a proof-of-concept study in humans with Byetta, a branded form of the GLP-1 mimetic exenatide. Five healthy subjects were dosed with Byetta via an intrajejunal injection to mimic the RT-104 route of administration and then, after a washout period, the subjects were dosed with a subcutaneous injection of Byetta. PK profiles of exenatide were similar between subcutaneous injection and intrajejunal injection. The AUC for intrajejunal injection was 27 ± 3 ng/ml*min and for subcutaneous injection was 23 ± 2 ng/ml*min. These data provide evidence that delivery of exenatide via the intrajejunal route of the RaniPill capsule will yield bioavailability similar to subcutaneous injections.</w:t>
      </w:r>
    </w:p>
    <w:p>
      <w:pPr>
        <w:spacing w:after="0" w:line="185" w:lineRule="exact"/>
        <w:rPr>
          <w:sz w:val="20"/>
          <w:szCs w:val="20"/>
          <w:color w:val="auto"/>
        </w:rPr>
      </w:pPr>
    </w:p>
    <w:p>
      <w:pPr>
        <w:ind w:right="1020" w:firstLine="1018"/>
        <w:spacing w:after="0" w:line="266" w:lineRule="auto"/>
        <w:rPr>
          <w:sz w:val="20"/>
          <w:szCs w:val="20"/>
          <w:color w:val="auto"/>
        </w:rPr>
      </w:pPr>
      <w:r>
        <w:rPr>
          <w:rFonts w:ascii="Times New Roman" w:cs="Times New Roman" w:eastAsia="Times New Roman" w:hAnsi="Times New Roman"/>
          <w:sz w:val="18"/>
          <w:szCs w:val="18"/>
          <w:color w:val="auto"/>
        </w:rPr>
        <w:t>While we continue to optimize our formulation to increase drug half-life, we plan to pursue partnership opportunities with large pharmaceutical companies to further develop and commercialize RT-104.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RT-106: Basal insulin for the treatment of Type 2 diabetes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overview and currently approved products</w:t>
      </w:r>
    </w:p>
    <w:p>
      <w:pPr>
        <w:spacing w:after="0" w:line="214" w:lineRule="exact"/>
        <w:rPr>
          <w:sz w:val="20"/>
          <w:szCs w:val="20"/>
          <w:color w:val="auto"/>
        </w:rPr>
      </w:pPr>
    </w:p>
    <w:p>
      <w:pPr>
        <w:ind w:right="100" w:firstLine="1018"/>
        <w:spacing w:after="0" w:line="242" w:lineRule="auto"/>
        <w:rPr>
          <w:sz w:val="20"/>
          <w:szCs w:val="20"/>
          <w:color w:val="auto"/>
        </w:rPr>
      </w:pPr>
      <w:r>
        <w:rPr>
          <w:rFonts w:ascii="Times New Roman" w:cs="Times New Roman" w:eastAsia="Times New Roman" w:hAnsi="Times New Roman"/>
          <w:sz w:val="18"/>
          <w:szCs w:val="18"/>
          <w:color w:val="auto"/>
        </w:rPr>
        <w:t>In addition to oral anti-diabetic drugs and lifestyle changes, patients with advanced Type 2 diabetes manage their blood sugar by administering painful daily injections including one or both types of: (1) a single injection of a longer-acting insulin called basal insulin, which provides a steady baseline of insulin to offset insulin resistance and reduce hyperinsulinemia; and (2) a rapid-acting insulin called mealtime insulin, which is added in the later stages of the disease and injected several times daily approximately 20 to 30 minutes before the ingestion of a meal. Worldwide sales of basal insulin totaled an estimated $11.0 billion in 2019. Several long-acting insulin biosimilars are available in the market today.</w:t>
      </w:r>
    </w:p>
    <w:p>
      <w:pPr>
        <w:spacing w:after="0" w:line="185"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We expect that the market for basal insulin would further expand in the currently unserved ‘pre-diabetic’ market segment if an oral version of basal insulin were available. Clinical research has indicated that early intervention with daily injections of basal insulin could prevent or slow down disease progression in pre-diabetic patients, as steady-state, low levels of insulin would reduce the hyperinsulinemia caused by insulin resistance. Despite this knowledge, pre-diabetic patients currently are not prescribed basal insulin or indeed any injectable as a first-line therapy, and instead are advised lifestyle changes and are prescribed only oral anti-diabetic drugs to manage the disease. However, in market research studies we commissioned, we found that approximately 81% of surveyed endocrinologists would initiate basal insulin therapy for diabetic patients earlier if an oral option were available and 87% of patients using insulin were likely to switch to a once-daily pill if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solution: RT-106</w:t>
      </w:r>
    </w:p>
    <w:p>
      <w:pPr>
        <w:spacing w:after="0" w:line="214" w:lineRule="exact"/>
        <w:rPr>
          <w:sz w:val="20"/>
          <w:szCs w:val="20"/>
          <w:color w:val="auto"/>
        </w:rPr>
      </w:pPr>
    </w:p>
    <w:p>
      <w:pPr>
        <w:ind w:right="140" w:firstLine="1018"/>
        <w:spacing w:after="0" w:line="250" w:lineRule="auto"/>
        <w:rPr>
          <w:sz w:val="20"/>
          <w:szCs w:val="20"/>
          <w:color w:val="auto"/>
        </w:rPr>
      </w:pPr>
      <w:r>
        <w:rPr>
          <w:rFonts w:ascii="Times New Roman" w:cs="Times New Roman" w:eastAsia="Times New Roman" w:hAnsi="Times New Roman"/>
          <w:sz w:val="18"/>
          <w:szCs w:val="18"/>
          <w:color w:val="auto"/>
        </w:rPr>
        <w:t>We are developing RT-106, the RaniPill capsule containing our novel formulation of basal insulin, for oral treatment of Type 2 diabetes. We have worldwide commercial rights to RT-106. We intend to pursue partnership opportunities with large pharmaceutical companies to co-develop and commercialize RT-106.</w:t>
      </w:r>
    </w:p>
    <w:p>
      <w:pPr>
        <w:spacing w:after="0" w:line="177"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We believe that RT-106 would have significant benefit to the millions of people living with Type 2 diabetes who presently inject longer-acting basal insulin daily. Additionally, our RT-106 program aims to address the unserved pre-diabetic patients who would benefit from using basal insulin. Further, because of the solid form of the drug in the RaniPill capsule, generic or rapid acting insulin can be converted to a long-acting formulation using pharmaceutical approaches, enabling additional therapeutic regimen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214" w:lineRule="exact"/>
        <w:rPr>
          <w:sz w:val="20"/>
          <w:szCs w:val="20"/>
          <w:color w:val="auto"/>
        </w:rPr>
      </w:pPr>
    </w:p>
    <w:p>
      <w:pPr>
        <w:jc w:val="both"/>
        <w:ind w:right="180" w:firstLine="1018"/>
        <w:spacing w:after="0" w:line="260" w:lineRule="auto"/>
        <w:rPr>
          <w:sz w:val="20"/>
          <w:szCs w:val="20"/>
          <w:color w:val="auto"/>
        </w:rPr>
      </w:pPr>
      <w:r>
        <w:rPr>
          <w:rFonts w:ascii="Times New Roman" w:cs="Times New Roman" w:eastAsia="Times New Roman" w:hAnsi="Times New Roman"/>
          <w:sz w:val="17"/>
          <w:szCs w:val="17"/>
          <w:color w:val="auto"/>
        </w:rPr>
        <w:t>As a proof-of-concept to demonstrate the viability of the RaniPill capsule to deliver insulin orally, we evaluated the efficacy of rapid-acting human insulin delivered via the RaniPill capsule in a preclinical study using anesthetized juvenile swine under a euglycemic glucose clamp. In this study,</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20 IU of rapid-acting human insulin was delivered via the RaniPill capsule in one group and via subcutaneous injection in another group, and the associated PK and pharmacodynamic (“PD”) profiles compared. Serum samples were taken at frequent intervals over a seven-hour period to quantify serum insulin levels with glucose infusion rates adjusted to maintain plasma glucose levels between 60 and 80 mg/dl (euglycemic glucose clamp). The changes in glucose infusion rates reflect the glucose disposing action of insulin.</w:t>
      </w:r>
    </w:p>
    <w:p>
      <w:pPr>
        <w:spacing w:after="0" w:line="185"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Results of this study demonstrate that rapid-acting insulin was successfully delivered via the RaniPill capsule, comparable to subcutaneous injection. The AUC for delivery via RaniPill capsule was 83± 18 and AUC for subcutaneous injection was 81 ± 10 pmol/L.min.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Regulatory Pathways</w:t>
      </w:r>
    </w:p>
    <w:p>
      <w:pPr>
        <w:spacing w:after="0" w:line="216" w:lineRule="exact"/>
        <w:rPr>
          <w:sz w:val="20"/>
          <w:szCs w:val="20"/>
          <w:color w:val="auto"/>
        </w:rPr>
      </w:pPr>
    </w:p>
    <w:p>
      <w:pPr>
        <w:ind w:right="80" w:firstLine="1018"/>
        <w:spacing w:after="0" w:line="242" w:lineRule="auto"/>
        <w:rPr>
          <w:sz w:val="20"/>
          <w:szCs w:val="20"/>
          <w:color w:val="auto"/>
        </w:rPr>
      </w:pPr>
      <w:r>
        <w:rPr>
          <w:rFonts w:ascii="Times New Roman" w:cs="Times New Roman" w:eastAsia="Times New Roman" w:hAnsi="Times New Roman"/>
          <w:sz w:val="18"/>
          <w:szCs w:val="18"/>
          <w:color w:val="auto"/>
        </w:rPr>
        <w:t>Test, approval, manufacture, and sale of our products are subject to federal, state, local, and foreign statutes and regulations.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We detail the U.S. regulatory pathway in this section. In the United States, the FDA regulates biologic products such as ours under the FDCA and the PHSA and their implementing regulations. Other jurisdictions will have somewhat different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centers: CDRH, CBER, CDER, OCP</w:t>
      </w:r>
    </w:p>
    <w:p>
      <w:pPr>
        <w:spacing w:after="0" w:line="216"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Each of our product candidates includes the RaniPill platform and a biologic. The RaniPill platform if marketed without a biologic would be classified by the FDA as a device regulated by the Center for Devices and Radiological Health (“CDRH”). A biologic if marketed without the RaniPill platform would be classified by the FDA as either a “biological product” regulated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 w:name="page19"/>
    <w:bookmarkEnd w:id="18"/>
    <w:p>
      <w:pPr>
        <w:ind w:right="100"/>
        <w:spacing w:after="0"/>
        <w:rPr>
          <w:sz w:val="20"/>
          <w:szCs w:val="20"/>
          <w:color w:val="auto"/>
        </w:rPr>
      </w:pPr>
      <w:r>
        <w:rPr>
          <w:rFonts w:ascii="Times New Roman" w:cs="Times New Roman" w:eastAsia="Times New Roman" w:hAnsi="Times New Roman"/>
          <w:sz w:val="18"/>
          <w:szCs w:val="18"/>
          <w:color w:val="auto"/>
        </w:rPr>
        <w:t>Center for Biologics Evaluation and Research (“CBER”) or a “drug” regulated by the Center for Drug Evaluation and Research (“CDER”). The classification as biological product or drug would depend on the FDA’s definition of “biological product” with respect to the active ingredient of a product candidate at the time a request for regulatory license or approval is submitted to the FDA to market that product candidate. The FDA currently defines a biological product as “a virus, therapeutic serum, toxin, antitoxin, vaccine, blood, blood component or derivative, allergenic product, protein, or analogous product, or arsphenamine or derivative of arsphenamine (or any other trivalent organic arsenic compound), applicable to the prevention, treatment, or cure of a disease or condition of human beings,” and defines a protein as an “alpha amino acid polymer with a specific, defined sequence that is greater than 40 amino acids in size.”</w:t>
      </w:r>
    </w:p>
    <w:p>
      <w:pPr>
        <w:spacing w:after="0" w:line="212" w:lineRule="exact"/>
        <w:rPr>
          <w:sz w:val="20"/>
          <w:szCs w:val="20"/>
          <w:color w:val="auto"/>
        </w:rPr>
      </w:pPr>
    </w:p>
    <w:p>
      <w:pPr>
        <w:ind w:right="40" w:firstLine="1018"/>
        <w:spacing w:after="0"/>
        <w:rPr>
          <w:sz w:val="20"/>
          <w:szCs w:val="20"/>
          <w:color w:val="auto"/>
        </w:rPr>
      </w:pPr>
      <w:r>
        <w:rPr>
          <w:rFonts w:ascii="Times New Roman" w:cs="Times New Roman" w:eastAsia="Times New Roman" w:hAnsi="Times New Roman"/>
          <w:sz w:val="18"/>
          <w:szCs w:val="18"/>
          <w:color w:val="auto"/>
        </w:rPr>
        <w:t>Because our product candidates each include a device and a biologic, it is expected that each of our product candidates will be classified by the FDA as a combination product. The FDA is charged with assigning a center with primary jurisdiction, or a lead center, for review of a combination product. The designation of a lead center generally eliminates the need to receive approvals from more than one center. The determination of which center will be the lead center is based on the “primary mode of action” of the combination product, although the other centers may participate in review. The FDA has also established an Office of Combination Products, (“OCP”), which serves as a focal point for combination product issues for agency reviewers and industry. OCP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5"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It is expected that most of our product candidates will include a biologic within the FDA’s definition of “biological product” and some of our product candidates may include a biologic that will be considered a “drug.” CDER is the lead center for review of therapeutic proteins at this time, thus most of our product candidates will have CDER as the lead center.</w:t>
      </w:r>
    </w:p>
    <w:p>
      <w:pPr>
        <w:spacing w:after="0" w:line="177"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For each product candidate, we will perform numerous preclinical laboratory tests and animal studies, as well as perform human clinical trials. Preclinical laboratory tests, preclinical animal studies, and/or clinical trials may be ongoing concurrently for a product candidate in focused studies to assess various properties of a formulation and/or the platform of the product candidate. Animal studies require pre-approval by an independent IRB or ethics committee. Human studies in the United States require pre-approval by the FDA. For FDA approval of a human trial, if the trial will involve a biologic alone then an IND application will be needed, and if the trial will involve the RaniPill platform alone then an IDE application will be needed. For a clinical trial in which the RaniPill platform will be used in combination with a biologic, we must submit an IDE application if the lead center is CDRH or an IND application if the lead center is CBER or CDER. IND and IDE applications are discussed in more detail below.</w:t>
      </w:r>
    </w:p>
    <w:p>
      <w:pPr>
        <w:spacing w:after="0" w:line="185"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Based on discussions with the FDA, we plan to test the RaniPill platform absent a biologic and create a Master File for the platform alone which can be referred to in subsequent FDA submissions.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Master file for the RaniPill platform</w:t>
      </w:r>
    </w:p>
    <w:p>
      <w:pPr>
        <w:spacing w:after="0" w:line="216" w:lineRule="exact"/>
        <w:rPr>
          <w:sz w:val="20"/>
          <w:szCs w:val="20"/>
          <w:color w:val="auto"/>
        </w:rPr>
      </w:pPr>
    </w:p>
    <w:p>
      <w:pPr>
        <w:ind w:right="240" w:firstLine="1018"/>
        <w:spacing w:after="0" w:line="250" w:lineRule="auto"/>
        <w:rPr>
          <w:sz w:val="20"/>
          <w:szCs w:val="20"/>
          <w:color w:val="auto"/>
        </w:rPr>
      </w:pPr>
      <w:r>
        <w:rPr>
          <w:rFonts w:ascii="Times New Roman" w:cs="Times New Roman" w:eastAsia="Times New Roman" w:hAnsi="Times New Roman"/>
          <w:sz w:val="18"/>
          <w:szCs w:val="18"/>
          <w:color w:val="auto"/>
        </w:rPr>
        <w:t>Our RaniPill platform will be used across multiple products and as such, the same device information may be applicable to and used to support multiple submissions to the FDA for our combination products. Based on discussions with the FDA and guidance we have received from CDRH and OCP, we intend to separately evaluate the safety and tolerability of the RaniPill capsule in an IDE study, absent a drug.</w:t>
      </w:r>
    </w:p>
    <w:p>
      <w:pPr>
        <w:spacing w:after="0" w:line="177"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The IDE study is expected to confirm the safety results already obtained from the various studies we have performed, including repeat-dose GLP studies in canines. The IDE study will evaluate the safety and tolerability of the RaniPill capsule in an eight-week healthy volunteer study (n=40) with daily administration of a RaniPill capsule absent a biologic. The study will also evaluate the effect of food on the delivery performance of the RaniPill capsule.</w:t>
      </w:r>
    </w:p>
    <w:p>
      <w:pPr>
        <w:spacing w:after="0" w:line="181" w:lineRule="exact"/>
        <w:rPr>
          <w:sz w:val="20"/>
          <w:szCs w:val="20"/>
          <w:color w:val="auto"/>
        </w:rPr>
      </w:pPr>
    </w:p>
    <w:p>
      <w:pPr>
        <w:jc w:val="both"/>
        <w:ind w:right="200" w:firstLine="1018"/>
        <w:spacing w:after="0" w:line="250" w:lineRule="auto"/>
        <w:rPr>
          <w:sz w:val="20"/>
          <w:szCs w:val="20"/>
          <w:color w:val="auto"/>
        </w:rPr>
      </w:pPr>
      <w:r>
        <w:rPr>
          <w:rFonts w:ascii="Times New Roman" w:cs="Times New Roman" w:eastAsia="Times New Roman" w:hAnsi="Times New Roman"/>
          <w:sz w:val="18"/>
          <w:szCs w:val="18"/>
          <w:color w:val="auto"/>
        </w:rPr>
        <w:t>After completion of the IDE study, we plan to create a Master File for the RaniPill platform with CDRH. The Master File would include at least facilities and manufacturing procedures and controls, verification and validation reports, biocompatibility test data, GLP canine study data, and IDE clinical trial data.</w:t>
      </w:r>
    </w:p>
    <w:p>
      <w:pPr>
        <w:spacing w:after="0" w:line="177" w:lineRule="exact"/>
        <w:rPr>
          <w:sz w:val="20"/>
          <w:szCs w:val="20"/>
          <w:color w:val="auto"/>
        </w:rPr>
      </w:pPr>
    </w:p>
    <w:p>
      <w:pPr>
        <w:jc w:val="both"/>
        <w:ind w:right="100" w:firstLine="1018"/>
        <w:spacing w:after="0" w:line="250" w:lineRule="auto"/>
        <w:rPr>
          <w:sz w:val="20"/>
          <w:szCs w:val="20"/>
          <w:color w:val="auto"/>
        </w:rPr>
      </w:pPr>
      <w:r>
        <w:rPr>
          <w:rFonts w:ascii="Times New Roman" w:cs="Times New Roman" w:eastAsia="Times New Roman" w:hAnsi="Times New Roman"/>
          <w:sz w:val="18"/>
          <w:szCs w:val="18"/>
          <w:color w:val="auto"/>
        </w:rPr>
        <w:t>A master file is not itself approved by the FDA, but rather is a mechanism to provide information regarding the device constituent part when the same information is applicable to multiple approval submissions. The information in the RaniPill master file would be applicable to any of our product candidates and could be referenced in our IND, IDE, BLA, or NDA submissions.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or license to market the RaniPill capsule</w:t>
      </w:r>
    </w:p>
    <w:p>
      <w:pPr>
        <w:spacing w:after="0" w:line="216"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The FDA has specified a BLA path for seeking a license to market a biological product and an NDA path for seeking approval to market a drug. It is expected that most of our product candidates will follow the BLA path while some may follow the NDA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ind w:right="120" w:firstLine="1018"/>
        <w:spacing w:after="0" w:line="241" w:lineRule="auto"/>
        <w:rPr>
          <w:sz w:val="20"/>
          <w:szCs w:val="20"/>
          <w:color w:val="auto"/>
        </w:rPr>
      </w:pPr>
      <w:r>
        <w:rPr>
          <w:rFonts w:ascii="Times New Roman" w:cs="Times New Roman" w:eastAsia="Times New Roman" w:hAnsi="Times New Roman"/>
          <w:sz w:val="18"/>
          <w:szCs w:val="18"/>
          <w:color w:val="auto"/>
        </w:rPr>
        <w:t>Our current pipeline includes well-characterized biologics that have been in clinical use for several years. We believe that we may be able to leverage the FDA’s prior conclusions of safety, purity, and potency for already-approved products in our own BLA or NDA. The degree to which we may be able to reduce the burden on our own development may depend on whether the API is the same as the original approved product. Additionally, because certain products originally approved under an NDA have been reclassified by the FDA and would now follow a BLA pathway, it is unclear whether conclusions regarding such reclassified products can be leveraged in our BLA submissions. We intend to have the scope of the leverage that will be available from already-approved biologics clarified on a product-by-product basis for each product candidate in pre-IND meetings with the FDA.</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CBER and CDER may ask for additional testing for specific biologics, disease indications, or patient populations.</w:t>
      </w:r>
    </w:p>
    <w:p>
      <w:pPr>
        <w:spacing w:after="0" w:line="2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Additional information regarding regulatory pathways is provided in the “Government Regulation” section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evaluation agreement</w:t>
      </w:r>
    </w:p>
    <w:p>
      <w:pPr>
        <w:spacing w:after="0" w:line="216"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In May 2015, we entered into an Evaluation and First Rights Agreement (the “Novartis Agreement”), with Novartis Pharmaceuticals Corporation, or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Certain data from such testing was shared with Novartis pursuant to the July 2020 amendment. Following delivery of a report by us,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six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 party’s uncured material breach.</w:t>
      </w:r>
    </w:p>
    <w:p>
      <w:pPr>
        <w:spacing w:after="0" w:line="191"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Novartis has paid us an aggregate of $7.0 million under the Novartis Agreement as of December 31, 2021 and made an equity investment of approximately $5 million in our Series C preferred unit financing. As part of the Organizational Transactions, the Series C preferred units were exchanged for 404,638 Paired Interests. We do not expect any future payments under the Novartis Agreement unless we and Novartis negotiate a new agreement constructed around a higher-capacity payload system.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 evaluation agreement</w:t>
      </w:r>
    </w:p>
    <w:p>
      <w:pPr>
        <w:spacing w:after="0" w:line="216"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In November 2017, we entered into an Evaluation and First Rights Agreement (the “Takeda Agreement”) with Shire International GmbH, which was subsequently acquired by Takeda Pharmaceutical Company Limited (“Takeda”). This agreement is now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Changchun High &amp; New Technology Industries evaluation agreement</w:t>
      </w:r>
    </w:p>
    <w:p>
      <w:pPr>
        <w:spacing w:after="0" w:line="216" w:lineRule="exact"/>
        <w:rPr>
          <w:sz w:val="20"/>
          <w:szCs w:val="20"/>
          <w:color w:val="auto"/>
        </w:rPr>
      </w:pPr>
    </w:p>
    <w:p>
      <w:pPr>
        <w:ind w:right="40" w:firstLine="1018"/>
        <w:spacing w:after="0" w:line="238" w:lineRule="auto"/>
        <w:rPr>
          <w:sz w:val="20"/>
          <w:szCs w:val="20"/>
          <w:color w:val="auto"/>
        </w:rPr>
      </w:pPr>
      <w:r>
        <w:rPr>
          <w:rFonts w:ascii="Times New Roman" w:cs="Times New Roman" w:eastAsia="Times New Roman" w:hAnsi="Times New Roman"/>
          <w:sz w:val="18"/>
          <w:szCs w:val="18"/>
          <w:color w:val="auto"/>
        </w:rPr>
        <w:t>In August 2017, we entered into an Evaluation and Right of First Refusal Agreement, or the CCHN Agreement, with CCHN in which we agreed to perform and share data from preclinical testing of RT-109. We will provide CCHN with reports and data resulting from our performance of our preclinical testing and CCHN will have a non-exclusive right to use this information in connection with specified activities. CCHN will own intellectual property generated under the CCHN Agreement that comprises of or relates to certain materials and assays provided by CCHN and we will own all other intellectual property generated under the CCHN Agreement. Following the completion of the evaluation program, we and CCHN will negotiate, for a period of 90 days, an agreement to provide CCHN with commercial rights for RT-109 in China. Additionally, we granted CCHN a right of first refusal with respect to commercial rights for RT-109 in China for a period of two years following the completion of our preclinical testing, pursuant to which CCHN will have a period of 90 days following our receipt of a third-party proposal for commercial rights for RT-109 in China to make a competing offer for such rights. The CCHN Agreement will expire upon the expiration of CCHN’s right of first refusal, or up to 90 days longer if CCHN makes a bid under its right of first refusal. Prior to these periods, CCHN may terminate for convenience upon 30 days’ notice, and we and CCHN may terminate for the other party’s material uncured breach.</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are no payment obligations under the CCHN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Manufacturing and Quality Assurance</w:t>
      </w:r>
    </w:p>
    <w:p>
      <w:pPr>
        <w:spacing w:after="0" w:line="216" w:lineRule="exact"/>
        <w:rPr>
          <w:sz w:val="20"/>
          <w:szCs w:val="20"/>
          <w:color w:val="auto"/>
        </w:rPr>
      </w:pPr>
    </w:p>
    <w:p>
      <w:pPr>
        <w:ind w:right="40" w:firstLine="1018"/>
        <w:spacing w:after="0" w:line="264" w:lineRule="auto"/>
        <w:rPr>
          <w:sz w:val="20"/>
          <w:szCs w:val="20"/>
          <w:color w:val="auto"/>
        </w:rPr>
      </w:pPr>
      <w:r>
        <w:rPr>
          <w:rFonts w:ascii="Times New Roman" w:cs="Times New Roman" w:eastAsia="Times New Roman" w:hAnsi="Times New Roman"/>
          <w:sz w:val="17"/>
          <w:szCs w:val="17"/>
          <w:color w:val="auto"/>
        </w:rPr>
        <w:t>We currently manufacture and assemble RaniPill capsules at our facilities in San Jose and Milpitas,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w:t>
      </w:r>
    </w:p>
    <w:p>
      <w:pPr>
        <w:spacing w:after="0" w:line="166"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Each RaniPill capsule is assembled through a process which involves a series of integrated, well-developed, and highly reproducible steps that have been optimized to consistently produce capsules of high reliability.</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146050</wp:posOffset>
            </wp:positionV>
            <wp:extent cx="5186045" cy="720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A drug API or drug substance combined with excipients specific to the drug API or drug substance is lyophilized and compressed into a solid microtablet form. The microtablet is sealed inside the microneedle and is then packaged in a tiny vial under aseptic conditions. The vial containing the microneedle is incorporated in the RaniPill capsule, which is given a protective coating. Each of these steps in the manufacturing process has been subjected to rigorous testing and process qualification procedures to ensure manufacturing consistency. We rely on non-exclusive, third-party relationships with several manufacturers for the drug API or drug substance. We maintain in-house capabilities related to the aseptic manufacturing, following FDA Current Good Manufacturing Practice regulations for drugs that contain minimum requirements for the methods, facilities, and controls used in manufacturing, processing, and packing of a drug product (“cGMP”)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218" w:lineRule="exact"/>
        <w:rPr>
          <w:sz w:val="20"/>
          <w:szCs w:val="20"/>
          <w:color w:val="auto"/>
        </w:rPr>
      </w:pPr>
    </w:p>
    <w:p>
      <w:pPr>
        <w:jc w:val="both"/>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key markets for our products, once approved, will be in the United States, Europe, and Asia.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supply infrastructure</w:t>
      </w:r>
    </w:p>
    <w:p>
      <w:pPr>
        <w:spacing w:after="0" w:line="216" w:lineRule="exact"/>
        <w:rPr>
          <w:sz w:val="20"/>
          <w:szCs w:val="20"/>
          <w:color w:val="auto"/>
        </w:rPr>
      </w:pPr>
    </w:p>
    <w:p>
      <w:pPr>
        <w:jc w:val="both"/>
        <w:ind w:right="40" w:firstLine="1018"/>
        <w:spacing w:after="0" w:line="245" w:lineRule="auto"/>
        <w:rPr>
          <w:sz w:val="20"/>
          <w:szCs w:val="20"/>
          <w:color w:val="auto"/>
        </w:rPr>
      </w:pPr>
      <w:r>
        <w:rPr>
          <w:rFonts w:ascii="Times New Roman" w:cs="Times New Roman" w:eastAsia="Times New Roman" w:hAnsi="Times New Roman"/>
          <w:sz w:val="18"/>
          <w:szCs w:val="18"/>
          <w:color w:val="auto"/>
        </w:rPr>
        <w:t>Development of our product candidates includes identifying sources that can provide consistent quality and increasing quantities of APIs, or drug substance to meet our needs through in vitro studies, preclinical studies, and clinical trials, and later into commercialization. We currently do not have agreements in place for long-term supplies of any API or drug substance. Availability of API or drug substance supply may inform our decisions regarding which product candidates present the best development opportunities.</w:t>
      </w:r>
    </w:p>
    <w:p>
      <w:pPr>
        <w:spacing w:after="0" w:line="208"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Currently we do not have any approved products. We intend to either develop the commercialization sales and supply infrastructure as our product candidates are approved, or partner with pharma companies for commercialization.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of approved products by third-party payors</w:t>
      </w:r>
    </w:p>
    <w:p>
      <w:pPr>
        <w:spacing w:after="0" w:line="216" w:lineRule="exact"/>
        <w:rPr>
          <w:sz w:val="20"/>
          <w:szCs w:val="20"/>
          <w:color w:val="auto"/>
        </w:rPr>
      </w:pPr>
    </w:p>
    <w:p>
      <w:pPr>
        <w:ind w:right="80" w:firstLine="1018"/>
        <w:spacing w:after="0" w:line="242" w:lineRule="auto"/>
        <w:rPr>
          <w:sz w:val="20"/>
          <w:szCs w:val="20"/>
          <w:color w:val="auto"/>
        </w:rPr>
      </w:pPr>
      <w:r>
        <w:rPr>
          <w:rFonts w:ascii="Times New Roman" w:cs="Times New Roman" w:eastAsia="Times New Roman" w:hAnsi="Times New Roman"/>
          <w:sz w:val="18"/>
          <w:szCs w:val="18"/>
          <w:color w:val="auto"/>
        </w:rPr>
        <w:t>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the payors. Decisions regarding whether to cover a product, the extent of coverage, and the amount of reimbursement to be provided are made separately, and these decisions are made on a plan-by-plan basis because there is no uniform policy for coverage and reimbursement. As a result, one payor’s decision to cover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particular product does not ensure that other payors will also provide coverage for the product, or that any of the reimbursement rates will be adequate.</w:t>
      </w:r>
    </w:p>
    <w:p>
      <w:pPr>
        <w:spacing w:after="0" w:line="212" w:lineRule="exact"/>
        <w:rPr>
          <w:sz w:val="20"/>
          <w:szCs w:val="20"/>
          <w:color w:val="auto"/>
        </w:rPr>
      </w:pPr>
    </w:p>
    <w:p>
      <w:pPr>
        <w:ind w:right="140" w:firstLine="1018"/>
        <w:spacing w:after="0" w:line="242" w:lineRule="auto"/>
        <w:rPr>
          <w:sz w:val="20"/>
          <w:szCs w:val="20"/>
          <w:color w:val="auto"/>
        </w:rPr>
      </w:pPr>
      <w:r>
        <w:rPr>
          <w:rFonts w:ascii="Times New Roman" w:cs="Times New Roman" w:eastAsia="Times New Roman" w:hAnsi="Times New Roman"/>
          <w:sz w:val="18"/>
          <w:szCs w:val="18"/>
          <w:color w:val="auto"/>
        </w:rPr>
        <w:t>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products to each payor separately, with no assurance that coverage and adequate reimbursement will be applied consistently or obtained in the first instance.</w:t>
      </w:r>
    </w:p>
    <w:p>
      <w:pPr>
        <w:spacing w:after="0" w:line="185"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treatment or procedure in which the product is used may not be available, which may impact physician utilization.</w:t>
      </w:r>
    </w:p>
    <w:p>
      <w:pPr>
        <w:spacing w:after="0" w:line="177" w:lineRule="exact"/>
        <w:rPr>
          <w:sz w:val="20"/>
          <w:szCs w:val="20"/>
          <w:color w:val="auto"/>
        </w:rPr>
      </w:pPr>
    </w:p>
    <w:p>
      <w:pPr>
        <w:ind w:right="120" w:firstLine="1018"/>
        <w:spacing w:after="0" w:line="264" w:lineRule="auto"/>
        <w:rPr>
          <w:sz w:val="20"/>
          <w:szCs w:val="20"/>
          <w:color w:val="auto"/>
        </w:rPr>
      </w:pPr>
      <w:r>
        <w:rPr>
          <w:rFonts w:ascii="Times New Roman" w:cs="Times New Roman" w:eastAsia="Times New Roman" w:hAnsi="Times New Roman"/>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when available. Third-party payors are increasingly challenging prices charged, examining medical necessity, and reviewing cost effectiveness in addition to questioning safety and efficacy. A decrease in, or decision to stop, payor reimbursement for a product could reduce physician prescribing of, and patient demand for, the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16"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77"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Broadly speaking, we will face competition from current and future (generic or biosimilar) manufacturers of the branded injectable versions of our pipeline drugs, manufacturers such as AbbVie Inc., Eli Lilly and Company, Novartis AG, Roche Holdings AG, etc. However, we believe that oral biologics have the potential to take significant market share from current injectable therapies. We also believe that oral biologics have the potential to expand existing markets by an early reach into new patient populations that are averse to taking injections.</w:t>
      </w:r>
    </w:p>
    <w:p>
      <w:pPr>
        <w:spacing w:after="0" w:line="181" w:lineRule="exact"/>
        <w:rPr>
          <w:sz w:val="20"/>
          <w:szCs w:val="20"/>
          <w:color w:val="auto"/>
        </w:rPr>
      </w:pPr>
    </w:p>
    <w:p>
      <w:pPr>
        <w:ind w:right="60" w:firstLine="1018"/>
        <w:spacing w:after="0"/>
        <w:rPr>
          <w:sz w:val="20"/>
          <w:szCs w:val="20"/>
          <w:color w:val="auto"/>
        </w:rPr>
      </w:pPr>
      <w:r>
        <w:rPr>
          <w:rFonts w:ascii="Times New Roman" w:cs="Times New Roman" w:eastAsia="Times New Roman" w:hAnsi="Times New Roman"/>
          <w:sz w:val="18"/>
          <w:szCs w:val="18"/>
          <w:color w:val="auto"/>
        </w:rPr>
        <w:t>We are aware of a few companies that are pursuing oral biologics through either device-based or chemistry-based technologies. Early stage device-based technologies such as the SOMA and LUMI from the Novo Nordisk-MIT collaboration were reported to be in preclinical stages several years ago. Chemistry-based oral delivery companies include Oramed Pharmaceuticals, Inc., Entera Bio Ltd., Applied Molecular Transport Inc., Protagonist Therapeutics, Inc., i2O, Therapeutics, Progenity, Inc., Intract Pharma, and two with recently approved oral peptide products – Amryt Pharma (</w:t>
      </w:r>
      <w:r>
        <w:rPr>
          <w:rFonts w:ascii="Times New Roman" w:cs="Times New Roman" w:eastAsia="Times New Roman" w:hAnsi="Times New Roman"/>
          <w:sz w:val="18"/>
          <w:szCs w:val="18"/>
          <w:i w:val="1"/>
          <w:iCs w:val="1"/>
          <w:color w:val="auto"/>
        </w:rPr>
        <w:t>Mycappssa</w:t>
      </w:r>
      <w:r>
        <w:rPr>
          <w:rFonts w:ascii="Times New Roman" w:cs="Times New Roman" w:eastAsia="Times New Roman" w:hAnsi="Times New Roman"/>
          <w:sz w:val="18"/>
          <w:szCs w:val="18"/>
          <w:color w:val="auto"/>
        </w:rPr>
        <w:t>) and Novo Nordisk A/S (</w:t>
      </w:r>
      <w:r>
        <w:rPr>
          <w:rFonts w:ascii="Times New Roman" w:cs="Times New Roman" w:eastAsia="Times New Roman" w:hAnsi="Times New Roman"/>
          <w:sz w:val="18"/>
          <w:szCs w:val="18"/>
          <w:i w:val="1"/>
          <w:iCs w:val="1"/>
          <w:color w:val="auto"/>
        </w:rPr>
        <w:t>Rybelsus</w:t>
      </w:r>
      <w:r>
        <w:rPr>
          <w:rFonts w:ascii="Times New Roman" w:cs="Times New Roman" w:eastAsia="Times New Roman" w:hAnsi="Times New Roman"/>
          <w:sz w:val="18"/>
          <w:szCs w:val="18"/>
          <w:color w:val="auto"/>
        </w:rPr>
        <w:t>). Chemistry-based approaches have limited applications because they work only for small peptides and, even then, with low (often less than 1%) bioavailability, far lower than injections. In contrast, our versatile technology is designed to deliver biologics, from small peptides to large proteins, irrespective of molecular mass and with bioavailability similar to that of injections.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impact</w:t>
      </w:r>
    </w:p>
    <w:p>
      <w:pPr>
        <w:spacing w:after="0" w:line="216" w:lineRule="exact"/>
        <w:rPr>
          <w:sz w:val="20"/>
          <w:szCs w:val="20"/>
          <w:color w:val="auto"/>
        </w:rPr>
      </w:pPr>
    </w:p>
    <w:p>
      <w:pPr>
        <w:ind w:right="680" w:firstLine="1018"/>
        <w:spacing w:after="0" w:line="266" w:lineRule="auto"/>
        <w:rPr>
          <w:sz w:val="20"/>
          <w:szCs w:val="20"/>
          <w:color w:val="auto"/>
        </w:rPr>
      </w:pPr>
      <w:r>
        <w:rPr>
          <w:rFonts w:ascii="Times New Roman" w:cs="Times New Roman" w:eastAsia="Times New Roman" w:hAnsi="Times New Roman"/>
          <w:sz w:val="18"/>
          <w:szCs w:val="18"/>
          <w:color w:val="auto"/>
        </w:rPr>
        <w:t>We have instituted policies and procedures related to appropriate chemical and biological material handling, use, and disposal in our facilities, and we train our employees on these policies and procedures.</w:t>
      </w:r>
    </w:p>
    <w:p>
      <w:pPr>
        <w:spacing w:after="0" w:line="162" w:lineRule="exact"/>
        <w:rPr>
          <w:sz w:val="20"/>
          <w:szCs w:val="20"/>
          <w:color w:val="auto"/>
        </w:rPr>
      </w:pPr>
    </w:p>
    <w:p>
      <w:pPr>
        <w:ind w:right="380" w:firstLine="1018"/>
        <w:spacing w:after="0" w:line="250" w:lineRule="auto"/>
        <w:rPr>
          <w:sz w:val="20"/>
          <w:szCs w:val="20"/>
          <w:color w:val="auto"/>
        </w:rPr>
      </w:pPr>
      <w:r>
        <w:rPr>
          <w:rFonts w:ascii="Times New Roman" w:cs="Times New Roman" w:eastAsia="Times New Roman" w:hAnsi="Times New Roman"/>
          <w:sz w:val="18"/>
          <w:szCs w:val="18"/>
          <w:color w:val="auto"/>
        </w:rPr>
        <w:t>Regulations in certain jurisdictions may require us to submit with our marketing approval request an environmental impact assessment related to our biologics, our RaniPill platform, or both. Such assessments could cause significant expenditures. We may be able to reduce expenditures related to these assessments by our strategy of using biologics already approved for marketing.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protection for our current and future product candidates and the technologies used to develop and manufacture them. Our development efforts have enabled us to construct an extensive intellectual property portfolio that we believe provides us a competitive advantage.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2" w:name="page23"/>
    <w:bookmarkEnd w:id="22"/>
    <w:p>
      <w:pPr>
        <w:ind w:left="1020"/>
        <w:spacing w:after="0"/>
        <w:rPr>
          <w:sz w:val="20"/>
          <w:szCs w:val="20"/>
          <w:color w:val="auto"/>
        </w:rPr>
      </w:pPr>
      <w:r>
        <w:rPr>
          <w:rFonts w:ascii="Times New Roman" w:cs="Times New Roman" w:eastAsia="Times New Roman" w:hAnsi="Times New Roman"/>
          <w:sz w:val="18"/>
          <w:szCs w:val="18"/>
          <w:color w:val="auto"/>
        </w:rPr>
        <w:t xml:space="preserve">For information regarding the risks related to our intellectual property, see the section titled </w:t>
      </w:r>
      <w:r>
        <w:rPr>
          <w:rFonts w:ascii="Times New Roman" w:cs="Times New Roman" w:eastAsia="Times New Roman" w:hAnsi="Times New Roman"/>
          <w:sz w:val="18"/>
          <w:szCs w:val="18"/>
          <w:i w:val="1"/>
          <w:iCs w:val="1"/>
          <w:color w:val="auto"/>
        </w:rPr>
        <w:t>“Risk Factors— Risks Related to Our Intellectual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16"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United States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184" w:lineRule="exact"/>
        <w:rPr>
          <w:sz w:val="20"/>
          <w:szCs w:val="20"/>
          <w:color w:val="auto"/>
        </w:rPr>
      </w:pPr>
    </w:p>
    <w:p>
      <w:pPr>
        <w:ind w:right="200" w:firstLine="1018"/>
        <w:spacing w:after="0" w:line="241" w:lineRule="auto"/>
        <w:rPr>
          <w:sz w:val="20"/>
          <w:szCs w:val="20"/>
          <w:color w:val="auto"/>
        </w:rPr>
      </w:pPr>
      <w:r>
        <w:rPr>
          <w:rFonts w:ascii="Times New Roman" w:cs="Times New Roman" w:eastAsia="Times New Roman" w:hAnsi="Times New Roman"/>
          <w:sz w:val="18"/>
          <w:szCs w:val="18"/>
          <w:color w:val="auto"/>
        </w:rPr>
        <w:t>Our initial patent family has a priority date in 2009, with patent term expected to extend into at least 2030 if all fees are paid. This patent family claims many device aspects of the RaniPill capsule, and the delivery of a wide variety of biologics using the RaniPill capsule. Patents and patent applications in this core family number more than 230. As of January 14, 2022, this patent family included 65 patents issued in the United States and 126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Hong Kong, India, and Japan.</w:t>
      </w:r>
    </w:p>
    <w:p>
      <w:pPr>
        <w:spacing w:after="0" w:line="184"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Our microtablet patent family includes claims covering the microtablets delivered by the RaniPill capsule. This patent family has a priority date in 2014, includes several dozen patents and patent applications, and is expected to have patent terms extending into at least 2035 if all fees are paid. As of January 14, 2022, this patent family included 8 patents issued in the United States, 2 patents issued in Australia, and 1 patent issued in China, with applications pending in the United States, Australia, Canada, China, Europe, India, and Japan.</w:t>
      </w:r>
    </w:p>
    <w:p>
      <w:pPr>
        <w:spacing w:after="0" w:line="181"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We own numerous additional patents and patent applications, with claims to additional biologics, pharmacologic properties of various biologics and various next generation devices, with applications pending in the United States, Australia, Brazil, Canada, China, Europe, Hong Kong, India, Japan, Mexico, and South Korea. Patents in these families are expected to expire between the late 2030s and early 2040s if all fees are paid.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other proprietary information</w:t>
      </w:r>
    </w:p>
    <w:p>
      <w:pPr>
        <w:spacing w:after="0" w:line="216" w:lineRule="exact"/>
        <w:rPr>
          <w:sz w:val="20"/>
          <w:szCs w:val="20"/>
          <w:color w:val="auto"/>
        </w:rPr>
      </w:pPr>
    </w:p>
    <w:p>
      <w:pPr>
        <w:ind w:right="120" w:firstLine="1018"/>
        <w:spacing w:after="0"/>
        <w:rPr>
          <w:sz w:val="20"/>
          <w:szCs w:val="20"/>
          <w:color w:val="auto"/>
        </w:rPr>
      </w:pPr>
      <w:r>
        <w:rPr>
          <w:rFonts w:ascii="Times New Roman" w:cs="Times New Roman" w:eastAsia="Times New Roman" w:hAnsi="Times New Roman"/>
          <w:sz w:val="18"/>
          <w:szCs w:val="18"/>
          <w:color w:val="auto"/>
        </w:rPr>
        <w:t>We rely in part on keeping our trade secrets and other proprietary information confidential. We protect proprietary information by executing confidentiality agreements and intellectual property assignment agreements with employees, and consulting or other contractual agreements with consultants, scientific advisors, sponsored researchers, contractors, and other collaborators, prior to commencement of our relationship with them.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6"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products such as those we are developing. We, along with our third-party contractors, will be required to navigate the various preclinical, clinical, and commercial approval requirements of the governing regulatory authorities of the countries in which we wish to conduct studies or seek approval or licensure of our product candidates. Failure to comply with applicable regulations at any time during the product development process or approval process or after approval may result in delays to the conduct of a study, regulatory review, or commercialization authorization, or may subject an applicant to administrative or judicial actions. In the United States, such actions could include, among other actions, refusal to allow proceeding with clinical trials, imposition of a clinical hold, refusal to approve pending applications, withdrawal of an approval, license suspension or revocation,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Good Manufacturing Practices (cGMP)</w:t>
      </w:r>
    </w:p>
    <w:p>
      <w:pPr>
        <w:spacing w:after="0" w:line="216"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To obtain marketing approval for a candidate product, we must finalize processes for manufacturing the product in commercial quantities in accordance with cGMP requirements. These processes must address design, monitoring, control, and maintenance of manufacturing processes and facilities, and the implemented processes must be capable of consistently producing quality batches of the product candidate. Our processes must, among other things, enable us to monitor several aspects of the interim and finished product, such as identity, purity, strength, quality, potency, and sterility as applicable. Additionally, stability studies must be conducted to demonstrate that the product candidate does not undergo unacceptable deterioration over its shelf life, and appropriate packaging must be selected and tested.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216"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For each product candidate, we perform numerous laboratory tests and preclinical animal studies, as well as human clinical trials. Preclinical laboratory tests, preclinical animal studies, and/or clinical trials may be ongoing concurrently for a product candidate in focused studies to assess various properties of a formulation and/or platform of the product candidate. Animal studies require pre-approval by an independent Institutional Animal Care and Use Committee (“IACUC”). Human studies in the United States require pre-approval by the FDA and an independent IRB, requested by way of an IDE or IND for investigational products such as our product candidates.</w:t>
      </w:r>
    </w:p>
    <w:p>
      <w:pPr>
        <w:spacing w:after="0" w:line="212" w:lineRule="exact"/>
        <w:rPr>
          <w:sz w:val="20"/>
          <w:szCs w:val="20"/>
          <w:color w:val="auto"/>
        </w:rPr>
      </w:pPr>
    </w:p>
    <w:p>
      <w:pPr>
        <w:ind w:right="60" w:firstLine="1018"/>
        <w:spacing w:after="0" w:line="237"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cGCP, which includes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Furthermore, an independent IRB or ethics committee for each site proposing to conduct the clinical trial must review and approve the plan for any clinical trial and its informed consent form before the clinical trial begins at that site, and an IRB or ethics committee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the trial is not being performed in accordance with the investigational plan or associated protocols,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the data safety monitoring board determines that there is an unacceptable safety risk for subjects, no demonstration of efficacy, or other grounds. There are also requirements governing the reporting of ongoing preclinical studies,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phases that may be performed sequentially, in overlapping time frames, or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192" w:lineRule="exact"/>
        <w:rPr>
          <w:sz w:val="20"/>
          <w:szCs w:val="20"/>
          <w:color w:val="auto"/>
        </w:rPr>
      </w:pPr>
    </w:p>
    <w:p>
      <w:pPr>
        <w:ind w:left="1280" w:right="40" w:hanging="367"/>
        <w:spacing w:after="0" w:line="245"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includes the initial introduction of an investigational new drug into humans. Phase 1 studies may be conducted in patients or normal volunteer subjects. These studies are designed to determine the metabolism and pharmacologic actions of the drug in humans, the side effects associated with increasing doses, and, if possible, to gain early evidence on effectiveness. The total number of subjects and patients included in Phase 1 studies varies with the drug, but is generally in the range of 20 to 80.</w:t>
      </w:r>
    </w:p>
    <w:p>
      <w:pPr>
        <w:spacing w:after="0" w:line="180" w:lineRule="exact"/>
        <w:rPr>
          <w:rFonts w:ascii="Times New Roman" w:cs="Times New Roman" w:eastAsia="Times New Roman" w:hAnsi="Times New Roman"/>
          <w:sz w:val="18"/>
          <w:szCs w:val="18"/>
          <w:color w:val="auto"/>
        </w:rPr>
      </w:pPr>
    </w:p>
    <w:p>
      <w:pPr>
        <w:ind w:left="1280" w:right="20" w:hanging="367"/>
        <w:spacing w:after="0" w:line="245"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includes the controlled clinical studies conducted to evaluate the effectiveness of the drug for a particular indication or indications in patients with the disease or condition under study and to determine the common short-term side effects and risks associated with the drug. Phase 2 studies are typically conducted in a relatively small number of patients, usually involving no more than several hundred subjects.</w:t>
      </w:r>
    </w:p>
    <w:p>
      <w:pPr>
        <w:spacing w:after="0" w:line="180" w:lineRule="exact"/>
        <w:rPr>
          <w:rFonts w:ascii="Times New Roman" w:cs="Times New Roman" w:eastAsia="Times New Roman" w:hAnsi="Times New Roman"/>
          <w:sz w:val="18"/>
          <w:szCs w:val="18"/>
          <w:color w:val="auto"/>
        </w:rPr>
      </w:pPr>
    </w:p>
    <w:p>
      <w:pPr>
        <w:ind w:left="1280" w:right="120" w:hanging="367"/>
        <w:spacing w:after="0" w:line="245"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studies are expanded controlled and uncontrolled trials. They are performed after preliminary evidence suggesting effectiveness of the drug has been obtained, and are intended to gather the additional information about effectiveness and safety that is needed to evaluate the overall benefit-risk relationship of the drug and to provide an adequate basis for physician labeling. Phase 3 studies usually include from several hundred to several thousand subjects.</w:t>
      </w:r>
    </w:p>
    <w:p>
      <w:pPr>
        <w:spacing w:after="0" w:line="181"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For each of our product candidates, we may conduct Phase 1, Phase 2, and Phase 3 clinical trials of our formulation, the RaniPill platform, or the formulation in combination with the RaniPill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4" w:name="page25"/>
    <w:bookmarkEnd w:id="24"/>
    <w:p>
      <w:pPr>
        <w:ind w:firstLine="1018"/>
        <w:spacing w:after="0" w:line="242" w:lineRule="auto"/>
        <w:rPr>
          <w:sz w:val="20"/>
          <w:szCs w:val="20"/>
          <w:color w:val="auto"/>
        </w:rPr>
      </w:pPr>
      <w:r>
        <w:rPr>
          <w:rFonts w:ascii="Times New Roman" w:cs="Times New Roman" w:eastAsia="Times New Roman" w:hAnsi="Times New Roman"/>
          <w:sz w:val="18"/>
          <w:szCs w:val="18"/>
          <w:color w:val="auto"/>
        </w:rPr>
        <w:t>In some cases, the FDA may require, or we may voluntarily pursue, additional clinical trials after a product is approved to gain more information about the product. These so-called Phase 4 studies may alternatively be made a condition to approval of the BLA or NDA. These trials are used to gain additional experience from the treatment of patients in the intended therapeutic indication and further document clinical benefit in the case of drugs approved under certain regulatory programs, such as accelerated approval regulations. Failure to exhibit due diligence with regard to conducting Phase 4 clinical trials could result in withdrawal of approval for the associated product.</w:t>
      </w:r>
    </w:p>
    <w:p>
      <w:pPr>
        <w:spacing w:after="0" w:line="185"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Progress reports detailing the results of the clinical trials, among other information, must be submitted at least annually to the FDA, and written IND or IDE safety reports must be submitted to the FDA and the investigators for serious and unexpected suspected adverse events, findings from other studies suggesting a significant risk to humans exposed to a particular or similar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Investigational products</w:t>
      </w:r>
    </w:p>
    <w:p>
      <w:pPr>
        <w:spacing w:after="0" w:line="216"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Prior to initiating a clinical trial of an investigational product such as for one of our product candidates, the FDA must grant authorization to proceed. A request for authorization is made by way of an IND or IDE application as applicable for the clinical trial.</w:t>
      </w:r>
    </w:p>
    <w:p>
      <w:pPr>
        <w:spacing w:after="0" w:line="162"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new drug product to humans. The central focus of an IND submission is on the general investigational plan and the protocols to be used in associated preclinical studies and clinical trials. The IND also includes results of animal and in vitro studies already performed to assess toxicology, pharmacokinetics, pharmacology and pharmacodynamic characteristics of the product. The IND further includes chemistry, manufacturing, and controls information, and human data or literature to support the use of the investigational product.</w:t>
      </w:r>
    </w:p>
    <w:p>
      <w:pPr>
        <w:spacing w:after="0" w:line="185" w:lineRule="exact"/>
        <w:rPr>
          <w:sz w:val="20"/>
          <w:szCs w:val="20"/>
          <w:color w:val="auto"/>
        </w:rPr>
      </w:pPr>
    </w:p>
    <w:p>
      <w:pPr>
        <w:ind w:right="180" w:firstLine="1018"/>
        <w:spacing w:after="0" w:line="250" w:lineRule="auto"/>
        <w:rPr>
          <w:sz w:val="20"/>
          <w:szCs w:val="20"/>
          <w:color w:val="auto"/>
        </w:rPr>
      </w:pPr>
      <w:r>
        <w:rPr>
          <w:rFonts w:ascii="Times New Roman" w:cs="Times New Roman" w:eastAsia="Times New Roman" w:hAnsi="Times New Roman"/>
          <w:sz w:val="18"/>
          <w:szCs w:val="18"/>
          <w:color w:val="auto"/>
        </w:rPr>
        <w:t>An IDE is a request for authorization from the FDA to allow an investigational device to be used in a clinical trial to collect safety and effectiveness data. The IDE application must be supported by appropriate data, such as animal and laboratory testing results, showing that it is safe to test the device in humans and that the testing protocol is scientifically sound.</w:t>
      </w:r>
    </w:p>
    <w:p>
      <w:pPr>
        <w:spacing w:after="0" w:line="177"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An IND or IDE must become effective before human clinical trials may begin. The IND or IDE automatically becomes effective 30 days after receipt by the FDA, unless the FDA, within the 30-day period, raises safety concerns or questions about the proposed clinical trial. In such a case, the IND or IDE may be placed on clinical hold to resolve any outstanding concerns or questions before the clinical trial can begin.</w:t>
      </w:r>
    </w:p>
    <w:p>
      <w:pPr>
        <w:spacing w:after="0" w:line="177"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The FDA’s approval of an IND or IDE does not bind the FDA to accept the results of the trial as sufficient to prove the stated conclusions, even if the trial meets its intended success criteria.</w:t>
      </w:r>
    </w:p>
    <w:p>
      <w:pPr>
        <w:spacing w:after="0" w:line="162" w:lineRule="exact"/>
        <w:rPr>
          <w:sz w:val="20"/>
          <w:szCs w:val="20"/>
          <w:color w:val="auto"/>
        </w:rPr>
      </w:pPr>
    </w:p>
    <w:p>
      <w:pPr>
        <w:jc w:val="both"/>
        <w:ind w:right="220" w:firstLine="1018"/>
        <w:spacing w:after="0" w:line="245" w:lineRule="auto"/>
        <w:rPr>
          <w:sz w:val="20"/>
          <w:szCs w:val="20"/>
          <w:color w:val="auto"/>
        </w:rPr>
      </w:pPr>
      <w:r>
        <w:rPr>
          <w:rFonts w:ascii="Times New Roman" w:cs="Times New Roman" w:eastAsia="Times New Roman" w:hAnsi="Times New Roman"/>
          <w:sz w:val="18"/>
          <w:szCs w:val="18"/>
          <w:color w:val="auto"/>
        </w:rPr>
        <w:t>All clinical trials must be conducted in accordance with FDA regulations that govern investigational product labeling, prohibit promotion, and specify an array of recordkeeping, reporting, and monitoring responsibilities of study sponsors and study investigators. Required records and reports are subject to inspection by the FDA. Clinical trials must further comply with FDA regulations that govern institutional review board approval, informed consent, and other human subject protections.</w:t>
      </w:r>
    </w:p>
    <w:p>
      <w:pPr>
        <w:spacing w:after="0" w:line="181" w:lineRule="exact"/>
        <w:rPr>
          <w:sz w:val="20"/>
          <w:szCs w:val="20"/>
          <w:color w:val="auto"/>
        </w:rPr>
      </w:pPr>
    </w:p>
    <w:p>
      <w:pPr>
        <w:ind w:right="740" w:firstLine="1018"/>
        <w:spacing w:after="0" w:line="266" w:lineRule="auto"/>
        <w:rPr>
          <w:sz w:val="20"/>
          <w:szCs w:val="20"/>
          <w:color w:val="auto"/>
        </w:rPr>
      </w:pPr>
      <w:r>
        <w:rPr>
          <w:rFonts w:ascii="Times New Roman" w:cs="Times New Roman" w:eastAsia="Times New Roman" w:hAnsi="Times New Roman"/>
          <w:sz w:val="18"/>
          <w:szCs w:val="18"/>
          <w:color w:val="auto"/>
        </w:rPr>
        <w:t>An amendment to the existing IND or IDE must be made for subsequent protocol changes and also for each successive clinical trial conducted during product development.</w:t>
      </w:r>
    </w:p>
    <w:p>
      <w:pPr>
        <w:spacing w:after="0" w:line="162" w:lineRule="exact"/>
        <w:rPr>
          <w:sz w:val="20"/>
          <w:szCs w:val="20"/>
          <w:color w:val="auto"/>
        </w:rPr>
      </w:pPr>
    </w:p>
    <w:p>
      <w:pPr>
        <w:jc w:val="both"/>
        <w:ind w:right="280" w:firstLine="1018"/>
        <w:spacing w:after="0" w:line="250" w:lineRule="auto"/>
        <w:rPr>
          <w:sz w:val="20"/>
          <w:szCs w:val="20"/>
          <w:color w:val="auto"/>
        </w:rPr>
      </w:pPr>
      <w:r>
        <w:rPr>
          <w:rFonts w:ascii="Times New Roman" w:cs="Times New Roman" w:eastAsia="Times New Roman" w:hAnsi="Times New Roman"/>
          <w:sz w:val="18"/>
          <w:szCs w:val="18"/>
          <w:color w:val="auto"/>
        </w:rPr>
        <w:t>Although the FDA Quality System Regulation does not fully apply to investigational products, the requirement for controls on design and development does apply. The sponsor also must manufacture the investigational product in conformity with the quality controls described in the IND or IDE application and any conditions of IND or IDE approval that FDA may impose with respect to manufacturing.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BLA/NDA review process</w:t>
      </w:r>
    </w:p>
    <w:p>
      <w:pPr>
        <w:spacing w:after="0" w:line="216"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product candidate for one or more specified indications and must contain proof of safety and efficacy for a drug or safety, purity, and potency for a biological product. The application may include both negative and ambiguous results of preclinical studies and clinical trials, as well as positive findings.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ind w:right="200"/>
        <w:spacing w:after="0" w:line="245" w:lineRule="auto"/>
        <w:rPr>
          <w:sz w:val="20"/>
          <w:szCs w:val="20"/>
          <w:color w:val="auto"/>
        </w:rPr>
      </w:pPr>
      <w:r>
        <w:rPr>
          <w:rFonts w:ascii="Times New Roman" w:cs="Times New Roman" w:eastAsia="Times New Roman" w:hAnsi="Times New Roman"/>
          <w:sz w:val="18"/>
          <w:szCs w:val="18"/>
          <w:color w:val="auto"/>
        </w:rPr>
        <w:t>may come from company-sponsored clinical trials intended to test the safety and efficacy of a product’s use and/or from a number of alternative sources, including studies initiated by investigators or cooperative clinical groups.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81" w:lineRule="exact"/>
        <w:rPr>
          <w:sz w:val="20"/>
          <w:szCs w:val="20"/>
          <w:color w:val="auto"/>
        </w:rPr>
      </w:pPr>
    </w:p>
    <w:p>
      <w:pPr>
        <w:ind w:right="160" w:firstLine="1018"/>
        <w:spacing w:after="0" w:line="245" w:lineRule="auto"/>
        <w:rPr>
          <w:sz w:val="20"/>
          <w:szCs w:val="20"/>
          <w:color w:val="auto"/>
        </w:rPr>
      </w:pPr>
      <w:r>
        <w:rPr>
          <w:rFonts w:ascii="Times New Roman" w:cs="Times New Roman" w:eastAsia="Times New Roman" w:hAnsi="Times New Roman"/>
          <w:sz w:val="18"/>
          <w:szCs w:val="18"/>
          <w:color w:val="auto"/>
        </w:rPr>
        <w:t>Under the Prescription Drug User Fee Act (“PDUFA”) and the Biologics Price Competition and Innovation Act of 2009 (“BPCI”), as amended, each NDA or BLA must be accompanied by a user fee. User fees may be adjusted on an annual basis. PDUFA also imposes an annual program fee for each marketed human drug or biologic. BsUFA imposes a user fee for a biosimilar development program at the time of the first meeting with the FDA or the initial IND submission, whichever occurs first. This fee must be paid annually.</w:t>
      </w:r>
    </w:p>
    <w:p>
      <w:pPr>
        <w:spacing w:after="0" w:line="181"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and respond to the applicant, or six months if the submission is designated for priority review. The FDA does not always meet its PDUFA goal dates for standard and priority NDAs or BLAs, and the review process may be extended by FDA requests for additional information or clarification.</w:t>
      </w:r>
    </w:p>
    <w:p>
      <w:pPr>
        <w:spacing w:after="0" w:line="184"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specific deficiencies in the NDA or BLA identified by the FDA. A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Research Equity Act (PREA)</w:t>
      </w:r>
    </w:p>
    <w:p>
      <w:pPr>
        <w:spacing w:after="0" w:line="216"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Under the Pediatric Research Equity Act (“PREA”), a BLA or NDA submission or supplement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16" w:lineRule="exact"/>
        <w:rPr>
          <w:sz w:val="20"/>
          <w:szCs w:val="20"/>
          <w:color w:val="auto"/>
        </w:rPr>
      </w:pPr>
    </w:p>
    <w:p>
      <w:pPr>
        <w:ind w:right="160" w:firstLine="1018"/>
        <w:spacing w:after="0" w:line="250" w:lineRule="auto"/>
        <w:rPr>
          <w:sz w:val="20"/>
          <w:szCs w:val="20"/>
          <w:color w:val="auto"/>
        </w:rPr>
      </w:pPr>
      <w:r>
        <w:rPr>
          <w:rFonts w:ascii="Times New Roman" w:cs="Times New Roman" w:eastAsia="Times New Roman" w:hAnsi="Times New Roman"/>
          <w:sz w:val="18"/>
          <w:szCs w:val="18"/>
          <w:color w:val="auto"/>
        </w:rPr>
        <w:t>The FDA has a number of programs intended to expedite the development or review of products that meet certain criteria. For example, presently the FDA has a fast-track designation, a priority review path, an accelerated approval path, and a breakthrough therapy designation. Any product submitted to the FDA for approval may be eligible for one or more of such FDA programs intended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6" w:name="page27"/>
    <w:bookmarkEnd w:id="26"/>
    <w:p>
      <w:pPr>
        <w:ind w:right="260"/>
        <w:spacing w:after="0" w:line="266" w:lineRule="auto"/>
        <w:rPr>
          <w:sz w:val="20"/>
          <w:szCs w:val="20"/>
          <w:color w:val="auto"/>
        </w:rPr>
      </w:pPr>
      <w:r>
        <w:rPr>
          <w:rFonts w:ascii="Times New Roman" w:cs="Times New Roman" w:eastAsia="Times New Roman" w:hAnsi="Times New Roman"/>
          <w:sz w:val="18"/>
          <w:szCs w:val="18"/>
          <w:color w:val="auto"/>
        </w:rPr>
        <w:t>to expedite development and review. These expedited approvals do not change the standards for approval but may expedite the development or approval process. We may explore some of these opportunities for our product candidates as appropriate.</w:t>
      </w:r>
    </w:p>
    <w:p>
      <w:pPr>
        <w:spacing w:after="0" w:line="162" w:lineRule="exact"/>
        <w:rPr>
          <w:sz w:val="20"/>
          <w:szCs w:val="20"/>
          <w:color w:val="auto"/>
        </w:rPr>
      </w:pPr>
    </w:p>
    <w:p>
      <w:pPr>
        <w:ind w:left="760" w:right="200" w:hanging="378"/>
        <w:spacing w:after="0" w:line="24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drugs may be eligible for fast-track designation if they are intended to treat a serious or life-threatening disease or condition and demonstrate the potential to address unmet medical needs for the disease or condition. Fast-track designation applies to the combination of the product and the specific indication for which it is being studied. The sponsor of a fast-track product has opportunities for more frequent interactions with the review team during product development, and the FDA may consider sections of the BLA or NDA for review on a rolling basis before the complete application is submitted.</w:t>
      </w:r>
    </w:p>
    <w:p>
      <w:pPr>
        <w:spacing w:after="0" w:line="184" w:lineRule="exact"/>
        <w:rPr>
          <w:rFonts w:ascii="Times New Roman" w:cs="Times New Roman" w:eastAsia="Times New Roman" w:hAnsi="Times New Roman"/>
          <w:sz w:val="18"/>
          <w:szCs w:val="18"/>
          <w:color w:val="auto"/>
        </w:rPr>
      </w:pPr>
    </w:p>
    <w:p>
      <w:pPr>
        <w:ind w:left="760" w:hanging="378"/>
        <w:spacing w:after="0" w:line="24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is eligible for priority review if it has the potential to provide safe and effective therapy where no satisfactory alternative therapy exists or to provide a significant improvement in the treatment, diagnosis or prevention of a disease compared to marketed products. The FDA will attempt to direct additional resources to the evaluation of a BLA or NDA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84" w:lineRule="exact"/>
        <w:rPr>
          <w:rFonts w:ascii="Times New Roman" w:cs="Times New Roman" w:eastAsia="Times New Roman" w:hAnsi="Times New Roman"/>
          <w:sz w:val="18"/>
          <w:szCs w:val="18"/>
          <w:color w:val="auto"/>
        </w:rPr>
      </w:pPr>
    </w:p>
    <w:p>
      <w:pPr>
        <w:ind w:left="760" w:right="4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intended to treat serious or life threatening diseases or conditions may be eligible for accelerated approval upon a determination that the product has an effect on a surrogate endpoint that is reasonably likely to predict clinical benefit, has an effect on a clinical endpoint that can be measured earlier than irreversible morbidity or mortality, or that is reasonably likely to predict an effect on irreversible morbidity or mortality or other clinical benefit, taking into account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4" w:lineRule="exact"/>
        <w:rPr>
          <w:rFonts w:ascii="Times New Roman" w:cs="Times New Roman" w:eastAsia="Times New Roman" w:hAnsi="Times New Roman"/>
          <w:sz w:val="18"/>
          <w:szCs w:val="18"/>
          <w:color w:val="auto"/>
        </w:rPr>
      </w:pPr>
    </w:p>
    <w:p>
      <w:pPr>
        <w:ind w:left="760" w:right="240" w:hanging="378"/>
        <w:spacing w:after="0" w:line="24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Food and Drug Administration Safety and Innovation Act established a category referred to as “breakthrough therapies.”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w:t>
      </w:r>
    </w:p>
    <w:p>
      <w:pPr>
        <w:spacing w:after="0" w:line="181"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may decide that the time period for FDA review or approval will not be shortened.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16" w:lineRule="exact"/>
        <w:rPr>
          <w:sz w:val="20"/>
          <w:szCs w:val="20"/>
          <w:color w:val="auto"/>
        </w:rPr>
      </w:pPr>
    </w:p>
    <w:p>
      <w:pPr>
        <w:ind w:right="40" w:firstLine="1018"/>
        <w:spacing w:after="0" w:line="237"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cGMP, quality controls, record-keeping, reporting of adverse experiences, periodic reporting, product sampling and distribution, and advertising and promotion of the product. After approval, most changes to the approved product, including adding new indications or other labeling claims, are subject to prior FDA review and approval. There also are continuing user fee requirements, under which the FDA assesses an annual program fee for each approved product. The FDA regulations require that products be manufactured in specific approved facilities and in accordance with cGMP. Biologics manufacturers and their subcontractors are required to register their establishments with the FDA and certain state agencies, and are subject to periodic unannounced inspections by the FDA and certain state agencies for compliance with cGMP,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We are responsible for the selection and monitoring of qualified contract manufacturers, laboratories, and packagers, and, in certain circumstances, qualified suppliers to them. These facilities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we must continue to expend time, money, and effort on quality control for our own facilities and the facilities of others which contribute to the commercialization of our final product, to maintain compliance with cGMP and other aspects of regulatory compliance.</w:t>
      </w:r>
    </w:p>
    <w:p>
      <w:pPr>
        <w:spacing w:after="0" w:line="186"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spacing w:after="0" w:line="266" w:lineRule="auto"/>
        <w:rPr>
          <w:sz w:val="20"/>
          <w:szCs w:val="20"/>
          <w:color w:val="auto"/>
        </w:rPr>
      </w:pPr>
      <w:r>
        <w:rPr>
          <w:rFonts w:ascii="Times New Roman" w:cs="Times New Roman" w:eastAsia="Times New Roman" w:hAnsi="Times New Roman"/>
          <w:sz w:val="18"/>
          <w:szCs w:val="18"/>
          <w:color w:val="auto"/>
        </w:rPr>
        <w:t>clinical trials to assess new safety risks, or imposition of distribution restrictions or other restrictions under a REMS program. Other potential consequences include, among other things:</w:t>
      </w:r>
    </w:p>
    <w:p>
      <w:pPr>
        <w:spacing w:after="0" w:line="162" w:lineRule="exact"/>
        <w:rPr>
          <w:sz w:val="20"/>
          <w:szCs w:val="20"/>
          <w:color w:val="auto"/>
        </w:rPr>
      </w:pPr>
    </w:p>
    <w:p>
      <w:pPr>
        <w:ind w:left="1280" w:hanging="367"/>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211"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11" w:lineRule="exact"/>
        <w:rPr>
          <w:rFonts w:ascii="Times New Roman" w:cs="Times New Roman" w:eastAsia="Times New Roman" w:hAnsi="Times New Roman"/>
          <w:sz w:val="18"/>
          <w:szCs w:val="18"/>
          <w:color w:val="auto"/>
        </w:rPr>
      </w:pPr>
    </w:p>
    <w:p>
      <w:pPr>
        <w:ind w:left="1280" w:right="340" w:hanging="367"/>
        <w:spacing w:after="0" w:line="266"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2"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211"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211"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11" w:lineRule="exact"/>
        <w:rPr>
          <w:rFonts w:ascii="Times New Roman" w:cs="Times New Roman" w:eastAsia="Times New Roman" w:hAnsi="Times New Roman"/>
          <w:sz w:val="18"/>
          <w:szCs w:val="18"/>
          <w:color w:val="auto"/>
        </w:rPr>
      </w:pPr>
    </w:p>
    <w:p>
      <w:pPr>
        <w:ind w:left="1280" w:right="300" w:hanging="367"/>
        <w:spacing w:after="0" w:line="266"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w:t>
      </w:r>
    </w:p>
    <w:p>
      <w:pPr>
        <w:spacing w:after="0" w:line="162" w:lineRule="exact"/>
        <w:rPr>
          <w:rFonts w:ascii="Times New Roman" w:cs="Times New Roman" w:eastAsia="Times New Roman" w:hAnsi="Times New Roman"/>
          <w:sz w:val="18"/>
          <w:szCs w:val="18"/>
          <w:color w:val="auto"/>
        </w:rPr>
      </w:pPr>
    </w:p>
    <w:p>
      <w:pPr>
        <w:ind w:left="1280" w:hanging="367"/>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2"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one or more of adverse publicity, warning letters, corrective advertising, civil penalties, criminal penalties, government investigation,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Orange Book; Purple Book</w:t>
      </w:r>
    </w:p>
    <w:p>
      <w:pPr>
        <w:spacing w:after="0" w:line="216"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The FDA publishes the Orange Book for products following the NDA pathway and the Purple Book for products following the BLA pathway. Our product candidates will be listed in the Orange Book after approval for marketing or listed in the Purple Book after license for marketing, as applicable.</w:t>
      </w:r>
    </w:p>
    <w:p>
      <w:pPr>
        <w:spacing w:after="0" w:line="177"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The Orange Book contains information about all FDA-approved drug products regulated by CDER and their exclusivities. The Orange Book also includes patent information. The applicant provides patent information to the FDA as part of its NDA, or after patent grant. Orange Book patent listing provides a 30 month stay of FDA approval of any generic submitted via an ANDA. An applicant submitting an ANDA must, for each patent listed against the approved drug in the Orange Book, either (i) state that the ANDA applicant is not seeking approval for a patented method of use, (ii) ask the FDA to delay approval until that patent is expired (a “Paragraph III” certification), or (iii) attest that the patent is invalid, unenforceable, or will not be infringed by the generic product (a “Paragraph IV” certification), which can trigger ANDA litigation over the associated patent.</w:t>
      </w:r>
    </w:p>
    <w:p>
      <w:pPr>
        <w:spacing w:after="0" w:line="184"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The purple book contains information about all FDA-licensed biological products regulated by CBER, including licensed biosimilar and interchangeable products and their reference products, and FDA-licensed allergenic, cellular and gene therapy, hematologic, and vaccine products regulated by CBER. The Purple Book includes granted exclusivity information. The Purple Book also includes for each biological product a list of patents identified to a biosimilar applicant during biosimilar litigation under the BPCIA.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Exclusivities</w:t>
      </w:r>
    </w:p>
    <w:p>
      <w:pPr>
        <w:spacing w:after="0" w:line="216" w:lineRule="exact"/>
        <w:rPr>
          <w:sz w:val="20"/>
          <w:szCs w:val="20"/>
          <w:color w:val="auto"/>
        </w:rPr>
      </w:pPr>
    </w:p>
    <w:p>
      <w:pPr>
        <w:ind w:right="120" w:firstLine="1018"/>
        <w:spacing w:after="0" w:line="266" w:lineRule="auto"/>
        <w:rPr>
          <w:sz w:val="20"/>
          <w:szCs w:val="20"/>
          <w:color w:val="auto"/>
        </w:rPr>
      </w:pPr>
      <w:r>
        <w:rPr>
          <w:rFonts w:ascii="Times New Roman" w:cs="Times New Roman" w:eastAsia="Times New Roman" w:hAnsi="Times New Roman"/>
          <w:sz w:val="18"/>
          <w:szCs w:val="18"/>
          <w:color w:val="auto"/>
        </w:rPr>
        <w:t>Some of our product candidates may be eligible for exclusivities provided under various FDA programs. Exclusivity refers to certain delays and prohibitions on approval of competitor drugs available under an applicable statute that take effect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8" w:name="page29"/>
    <w:bookmarkEnd w:id="28"/>
    <w:p>
      <w:pPr>
        <w:ind w:right="80"/>
        <w:spacing w:after="0" w:line="266" w:lineRule="auto"/>
        <w:rPr>
          <w:sz w:val="20"/>
          <w:szCs w:val="20"/>
          <w:color w:val="auto"/>
        </w:rPr>
      </w:pPr>
      <w:r>
        <w:rPr>
          <w:rFonts w:ascii="Times New Roman" w:cs="Times New Roman" w:eastAsia="Times New Roman" w:hAnsi="Times New Roman"/>
          <w:sz w:val="18"/>
          <w:szCs w:val="18"/>
          <w:color w:val="auto"/>
        </w:rPr>
        <w:t>FDA’s approval of a biologics or drug, or of certain supplements to the BLA or NDA. Exclusivities do not convey any advantage in or shorten the duration of the regulatory review and approval process.</w:t>
      </w:r>
    </w:p>
    <w:p>
      <w:pPr>
        <w:spacing w:after="0" w:line="162"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The Pediatric exclusivity might apply to most or all of our product candidates. For an applicant to be able to take advantage of the Pediatric exclusivity, the FDA must make a written request for a pediatric study to be performed, although the applicant may request for the FDA to make the request for a pediatric study. After the study is performed, the applicant may request Pediatric exclusivity. If granted, 180 days of patent term are added to the patent term listed in the Orange Book.</w:t>
      </w:r>
    </w:p>
    <w:p>
      <w:pPr>
        <w:spacing w:after="0" w:line="181" w:lineRule="exact"/>
        <w:rPr>
          <w:sz w:val="20"/>
          <w:szCs w:val="20"/>
          <w:color w:val="auto"/>
        </w:rPr>
      </w:pPr>
    </w:p>
    <w:p>
      <w:pPr>
        <w:ind w:right="160" w:firstLine="1018"/>
        <w:spacing w:after="0" w:line="250" w:lineRule="auto"/>
        <w:rPr>
          <w:sz w:val="20"/>
          <w:szCs w:val="20"/>
          <w:color w:val="auto"/>
        </w:rPr>
      </w:pPr>
      <w:r>
        <w:rPr>
          <w:rFonts w:ascii="Times New Roman" w:cs="Times New Roman" w:eastAsia="Times New Roman" w:hAnsi="Times New Roman"/>
          <w:sz w:val="18"/>
          <w:szCs w:val="18"/>
          <w:color w:val="auto"/>
        </w:rPr>
        <w:t>With respect to other FDA exclusivity programs, in some cases the exclusivity programs will not apply to our product candidates due to our unique formulation or oral capsule technology, or it is unclear the extent to which they will apply, or they will not apply to most or all of the product candidates in our pipeline.</w:t>
      </w:r>
    </w:p>
    <w:p>
      <w:pPr>
        <w:spacing w:after="0" w:line="177" w:lineRule="exact"/>
        <w:rPr>
          <w:sz w:val="20"/>
          <w:szCs w:val="20"/>
          <w:color w:val="auto"/>
        </w:rPr>
      </w:pPr>
    </w:p>
    <w:p>
      <w:pPr>
        <w:ind w:right="40" w:firstLine="1018"/>
        <w:spacing w:after="0" w:line="250" w:lineRule="auto"/>
        <w:rPr>
          <w:sz w:val="20"/>
          <w:szCs w:val="20"/>
          <w:color w:val="auto"/>
        </w:rPr>
      </w:pPr>
      <w:r>
        <w:rPr>
          <w:rFonts w:ascii="Times New Roman" w:cs="Times New Roman" w:eastAsia="Times New Roman" w:hAnsi="Times New Roman"/>
          <w:sz w:val="18"/>
          <w:szCs w:val="18"/>
          <w:color w:val="auto"/>
        </w:rPr>
        <w:t>For exclusivity programs that apply to our product candidates, we will consider pursuing such exclusivities at the appropriate time. However, we do not expect any of the exclusivities to provide us significant competitive advantage. Exclusivities granted to our competitors could block approval and/or commercialization of one or more of our product candidates, possibly for several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216" w:lineRule="exact"/>
        <w:rPr>
          <w:sz w:val="20"/>
          <w:szCs w:val="20"/>
          <w:color w:val="auto"/>
        </w:rPr>
      </w:pPr>
    </w:p>
    <w:p>
      <w:pPr>
        <w:ind w:right="260" w:firstLine="1018"/>
        <w:spacing w:after="0" w:line="24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(“HIPAA”), and similar foreign, federal, and state fraud and abuse, transparency, and data privacy and security laws.</w:t>
      </w:r>
    </w:p>
    <w:p>
      <w:pPr>
        <w:spacing w:after="0" w:line="181" w:lineRule="exact"/>
        <w:rPr>
          <w:sz w:val="20"/>
          <w:szCs w:val="20"/>
          <w:color w:val="auto"/>
        </w:rPr>
      </w:pPr>
    </w:p>
    <w:p>
      <w:pPr>
        <w:ind w:right="80" w:firstLine="1018"/>
        <w:spacing w:after="0" w:line="237"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and so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91"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w:t>
      </w:r>
    </w:p>
    <w:p>
      <w:pPr>
        <w:spacing w:after="0" w:line="185"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The U.S. federal Physician Payments Sunshine Act requires applicable manufacturers of prescription drugs, devices, biological products,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other healthcare professionals (such as physician assistants and nurse practitioners), and teaching hospitals, including ownership and investment interests held by physicians and their immediate family members.</w:t>
      </w:r>
    </w:p>
    <w:p>
      <w:pPr>
        <w:spacing w:after="0" w:line="184" w:lineRule="exact"/>
        <w:rPr>
          <w:sz w:val="20"/>
          <w:szCs w:val="20"/>
          <w:color w:val="auto"/>
        </w:rPr>
      </w:pPr>
    </w:p>
    <w:p>
      <w:pPr>
        <w:ind w:right="200" w:firstLine="1018"/>
        <w:spacing w:after="0" w:line="245"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or HITECH, and their implementing regulations, impose certain requirements on HIPAA covered entities, which include certain healthcare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healthcare clearinghouses, and health plans, and individuals and entities, known as business associates,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77" w:lineRule="exact"/>
        <w:rPr>
          <w:sz w:val="20"/>
          <w:szCs w:val="20"/>
          <w:color w:val="auto"/>
        </w:rPr>
      </w:pPr>
    </w:p>
    <w:p>
      <w:pPr>
        <w:jc w:val="both"/>
        <w:ind w:right="40" w:firstLine="1018"/>
        <w:spacing w:after="0" w:line="266"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law equivalents of each of the above federal laws, which, in some cases, differ from each other in significant ways, and may not have the same effect, complicating compliance efforts.</w:t>
      </w:r>
    </w:p>
    <w:p>
      <w:pPr>
        <w:spacing w:after="0" w:line="162"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 of non-compliance, disgorgement, imprisonment, contractual damages, reputational harm, diminished profits and market share, and the curtailment or restructuring of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16" w:lineRule="exact"/>
        <w:rPr>
          <w:sz w:val="20"/>
          <w:szCs w:val="20"/>
          <w:color w:val="auto"/>
        </w:rPr>
      </w:pPr>
    </w:p>
    <w:p>
      <w:pPr>
        <w:ind w:right="180" w:firstLine="1018"/>
        <w:spacing w:after="0" w:line="250"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w:t>
      </w:r>
    </w:p>
    <w:p>
      <w:pPr>
        <w:spacing w:after="0" w:line="177"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 For example, the Patient Protection and Affordable Care Act, as amended by the Health Care and Education Reconciliation Act (collectively, the “ACA”), which was enacted in March 2010,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and annual fees based on pharmaceutical companies’ share of sales to federal health care programs. There have been executive, judicial and Congressional challenges to certain aspects of the ACA. For example, on June 17, 2021, the United States Supreme Court dismissed a challenge on procedural grounds that argued the ACA is unconstitutional in its entirety because the “individual mandate” was repealed by Congress. Thus, the ACA will remain in effect in its current form.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w:t>
      </w:r>
    </w:p>
    <w:p>
      <w:pPr>
        <w:spacing w:after="0" w:line="193"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including the Infrastructure Investment and Jobs Act, will remain in effect through 2031 unless additional action is taken by Congress. COVID-19 relief legislation suspended the 2% Medicare sequester from May 1, 2020 through March 31, 2022. Under current legislation the actual reduction in Medicare payments will vary from 1% in 2022 to up to 3% in the final fiscal year of this sequester. Further, Congress is considering additional health reform measures.</w:t>
      </w:r>
    </w:p>
    <w:p>
      <w:pPr>
        <w:spacing w:after="0" w:line="184" w:lineRule="exact"/>
        <w:rPr>
          <w:sz w:val="20"/>
          <w:szCs w:val="20"/>
          <w:color w:val="auto"/>
        </w:rPr>
      </w:pPr>
    </w:p>
    <w:p>
      <w:pPr>
        <w:ind w:right="120" w:firstLine="1018"/>
        <w:spacing w:after="0" w:line="238"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w:t>
      </w:r>
    </w:p>
    <w:p>
      <w:pPr>
        <w:spacing w:after="0" w:line="191" w:lineRule="exact"/>
        <w:rPr>
          <w:sz w:val="20"/>
          <w:szCs w:val="20"/>
          <w:color w:val="auto"/>
        </w:rPr>
      </w:pPr>
    </w:p>
    <w:p>
      <w:pPr>
        <w:ind w:right="160" w:firstLine="1018"/>
        <w:spacing w:after="0" w:line="245"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obligations</w:t>
      </w:r>
    </w:p>
    <w:p>
      <w:pPr>
        <w:spacing w:after="0" w:line="243"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process, generate, use, transfer, disclose, make accessible, protect, secure, dispose of, transmit, share and store (commonly known as processing) proprietary, confidential and sensitive information, including personal data, intellectual property, trade secret, and proprietary information owned or controlled by ourselves or third parties (collectively, sensitive information). We, and the third parties upon whom we rely, use information technology, software and services to process other sensitive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(“CCPA”), the European Union’s General Data Protection Regulation 2016/679 (“EU GDPR”) and the EU GDPR as it forms part of United Kingdom law by virtue of section 3 of the European Union (Withdrawal) Act 2018 (“UK GDPR”). In addition, several states within the United States have enacted or proposed data privacy and security laws. For example, Virginia passed the Consumer Data Protection Act, and Colorado passed the Colorado Privacy Act.</w:t>
      </w:r>
    </w:p>
    <w:p>
      <w:pPr>
        <w:spacing w:after="0" w:line="188"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Obligations related to the processing of personal data worldwide is rapidly evolving. The number and scope of data privacy and security laws, regulations and other obligations is changing, subject to differing applications and interpretations, and may be inconsistent among jurisdictions, or in conflict with other data processing obligations. Efforts to ensure that our current and future business arrangements, including our relationship with our CROs or other vendors who process data on our behalf, comply with applicable data privacy and security obligations will involve substantial costs.</w:t>
      </w:r>
    </w:p>
    <w:p>
      <w:pPr>
        <w:spacing w:after="0" w:line="181"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Foreign data privacy and security laws (including but not limited to the EU GDPR and UK GDPR) impose significant and complex compliance obligations on entities that are subject to those laws. For example, the EU GDPR, imposes several requirements relating to the consent of the individuals to whom personal data relates, the information provided to the individuals, the security and confidentiality of the personal data, data breach notification, and the use of third-party processors in connection with the processing of personal data. Additional requirements may include limiting personal data processing to only what is necessary for specified, explicit, and legitimate purposes; requiring a legal basis for personal data processing; requiring the appointment of a data protection officer in certain circumstances; requiring data protection impact assessments in certain circumstances; limiting the collection and retention of personal data; formalizing a heightened and codified standard of data subject consents; requiring the implementation and maintenance of technical and organizational safeguards for personal data; and mandating the appointment of representatives in the UK and/or the EU in certain circumstance. European data protection laws, such as the EU GDPR, also impose strict rules on the transfer of personal data out of the European Economic Area.</w:t>
      </w:r>
    </w:p>
    <w:p>
      <w:pPr>
        <w:spacing w:after="0" w:line="188" w:lineRule="exact"/>
        <w:rPr>
          <w:sz w:val="20"/>
          <w:szCs w:val="20"/>
          <w:color w:val="auto"/>
        </w:rPr>
      </w:pPr>
    </w:p>
    <w:p>
      <w:pPr>
        <w:ind w:right="40" w:firstLine="1018"/>
        <w:spacing w:after="0" w:line="238" w:lineRule="auto"/>
        <w:rPr>
          <w:sz w:val="20"/>
          <w:szCs w:val="20"/>
          <w:color w:val="auto"/>
        </w:rPr>
      </w:pPr>
      <w:r>
        <w:rPr>
          <w:rFonts w:ascii="Times New Roman" w:cs="Times New Roman" w:eastAsia="Times New Roman" w:hAnsi="Times New Roman"/>
          <w:sz w:val="18"/>
          <w:szCs w:val="18"/>
          <w:color w:val="auto"/>
        </w:rPr>
        <w:t>Various data privacy and security laws in the U.S. also impose compliance obligations. For example, the CCPA imposes obligations on covered businesses to provide specific disclosures related to a business’s collection, use, and disclosure of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Although the CCPA exempts certain data processed in the context of clinical trials, the CCPA, to the extent applicable to our business and operations, may increase our compliance costs and potential liability with respect to the personal data we maintain about California residents. In addition, the California Privacy Rights Act of 2020, or CPRA, effective January 1, 2023, will expand the CCPA. The CPRA will, among other things, give California residents the ability to limit the use of certain sensitive personal data, establish restrictions on personal data retention, expand the types of data breaches that are subject to the CCPA’s private right of action, and establish a new California Privacy Protection Agency to implement and enforce the new law. U.S. federal and state consumer protection laws require us to publish statements that accurately and fairly describe how we handle personal data and choices individuals may have about the way we handle their personal data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43" w:lineRule="exact"/>
        <w:rPr>
          <w:sz w:val="20"/>
          <w:szCs w:val="20"/>
          <w:color w:val="auto"/>
        </w:rPr>
      </w:pPr>
    </w:p>
    <w:p>
      <w:pPr>
        <w:jc w:val="both"/>
        <w:ind w:right="380" w:firstLine="1018"/>
        <w:spacing w:after="0" w:line="250" w:lineRule="auto"/>
        <w:rPr>
          <w:sz w:val="20"/>
          <w:szCs w:val="20"/>
          <w:color w:val="auto"/>
        </w:rPr>
      </w:pPr>
      <w:r>
        <w:rPr>
          <w:rFonts w:ascii="Times New Roman" w:cs="Times New Roman" w:eastAsia="Times New Roman" w:hAnsi="Times New Roman"/>
          <w:sz w:val="18"/>
          <w:szCs w:val="18"/>
          <w:color w:val="auto"/>
        </w:rPr>
        <w:t>As of December 31, 2021, we had 114 full-time employees and no part-time employees. The majority of our employees are based at our facilities in San Jose and Milpitas, California, with a contingent of employees based outside of California. None of our employees are represented by a labor union or are a party to a collective bargaining agreement and we believe that we have good relations with our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Attracting and Retaining Talent</w:t>
      </w:r>
    </w:p>
    <w:p>
      <w:pPr>
        <w:spacing w:after="0" w:line="241"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In addition, we have added a People Ops team that has launched multiple initiatives focused on employee health and engagement, inter and intra team building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ind w:right="300"/>
        <w:spacing w:after="0" w:line="250" w:lineRule="auto"/>
        <w:rPr>
          <w:sz w:val="20"/>
          <w:szCs w:val="20"/>
          <w:color w:val="auto"/>
        </w:rPr>
      </w:pPr>
      <w:r>
        <w:rPr>
          <w:rFonts w:ascii="Times New Roman" w:cs="Times New Roman" w:eastAsia="Times New Roman" w:hAnsi="Times New Roman"/>
          <w:sz w:val="18"/>
          <w:szCs w:val="18"/>
          <w:color w:val="auto"/>
        </w:rPr>
        <w:t>collaboration, and individual career development planning. We have implemented a health engagement program that is completed by all new hires. We have also implemented a health engagement check-in for all existing employees. This is all in support and encouragement of a more collaborative environment at the company, which is vital to our efforts to recruit, retain and develop our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41" w:lineRule="exact"/>
        <w:rPr>
          <w:sz w:val="20"/>
          <w:szCs w:val="20"/>
          <w:color w:val="auto"/>
        </w:rPr>
      </w:pPr>
    </w:p>
    <w:p>
      <w:pPr>
        <w:jc w:val="both"/>
        <w:ind w:right="160" w:firstLine="1018"/>
        <w:spacing w:after="0" w:line="264" w:lineRule="auto"/>
        <w:rPr>
          <w:sz w:val="20"/>
          <w:szCs w:val="20"/>
          <w:color w:val="auto"/>
        </w:rPr>
      </w:pPr>
      <w:r>
        <w:rPr>
          <w:rFonts w:ascii="Times New Roman" w:cs="Times New Roman" w:eastAsia="Times New Roman" w:hAnsi="Times New Roman"/>
          <w:sz w:val="17"/>
          <w:szCs w:val="17"/>
          <w:color w:val="auto"/>
        </w:rPr>
        <w:t>The success of our business is fundamentally connected to the well-being of our employees. We provide market competitive compensation and benefits programs. In addition to salaries, these programs include potential annual discretionary bonuses, broad-based equity awards, a 401(k) plan, healthcare and insurance benefits, health savings and flexible spending accounts, paid time off, family leave and flexible work schedules, among others. These benefits provide our employees choices where possible so they can customize their benefits to meet their needs and the needs of their families.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and Employee Safety</w:t>
      </w:r>
    </w:p>
    <w:p>
      <w:pPr>
        <w:spacing w:after="0" w:line="241" w:lineRule="exact"/>
        <w:rPr>
          <w:sz w:val="20"/>
          <w:szCs w:val="20"/>
          <w:color w:val="auto"/>
        </w:rPr>
      </w:pPr>
    </w:p>
    <w:p>
      <w:pPr>
        <w:ind w:right="80" w:firstLine="1018"/>
        <w:spacing w:after="0" w:line="242" w:lineRule="auto"/>
        <w:rPr>
          <w:sz w:val="20"/>
          <w:szCs w:val="20"/>
          <w:color w:val="auto"/>
        </w:rPr>
      </w:pPr>
      <w:r>
        <w:rPr>
          <w:rFonts w:ascii="Times New Roman" w:cs="Times New Roman" w:eastAsia="Times New Roman" w:hAnsi="Times New Roman"/>
          <w:sz w:val="18"/>
          <w:szCs w:val="18"/>
          <w:color w:val="auto"/>
        </w:rPr>
        <w:t>In response to the COVID-19 pandemic and the related guidelines and orders issued by federal, state and local governments, we continue to restrict access to our offices in California, limit work gatherings, and suspend non-essential business travel. Many of our employees are conducting their work remotely, wholly or in part, to reduce the risk of a COVID-19 outbreak in our facilities. We have modified workspaces for employees that are essential to continue to work in the office. The safety, health, and well-being of our employees is paramount. As such, we will consider ongoing government regulations and local health conditions in establishing and implementing workplace practices.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216" w:lineRule="exact"/>
        <w:rPr>
          <w:sz w:val="20"/>
          <w:szCs w:val="20"/>
          <w:color w:val="auto"/>
        </w:rPr>
      </w:pPr>
    </w:p>
    <w:p>
      <w:pPr>
        <w:ind w:right="120" w:firstLine="1018"/>
        <w:spacing w:after="0" w:line="242" w:lineRule="auto"/>
        <w:rPr>
          <w:sz w:val="20"/>
          <w:szCs w:val="20"/>
          <w:color w:val="auto"/>
        </w:rPr>
      </w:pPr>
      <w:r>
        <w:rPr>
          <w:rFonts w:ascii="Times New Roman" w:cs="Times New Roman" w:eastAsia="Times New Roman" w:hAnsi="Times New Roman"/>
          <w:sz w:val="18"/>
          <w:szCs w:val="18"/>
          <w:color w:val="auto"/>
        </w:rPr>
        <w:t>We became publicly traded in July 2021 through the IPO in which the Company sold 7,666,667 shares of its Class A common stock, including shares issued pursuant to the exercise in full of the underwriters’ option, for cash consideration of $11.00 per share. We received approximately $73.6 million in net proceeds, after deducting underwriting discounts, offering costs and commissions. We used the proceeds from the IPO to purchase 7,666,667 newly issued economic nonvoting Class A units of Rani LLC. Details regarding the IPO can be found in “</w:t>
      </w:r>
      <w:r>
        <w:rPr>
          <w:rFonts w:ascii="Times New Roman" w:cs="Times New Roman" w:eastAsia="Times New Roman" w:hAnsi="Times New Roman"/>
          <w:sz w:val="18"/>
          <w:szCs w:val="18"/>
          <w:i w:val="1"/>
          <w:iCs w:val="1"/>
          <w:color w:val="auto"/>
        </w:rPr>
        <w:t>Notes to the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16" w:lineRule="exact"/>
        <w:rPr>
          <w:sz w:val="20"/>
          <w:szCs w:val="20"/>
          <w:color w:val="auto"/>
        </w:rPr>
      </w:pPr>
    </w:p>
    <w:p>
      <w:pPr>
        <w:ind w:right="320" w:firstLine="1018"/>
        <w:spacing w:after="0" w:line="266" w:lineRule="auto"/>
        <w:rPr>
          <w:sz w:val="20"/>
          <w:szCs w:val="20"/>
          <w:color w:val="auto"/>
        </w:rPr>
      </w:pPr>
      <w:r>
        <w:rPr>
          <w:rFonts w:ascii="Times New Roman" w:cs="Times New Roman" w:eastAsia="Times New Roman" w:hAnsi="Times New Roman"/>
          <w:sz w:val="18"/>
          <w:szCs w:val="18"/>
          <w:color w:val="auto"/>
        </w:rPr>
        <w:t>We have three classes of common stock. Our Class A common stock has one vote per share, our Class B common stock has 10 votes per share, and our Class C common stock has no voting rights, except as otherwise required by law.</w:t>
      </w:r>
    </w:p>
    <w:p>
      <w:pPr>
        <w:spacing w:after="0" w:line="16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All shares of our Class B common stock are held by certain stockholders who held equity in Rani LLC before the IPO. The shares beneficially owned by the Continuing LLC Owners represent more than 80% of the total voting power of our outstanding capital stock as of March 15, 2022.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85"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Shares of our Class C common stock are not issued nor outstanding and we have no current plans to issue shares of Class C common stock. These shares will be available to be used in the future to further strategic initiatives, such as financings or acquisitions, or issue future equity awards to our service providers. Because the shares of Class C common stock have no voting rights (except as otherwise required by law), the issuance of such shares will not result in further dilution to the voting power held by the Continuing LLC Owners.</w:t>
      </w:r>
    </w:p>
    <w:p>
      <w:pPr>
        <w:spacing w:after="0" w:line="181"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The multi-class structure of our common stock is intended to ensure that, for the foreseeable future, the Continuing LLC Owners continue to control or significantly influence our governance which we believe will permit us to continue to prioritize our long-term goals rather than short-term results, to enhance the likelihood of stability in the composition of our board of directors and its policies, and to discourage certain types of transactions that may involve an actual or threatened acquisition of 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16" w:lineRule="exact"/>
        <w:rPr>
          <w:sz w:val="20"/>
          <w:szCs w:val="20"/>
          <w:color w:val="auto"/>
        </w:rPr>
      </w:pPr>
    </w:p>
    <w:p>
      <w:pPr>
        <w:jc w:val="both"/>
        <w:ind w:right="140" w:firstLine="1018"/>
        <w:spacing w:after="0" w:line="250"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32" w:name="page33"/>
    <w:bookmarkEnd w:id="32"/>
    <w:p>
      <w:pPr>
        <w:ind w:right="260" w:firstLine="1018"/>
        <w:spacing w:after="0" w:line="245" w:lineRule="auto"/>
        <w:rPr>
          <w:sz w:val="20"/>
          <w:szCs w:val="20"/>
          <w:color w:val="auto"/>
        </w:rPr>
      </w:pPr>
      <w:r>
        <w:rPr>
          <w:rFonts w:ascii="Times New Roman" w:cs="Times New Roman" w:eastAsia="Times New Roman" w:hAnsi="Times New Roman"/>
          <w:sz w:val="18"/>
          <w:szCs w:val="18"/>
          <w:color w:val="auto"/>
        </w:rPr>
        <w:t>Copies of our Annual Reports on Form 10-K, Quarterly Reports on Form 10-Q, Current Reports on Form 8-K, Proxy Statements, and all amendments to these reports, filed with or furnished to the Securities and Exchange Commission (“SEC”) pursuant to Section 13(a) or 15(d) of the Securities Exchange Act of 1934 as amended may be obtained from the SEC’s on-line database, which is located at www.sec.gov. Our common stock is traded on the Nasdaq Stock Market (“Nasdaq”) under the symbol “RANI.”</w:t>
      </w:r>
    </w:p>
    <w:p>
      <w:pPr>
        <w:spacing w:after="0" w:line="181" w:lineRule="exact"/>
        <w:rPr>
          <w:sz w:val="20"/>
          <w:szCs w:val="20"/>
          <w:color w:val="auto"/>
        </w:rPr>
      </w:pPr>
    </w:p>
    <w:p>
      <w:pPr>
        <w:ind w:right="140" w:firstLine="101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described below, including our consolidated financial statements and related notes, as well as the other information in this report, and in our other public filings,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You should consider all of the risk factors described when evaluating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12"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a very limited operating history, have incurred operating losses since our inception and expect to incur significant losses for the foreseeable future. We may never generate any commercial product revenue or become profitable or, if we achieve profitability, we may not be able to sustain it.</w:t>
      </w:r>
    </w:p>
    <w:p>
      <w:pPr>
        <w:spacing w:after="0" w:line="135" w:lineRule="exact"/>
        <w:rPr>
          <w:sz w:val="20"/>
          <w:szCs w:val="20"/>
          <w:color w:val="auto"/>
        </w:rPr>
      </w:pPr>
    </w:p>
    <w:p>
      <w:pPr>
        <w:ind w:right="60" w:firstLine="1018"/>
        <w:spacing w:after="0" w:line="239" w:lineRule="auto"/>
        <w:rPr>
          <w:sz w:val="20"/>
          <w:szCs w:val="20"/>
          <w:color w:val="auto"/>
        </w:rPr>
      </w:pPr>
      <w:r>
        <w:rPr>
          <w:rFonts w:ascii="Times New Roman" w:cs="Times New Roman" w:eastAsia="Times New Roman" w:hAnsi="Times New Roman"/>
          <w:sz w:val="18"/>
          <w:szCs w:val="18"/>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and RT-102 are in early clinical development, while our other product candidates remain in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oral biologics products.</w:t>
      </w:r>
    </w:p>
    <w:p>
      <w:pPr>
        <w:spacing w:after="0" w:line="187" w:lineRule="exact"/>
        <w:rPr>
          <w:sz w:val="20"/>
          <w:szCs w:val="20"/>
          <w:color w:val="auto"/>
        </w:rPr>
      </w:pPr>
    </w:p>
    <w:p>
      <w:pPr>
        <w:ind w:right="40" w:firstLine="1018"/>
        <w:spacing w:after="0" w:line="239" w:lineRule="auto"/>
        <w:rPr>
          <w:sz w:val="20"/>
          <w:szCs w:val="20"/>
          <w:color w:val="auto"/>
        </w:rPr>
      </w:pPr>
      <w:r>
        <w:rPr>
          <w:rFonts w:ascii="Times New Roman" w:cs="Times New Roman" w:eastAsia="Times New Roman" w:hAnsi="Times New Roman"/>
          <w:sz w:val="18"/>
          <w:szCs w:val="18"/>
          <w:color w:val="auto"/>
        </w:rPr>
        <w:t>We have incurred significant operating losses since our formation in 2012. Our net loss for the year ended December 31, 2021 was approximately $53.1 million. As of December 31, 2021, we had an accumulated deficit of $8.3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187" w:lineRule="exact"/>
        <w:rPr>
          <w:sz w:val="20"/>
          <w:szCs w:val="20"/>
          <w:color w:val="auto"/>
        </w:rPr>
      </w:pPr>
    </w:p>
    <w:p>
      <w:pPr>
        <w:ind w:right="20" w:firstLine="1018"/>
        <w:spacing w:after="0" w:line="242" w:lineRule="auto"/>
        <w:rPr>
          <w:sz w:val="20"/>
          <w:szCs w:val="20"/>
          <w:color w:val="auto"/>
        </w:rPr>
      </w:pPr>
      <w:r>
        <w:rPr>
          <w:rFonts w:ascii="Times New Roman" w:cs="Times New Roman" w:eastAsia="Times New Roman" w:hAnsi="Times New Roman"/>
          <w:sz w:val="18"/>
          <w:szCs w:val="18"/>
          <w:color w:val="auto"/>
        </w:rPr>
        <w:t>We do not anticipate generating revenue from sales of products for the foreseeable future, if ever, and our product candidates are in preclinical and early-stage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5"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3" w:name="page34"/>
    <w:bookmarkEnd w:id="33"/>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58" w:lineRule="exact"/>
        <w:rPr>
          <w:sz w:val="20"/>
          <w:szCs w:val="20"/>
          <w:color w:val="auto"/>
        </w:rPr>
      </w:pPr>
    </w:p>
    <w:p>
      <w:pPr>
        <w:ind w:right="100" w:firstLine="1018"/>
        <w:spacing w:after="0" w:line="254" w:lineRule="auto"/>
        <w:rPr>
          <w:sz w:val="20"/>
          <w:szCs w:val="20"/>
          <w:color w:val="auto"/>
        </w:rPr>
      </w:pPr>
      <w:r>
        <w:rPr>
          <w:rFonts w:ascii="Times New Roman" w:cs="Times New Roman" w:eastAsia="Times New Roman" w:hAnsi="Times New Roman"/>
          <w:sz w:val="17"/>
          <w:szCs w:val="17"/>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RT-101 in Australia, and have completed preclinical studies of other product candidates. We plan to initiate Phase 1 clinical trials of certain of these product candidates in 2022 and in 2023. We initiated a Phase 1 clinical trial of RT-102 in Australia in March 2022.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77"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62" w:lineRule="exact"/>
        <w:rPr>
          <w:sz w:val="20"/>
          <w:szCs w:val="20"/>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outcomes from the continued development of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or serious adverse events in preclinical studies or clinical trials of our product candidates;</w:t>
      </w:r>
    </w:p>
    <w:p>
      <w:pPr>
        <w:spacing w:after="0" w:line="211" w:lineRule="exact"/>
        <w:rPr>
          <w:rFonts w:ascii="Times New Roman" w:cs="Times New Roman" w:eastAsia="Times New Roman" w:hAnsi="Times New Roman"/>
          <w:sz w:val="18"/>
          <w:szCs w:val="18"/>
          <w:color w:val="auto"/>
        </w:rPr>
      </w:pPr>
    </w:p>
    <w:p>
      <w:pPr>
        <w:ind w:left="1400" w:right="120" w:hanging="374"/>
        <w:spacing w:after="0" w:line="266"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62" w:lineRule="exact"/>
        <w:rPr>
          <w:rFonts w:ascii="Times New Roman" w:cs="Times New Roman" w:eastAsia="Times New Roman" w:hAnsi="Times New Roman"/>
          <w:sz w:val="18"/>
          <w:szCs w:val="18"/>
          <w:color w:val="auto"/>
        </w:rPr>
      </w:pPr>
    </w:p>
    <w:p>
      <w:pPr>
        <w:ind w:left="1400" w:right="1020" w:hanging="374"/>
        <w:spacing w:after="0" w:line="266"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as well as the timeliness of obtaining, additional funding to develop, and potentially manufacture and commercialize our product candidates;</w:t>
      </w:r>
    </w:p>
    <w:p>
      <w:pPr>
        <w:spacing w:after="0" w:line="162" w:lineRule="exact"/>
        <w:rPr>
          <w:rFonts w:ascii="Times New Roman" w:cs="Times New Roman" w:eastAsia="Times New Roman" w:hAnsi="Times New Roman"/>
          <w:sz w:val="18"/>
          <w:szCs w:val="18"/>
          <w:color w:val="auto"/>
        </w:rPr>
      </w:pPr>
    </w:p>
    <w:p>
      <w:pPr>
        <w:ind w:left="1400" w:right="340" w:hanging="374"/>
        <w:spacing w:after="0" w:line="266"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to our specifications and in a timely manner to support our preclinical studies and clinical trials, and, if approved, commercialization;</w:t>
      </w:r>
    </w:p>
    <w:p>
      <w:pPr>
        <w:spacing w:after="0" w:line="162" w:lineRule="exact"/>
        <w:rPr>
          <w:rFonts w:ascii="Times New Roman" w:cs="Times New Roman" w:eastAsia="Times New Roman" w:hAnsi="Times New Roman"/>
          <w:sz w:val="18"/>
          <w:szCs w:val="18"/>
          <w:color w:val="auto"/>
        </w:rPr>
      </w:pPr>
    </w:p>
    <w:p>
      <w:pPr>
        <w:ind w:left="1400" w:right="460" w:hanging="374"/>
        <w:spacing w:after="0" w:line="266"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62" w:lineRule="exact"/>
        <w:rPr>
          <w:rFonts w:ascii="Times New Roman" w:cs="Times New Roman" w:eastAsia="Times New Roman" w:hAnsi="Times New Roman"/>
          <w:sz w:val="18"/>
          <w:szCs w:val="18"/>
          <w:color w:val="auto"/>
        </w:rPr>
      </w:pPr>
    </w:p>
    <w:p>
      <w:pPr>
        <w:ind w:left="1400" w:right="40" w:hanging="374"/>
        <w:spacing w:after="0" w:line="266"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directed against the same biologic target or therapeutic indications of our product candidates as well as new products that may receive marketing approval;</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review and approval of our product candidates;</w:t>
      </w:r>
    </w:p>
    <w:p>
      <w:pPr>
        <w:spacing w:after="0" w:line="211" w:lineRule="exact"/>
        <w:rPr>
          <w:rFonts w:ascii="Times New Roman" w:cs="Times New Roman" w:eastAsia="Times New Roman" w:hAnsi="Times New Roman"/>
          <w:sz w:val="18"/>
          <w:szCs w:val="18"/>
          <w:color w:val="auto"/>
        </w:rPr>
      </w:pPr>
    </w:p>
    <w:p>
      <w:pPr>
        <w:ind w:left="1400" w:right="140" w:hanging="374"/>
        <w:spacing w:after="0" w:line="266"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 that receive regulatory approval, if any, including perception of the safety and efficacy of the oral delivery of biologics;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commercial reach by selectively entering into strategic partnerships on favorable terms or at all;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 effective sales and marketing infrastructure directly or through collaborations with third parties;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or healthcare providers to obtain coverage or sufficient reimbursement for our products;</w:t>
      </w:r>
    </w:p>
    <w:p>
      <w:pPr>
        <w:spacing w:after="0" w:line="211" w:lineRule="exact"/>
        <w:rPr>
          <w:rFonts w:ascii="Times New Roman" w:cs="Times New Roman" w:eastAsia="Times New Roman" w:hAnsi="Times New Roman"/>
          <w:sz w:val="18"/>
          <w:szCs w:val="18"/>
          <w:color w:val="auto"/>
        </w:rPr>
      </w:pPr>
    </w:p>
    <w:p>
      <w:pPr>
        <w:ind w:left="1400" w:hanging="374"/>
        <w:spacing w:after="0" w:line="266"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in accordance with cGMP, for the conduct of preclinical studies and clinical trials and, if approved, for successful commercialization;</w:t>
      </w:r>
    </w:p>
    <w:p>
      <w:pPr>
        <w:spacing w:after="0" w:line="162" w:lineRule="exact"/>
        <w:rPr>
          <w:rFonts w:ascii="Times New Roman" w:cs="Times New Roman" w:eastAsia="Times New Roman" w:hAnsi="Times New Roman"/>
          <w:sz w:val="18"/>
          <w:szCs w:val="18"/>
          <w:color w:val="auto"/>
        </w:rPr>
      </w:pPr>
    </w:p>
    <w:p>
      <w:pPr>
        <w:ind w:left="1400" w:right="60" w:hanging="374"/>
        <w:spacing w:after="0" w:line="250" w:lineRule="auto"/>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infrastructure and adequately manage our future growth;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34" w:name="page35"/>
    <w:bookmarkEnd w:id="34"/>
    <w:p>
      <w:pPr>
        <w:ind w:left="1400" w:hanging="374"/>
        <w:spacing w:after="0"/>
        <w:tabs>
          <w:tab w:leader="none" w:pos="1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with appropriate expertise and experience to manage our business effectively.</w:t>
      </w:r>
    </w:p>
    <w:p>
      <w:pPr>
        <w:spacing w:after="0" w:line="212" w:lineRule="exact"/>
        <w:rPr>
          <w:sz w:val="20"/>
          <w:szCs w:val="20"/>
          <w:color w:val="auto"/>
        </w:rPr>
      </w:pPr>
    </w:p>
    <w:p>
      <w:pPr>
        <w:ind w:right="180" w:firstLine="1018"/>
        <w:spacing w:after="0" w:line="250" w:lineRule="auto"/>
        <w:rPr>
          <w:sz w:val="20"/>
          <w:szCs w:val="20"/>
          <w:color w:val="auto"/>
        </w:rPr>
      </w:pPr>
      <w:r>
        <w:rPr>
          <w:rFonts w:ascii="Times New Roman" w:cs="Times New Roman" w:eastAsia="Times New Roman" w:hAnsi="Times New Roman"/>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73"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raise additional capital when needed on acceptable terms, we may be forced to delay, limit, reduce or terminate our product development programs, commercialization efforts or other operations.</w:t>
      </w:r>
    </w:p>
    <w:p>
      <w:pPr>
        <w:spacing w:after="0" w:line="158"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We conducted a Phase 1 clinical trial of RT-101 in healthy volunteers, initiated a Phase 1 clinical trial of RT-102 in March 2022, conducted or are in the process of conducting preclinical studies of other product candidates, and are preparing to conduct Phase 1 clinical trials of certain of these product candidates in 2022 and 2023. In addition, we are developing the RaniPill HC and intend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6"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Based on our current operating plan,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our IPO, will not be sufficient to enable us to initiate any pivotal clinical trials. Accordingly, we expect that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funding requirements and the timing of our need for additional capital are subject to change based on a number of factors, including:</w:t>
      </w:r>
    </w:p>
    <w:p>
      <w:pPr>
        <w:spacing w:after="0" w:line="212" w:lineRule="exact"/>
        <w:rPr>
          <w:sz w:val="20"/>
          <w:szCs w:val="20"/>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preclinical studies and clinical trials;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research pipeline;</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costs of development of the RaniPill HC device and other improvements or advancements to our delivery technologies;</w:t>
      </w:r>
    </w:p>
    <w:p>
      <w:pPr>
        <w:spacing w:after="0" w:line="211" w:lineRule="exact"/>
        <w:rPr>
          <w:rFonts w:ascii="Times New Roman" w:cs="Times New Roman" w:eastAsia="Times New Roman" w:hAnsi="Times New Roman"/>
          <w:sz w:val="18"/>
          <w:szCs w:val="18"/>
          <w:color w:val="auto"/>
        </w:rPr>
      </w:pPr>
    </w:p>
    <w:p>
      <w:pPr>
        <w:ind w:left="1400" w:right="80" w:hanging="374"/>
        <w:spacing w:after="0" w:line="266"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our product candidates;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the RaniPill capsule;</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211" w:lineRule="exact"/>
        <w:rPr>
          <w:rFonts w:ascii="Times New Roman" w:cs="Times New Roman" w:eastAsia="Times New Roman" w:hAnsi="Times New Roman"/>
          <w:sz w:val="18"/>
          <w:szCs w:val="18"/>
          <w:color w:val="auto"/>
        </w:rPr>
      </w:pPr>
    </w:p>
    <w:p>
      <w:pPr>
        <w:ind w:left="1400" w:right="220" w:hanging="374"/>
        <w:spacing w:after="0" w:line="266" w:lineRule="auto"/>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including establishing commercial supplies and sales, marketing, and distribution capabilities;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commercial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left="1400" w:hanging="37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211" w:lineRule="exact"/>
        <w:rPr>
          <w:rFonts w:ascii="Times New Roman" w:cs="Times New Roman" w:eastAsia="Times New Roman" w:hAnsi="Times New Roman"/>
          <w:sz w:val="18"/>
          <w:szCs w:val="18"/>
          <w:color w:val="auto"/>
        </w:rPr>
      </w:pPr>
    </w:p>
    <w:p>
      <w:pPr>
        <w:ind w:left="1400" w:right="440" w:hanging="374"/>
        <w:spacing w:after="0" w:line="250" w:lineRule="auto"/>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engineering personnel;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drugs and product candidates and other market developments;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 if approved;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data losses or other disruptions affecting our information systems;</w:t>
      </w:r>
    </w:p>
    <w:p>
      <w:pPr>
        <w:spacing w:after="0" w:line="211" w:lineRule="exact"/>
        <w:rPr>
          <w:rFonts w:ascii="Times New Roman" w:cs="Times New Roman" w:eastAsia="Times New Roman" w:hAnsi="Times New Roman"/>
          <w:sz w:val="18"/>
          <w:szCs w:val="18"/>
          <w:color w:val="auto"/>
        </w:rPr>
      </w:pPr>
    </w:p>
    <w:p>
      <w:pPr>
        <w:ind w:left="1400" w:right="220" w:hanging="374"/>
        <w:spacing w:after="0" w:line="266" w:lineRule="auto"/>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162" w:lineRule="exact"/>
        <w:rPr>
          <w:rFonts w:ascii="Times New Roman" w:cs="Times New Roman" w:eastAsia="Times New Roman" w:hAnsi="Times New Roman"/>
          <w:sz w:val="18"/>
          <w:szCs w:val="18"/>
          <w:color w:val="auto"/>
        </w:rPr>
      </w:pPr>
    </w:p>
    <w:p>
      <w:pPr>
        <w:ind w:left="1400" w:right="280" w:hanging="374"/>
        <w:spacing w:after="0" w:line="266" w:lineRule="auto"/>
        <w:tabs>
          <w:tab w:leader="none" w:pos="1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disruptions to and volatility in the credit and financial markets in the United States and worldwide from the COVID-19 pandemic, the conflict between Ukraine and Russia or other such disruptions.</w:t>
      </w:r>
    </w:p>
    <w:p>
      <w:pPr>
        <w:spacing w:after="0" w:line="162"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Additional funding may not be available to us on acceptable terms, or at all. As a result of the COVID-19 pandemic and actions taken to slow its spread as well as the conflict between Ukraine and Russia, the global credit and financial markets have experienced volatility and disruptions. If we are unable to obtain additional funding from equity offerings or debt financings, including on a timely basis, we may be required to:</w:t>
      </w:r>
    </w:p>
    <w:p>
      <w:pPr>
        <w:spacing w:after="0" w:line="177" w:lineRule="exact"/>
        <w:rPr>
          <w:sz w:val="20"/>
          <w:szCs w:val="20"/>
          <w:color w:val="auto"/>
        </w:rPr>
      </w:pPr>
    </w:p>
    <w:p>
      <w:pPr>
        <w:ind w:left="1400" w:right="240" w:hanging="374"/>
        <w:spacing w:after="0" w:line="266" w:lineRule="auto"/>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collaborators for one or more of our product candidates at an earlier stage than otherwise would be desirable or on terms that are less favorable than might otherwise be available;</w:t>
      </w:r>
    </w:p>
    <w:p>
      <w:pPr>
        <w:spacing w:after="0" w:line="162" w:lineRule="exact"/>
        <w:rPr>
          <w:rFonts w:ascii="Times New Roman" w:cs="Times New Roman" w:eastAsia="Times New Roman" w:hAnsi="Times New Roman"/>
          <w:sz w:val="18"/>
          <w:szCs w:val="18"/>
          <w:color w:val="auto"/>
        </w:rPr>
      </w:pPr>
    </w:p>
    <w:p>
      <w:pPr>
        <w:ind w:left="1400" w:right="160" w:hanging="374"/>
        <w:spacing w:after="0" w:line="266" w:lineRule="auto"/>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product candidates that we otherwise would seek to develop or commercialize ourselves; or</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curtail one or more of our research or development programs or cease operations altogether.</w:t>
      </w:r>
    </w:p>
    <w:p>
      <w:pPr>
        <w:spacing w:after="0" w:line="212" w:lineRule="exact"/>
        <w:rPr>
          <w:sz w:val="20"/>
          <w:szCs w:val="20"/>
          <w:color w:val="auto"/>
        </w:rPr>
      </w:pPr>
    </w:p>
    <w:p>
      <w:pPr>
        <w:ind w:right="200" w:firstLine="1018"/>
        <w:spacing w:after="0" w:line="245" w:lineRule="auto"/>
        <w:rPr>
          <w:sz w:val="20"/>
          <w:szCs w:val="20"/>
          <w:color w:val="auto"/>
        </w:rPr>
      </w:pPr>
      <w:r>
        <w:rPr>
          <w:rFonts w:ascii="Times New Roman" w:cs="Times New Roman" w:eastAsia="Times New Roman" w:hAnsi="Times New Roman"/>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1"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73"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58"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current stockholders’ interest will be diluted, and the terms may include liquidation or other preferences that adversely affect the rights of existing stockholders.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ind w:right="260"/>
        <w:spacing w:after="0" w:line="250" w:lineRule="auto"/>
        <w:rPr>
          <w:sz w:val="20"/>
          <w:szCs w:val="20"/>
          <w:color w:val="auto"/>
        </w:rPr>
      </w:pPr>
      <w:r>
        <w:rPr>
          <w:rFonts w:ascii="Times New Roman" w:cs="Times New Roman" w:eastAsia="Times New Roman" w:hAnsi="Times New Roman"/>
          <w:sz w:val="18"/>
          <w:szCs w:val="18"/>
          <w:color w:val="auto"/>
        </w:rPr>
        <w:t>we may be required to accept unfavorable terms, including relinquishing or licensing to a third party on unfavorable terms our rights to the RaniPill capsule, the RaniPill HC or our product candidates that we otherwise would seek to develop or commercialize ourselves or potentially reserve for future potential arrangements when we might be able to achieve more favorable terms.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212"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have only two product candidates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76"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We are in the early stages of our development efforts and have only two product candidates, RT-101 and RT-102, in early clinical development. We intend to evaluate the safety of the RaniPill capsule, independent of any biologic, through a clinical trial conducted under an IDE. Any delays or setback in the clinical testing of the RaniPill capsule independent of any biologic, could delay or prevent the clinical testing of any of our current or future product candidates. We completed a Phase 1 clinical trial of RT-101 in Australia to evaluate safety as a primary endpoint and bioavailability as a secondary endpoint. In March 2022, we initiated a Phase 1 clinical trial of RT-102 in Australia to compare pharmacokinetics of PTH administered via RaniPill capsule to PTH administered via subcutaneous injection. Our other product candidates are still in the formulation and preclinical stages. We intend to initiate Phase 1 clinical trials for certain of these product candidates in 2022 and in 2023. We will need to progress these product candidates through IND-enabling studies and submit INDs to the FDA or equivalent regulatory filings to foreign regulatory authorities prior to initiating their clinical development. None of our product candidates have advanced into a pivotal study.</w:t>
      </w:r>
    </w:p>
    <w:p>
      <w:pPr>
        <w:spacing w:after="0" w:line="191"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77" w:lineRule="exact"/>
        <w:rPr>
          <w:sz w:val="20"/>
          <w:szCs w:val="20"/>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clinical trials and completion of preclinical studies and clinical trials with favorable results;</w:t>
      </w:r>
    </w:p>
    <w:p>
      <w:pPr>
        <w:spacing w:after="0" w:line="211" w:lineRule="exact"/>
        <w:rPr>
          <w:rFonts w:ascii="Times New Roman" w:cs="Times New Roman" w:eastAsia="Times New Roman" w:hAnsi="Times New Roman"/>
          <w:sz w:val="18"/>
          <w:szCs w:val="18"/>
          <w:color w:val="auto"/>
        </w:rPr>
      </w:pPr>
    </w:p>
    <w:p>
      <w:pPr>
        <w:ind w:left="1400" w:right="320" w:hanging="374"/>
        <w:spacing w:after="0" w:line="266" w:lineRule="auto"/>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 to the satisfaction of applicable regulatory authorities;</w:t>
      </w:r>
    </w:p>
    <w:p>
      <w:pPr>
        <w:spacing w:after="0" w:line="211" w:lineRule="exact"/>
        <w:rPr>
          <w:rFonts w:ascii="Times New Roman" w:cs="Times New Roman" w:eastAsia="Times New Roman" w:hAnsi="Times New Roman"/>
          <w:sz w:val="18"/>
          <w:szCs w:val="18"/>
          <w:color w:val="auto"/>
        </w:rPr>
      </w:pPr>
    </w:p>
    <w:p>
      <w:pPr>
        <w:ind w:left="1400" w:right="160" w:hanging="374"/>
        <w:spacing w:after="0" w:line="266" w:lineRule="auto"/>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 including BLAs or NDAs, from the FDA, and maintaining such approvals;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automation of our manufacturing machinery and procedures;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multiple suppliers for our critical manufacturing materials;</w:t>
      </w:r>
    </w:p>
    <w:p>
      <w:pPr>
        <w:spacing w:after="0" w:line="211" w:lineRule="exact"/>
        <w:rPr>
          <w:rFonts w:ascii="Times New Roman" w:cs="Times New Roman" w:eastAsia="Times New Roman" w:hAnsi="Times New Roman"/>
          <w:sz w:val="18"/>
          <w:szCs w:val="18"/>
          <w:color w:val="auto"/>
        </w:rPr>
      </w:pPr>
    </w:p>
    <w:p>
      <w:pPr>
        <w:ind w:left="1400" w:right="520" w:hanging="374"/>
        <w:spacing w:after="0" w:line="266" w:lineRule="auto"/>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patent and trade secret protection or regulatory exclusivity for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and shelf life of our products following approval;</w:t>
      </w:r>
    </w:p>
    <w:p>
      <w:pPr>
        <w:spacing w:after="0" w:line="211" w:lineRule="exact"/>
        <w:rPr>
          <w:rFonts w:ascii="Times New Roman" w:cs="Times New Roman" w:eastAsia="Times New Roman" w:hAnsi="Times New Roman"/>
          <w:sz w:val="18"/>
          <w:szCs w:val="18"/>
          <w:color w:val="auto"/>
        </w:rPr>
      </w:pPr>
    </w:p>
    <w:p>
      <w:pPr>
        <w:ind w:left="1400" w:right="400" w:hanging="374"/>
        <w:spacing w:after="0" w:line="266" w:lineRule="auto"/>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our products and technology.</w:t>
      </w:r>
    </w:p>
    <w:p>
      <w:pPr>
        <w:spacing w:after="0" w:line="21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7" w:name="page38"/>
    <w:bookmarkEnd w:id="37"/>
    <w:p>
      <w:pPr>
        <w:ind w:right="120"/>
        <w:spacing w:after="0" w:line="250" w:lineRule="auto"/>
        <w:rPr>
          <w:sz w:val="20"/>
          <w:szCs w:val="20"/>
          <w:color w:val="auto"/>
        </w:rPr>
      </w:pPr>
      <w:r>
        <w:rPr>
          <w:rFonts w:ascii="Times New Roman" w:cs="Times New Roman" w:eastAsia="Times New Roman" w:hAnsi="Times New Roman"/>
          <w:sz w:val="18"/>
          <w:szCs w:val="18"/>
          <w:color w:val="auto"/>
        </w:rPr>
        <w:t>other regulatory 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7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58"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212" w:lineRule="exact"/>
        <w:rPr>
          <w:sz w:val="20"/>
          <w:szCs w:val="20"/>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211" w:lineRule="exact"/>
        <w:rPr>
          <w:rFonts w:ascii="Times New Roman" w:cs="Times New Roman" w:eastAsia="Times New Roman" w:hAnsi="Times New Roman"/>
          <w:sz w:val="18"/>
          <w:szCs w:val="18"/>
          <w:color w:val="auto"/>
        </w:rPr>
      </w:pPr>
    </w:p>
    <w:p>
      <w:pPr>
        <w:ind w:left="1400" w:right="80" w:hanging="374"/>
        <w:spacing w:after="0" w:line="266"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162"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fail to achieve the level of statistical significance required by the FDA or comparable foreign regulatory authorities for approval;</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11" w:lineRule="exact"/>
        <w:rPr>
          <w:rFonts w:ascii="Times New Roman" w:cs="Times New Roman" w:eastAsia="Times New Roman" w:hAnsi="Times New Roman"/>
          <w:sz w:val="18"/>
          <w:szCs w:val="18"/>
          <w:color w:val="auto"/>
        </w:rPr>
      </w:pPr>
    </w:p>
    <w:p>
      <w:pPr>
        <w:ind w:left="1400" w:right="280" w:hanging="374"/>
        <w:spacing w:after="0" w:line="266"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submitted in support of regulatory approval;</w:t>
      </w:r>
    </w:p>
    <w:p>
      <w:pPr>
        <w:spacing w:after="0" w:line="162" w:lineRule="exact"/>
        <w:rPr>
          <w:rFonts w:ascii="Times New Roman" w:cs="Times New Roman" w:eastAsia="Times New Roman" w:hAnsi="Times New Roman"/>
          <w:sz w:val="18"/>
          <w:szCs w:val="18"/>
          <w:color w:val="auto"/>
        </w:rPr>
      </w:pPr>
    </w:p>
    <w:p>
      <w:pPr>
        <w:ind w:left="1400" w:right="20" w:hanging="374"/>
        <w:spacing w:after="0" w:line="266"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62" w:lineRule="exact"/>
        <w:rPr>
          <w:rFonts w:ascii="Times New Roman" w:cs="Times New Roman" w:eastAsia="Times New Roman" w:hAnsi="Times New Roman"/>
          <w:sz w:val="18"/>
          <w:szCs w:val="18"/>
          <w:color w:val="auto"/>
        </w:rPr>
      </w:pPr>
    </w:p>
    <w:p>
      <w:pPr>
        <w:ind w:left="1400" w:right="240" w:hanging="374"/>
        <w:spacing w:after="0" w:line="266"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62" w:lineRule="exact"/>
        <w:rPr>
          <w:rFonts w:ascii="Times New Roman" w:cs="Times New Roman" w:eastAsia="Times New Roman" w:hAnsi="Times New Roman"/>
          <w:sz w:val="18"/>
          <w:szCs w:val="18"/>
          <w:color w:val="auto"/>
        </w:rPr>
      </w:pPr>
    </w:p>
    <w:p>
      <w:pPr>
        <w:ind w:left="1400" w:right="420" w:hanging="374"/>
        <w:spacing w:after="0" w:line="266"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62" w:lineRule="exact"/>
        <w:rPr>
          <w:sz w:val="20"/>
          <w:szCs w:val="20"/>
          <w:color w:val="auto"/>
        </w:rPr>
      </w:pPr>
    </w:p>
    <w:p>
      <w:pPr>
        <w:ind w:right="220" w:firstLine="1018"/>
        <w:spacing w:after="0" w:line="250" w:lineRule="auto"/>
        <w:rPr>
          <w:sz w:val="20"/>
          <w:szCs w:val="20"/>
          <w:color w:val="auto"/>
        </w:rPr>
      </w:pPr>
      <w:r>
        <w:rPr>
          <w:rFonts w:ascii="Times New Roman" w:cs="Times New Roman" w:eastAsia="Times New Roman" w:hAnsi="Times New Roman"/>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77"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 w:name="page39"/>
    <w:bookmarkEnd w:id="38"/>
    <w:p>
      <w:pPr>
        <w:jc w:val="both"/>
        <w:ind w:right="160" w:firstLine="1018"/>
        <w:spacing w:after="0" w:line="272" w:lineRule="auto"/>
        <w:rPr>
          <w:sz w:val="20"/>
          <w:szCs w:val="20"/>
          <w:color w:val="auto"/>
        </w:rPr>
      </w:pPr>
      <w:r>
        <w:rPr>
          <w:rFonts w:ascii="Times New Roman" w:cs="Times New Roman" w:eastAsia="Times New Roman" w:hAnsi="Times New Roman"/>
          <w:sz w:val="17"/>
          <w:szCs w:val="17"/>
          <w:color w:val="auto"/>
        </w:rPr>
        <w:t>We have not previously submitted a BLA, or a marketing authorization application,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5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w:t>
      </w:r>
    </w:p>
    <w:p>
      <w:pPr>
        <w:spacing w:after="0" w:line="158" w:lineRule="exact"/>
        <w:rPr>
          <w:sz w:val="20"/>
          <w:szCs w:val="20"/>
          <w:color w:val="auto"/>
        </w:rPr>
      </w:pPr>
    </w:p>
    <w:p>
      <w:pPr>
        <w:ind w:right="100" w:firstLine="1018"/>
        <w:spacing w:after="0" w:line="238"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w:t>
      </w:r>
    </w:p>
    <w:p>
      <w:pPr>
        <w:spacing w:after="0" w:line="388"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 We are currently conducting a Phase 1 clinical trial of RT-102. The outcome of that study is uncertain.</w:t>
      </w:r>
    </w:p>
    <w:p>
      <w:pPr>
        <w:spacing w:after="0" w:line="185"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85"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62" w:lineRule="exact"/>
        <w:rPr>
          <w:sz w:val="20"/>
          <w:szCs w:val="20"/>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approvals to commence a clinical trial;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or negligence on the part of consultants or contractors;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or Ethics Committee approval at each site;</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the clinical trial’s protocol or dropping out of a clinical trial;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our ongoing and planned preclinical studies and clinical trials;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 or</w:t>
      </w:r>
    </w:p>
    <w:p>
      <w:pPr>
        <w:spacing w:after="0" w:line="211" w:lineRule="exact"/>
        <w:rPr>
          <w:rFonts w:ascii="Times New Roman" w:cs="Times New Roman" w:eastAsia="Times New Roman" w:hAnsi="Times New Roman"/>
          <w:sz w:val="18"/>
          <w:szCs w:val="18"/>
          <w:color w:val="auto"/>
        </w:rPr>
      </w:pPr>
    </w:p>
    <w:p>
      <w:pPr>
        <w:ind w:left="1400" w:right="780" w:hanging="374"/>
        <w:spacing w:after="0" w:line="266" w:lineRule="auto"/>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our preclinical studies and clinical trials, including product candidates manufactured in accordance with our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9" w:name="page40"/>
    <w:bookmarkEnd w:id="39"/>
    <w:p>
      <w:pPr>
        <w:ind w:firstLine="1018"/>
        <w:spacing w:after="0" w:line="237" w:lineRule="auto"/>
        <w:rPr>
          <w:sz w:val="20"/>
          <w:szCs w:val="20"/>
          <w:color w:val="auto"/>
        </w:rPr>
      </w:pPr>
      <w:r>
        <w:rPr>
          <w:rFonts w:ascii="Times New Roman" w:cs="Times New Roman" w:eastAsia="Times New Roman" w:hAnsi="Times New Roman"/>
          <w:sz w:val="18"/>
          <w:szCs w:val="18"/>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91" w:lineRule="exact"/>
        <w:rPr>
          <w:sz w:val="20"/>
          <w:szCs w:val="20"/>
          <w:color w:val="auto"/>
        </w:rPr>
      </w:pPr>
    </w:p>
    <w:p>
      <w:pPr>
        <w:ind w:right="260" w:firstLine="1018"/>
        <w:spacing w:after="0" w:line="242" w:lineRule="auto"/>
        <w:rPr>
          <w:sz w:val="20"/>
          <w:szCs w:val="20"/>
          <w:color w:val="auto"/>
        </w:rPr>
      </w:pPr>
      <w:r>
        <w:rPr>
          <w:rFonts w:ascii="Times New Roman" w:cs="Times New Roman" w:eastAsia="Times New Roman" w:hAnsi="Times New Roman"/>
          <w:sz w:val="18"/>
          <w:szCs w:val="18"/>
          <w:color w:val="auto"/>
        </w:rPr>
        <w:t>In addition, data obtained from trials and studies are susceptible to varying interpretations, and regulators may not interpret our data as favorably as we do, which may delay, limit or prevent regulatory approval. Further, if patients drop out of our clinical trials, miss scheduled doses or follow-up visits, or otherwise fail to follow clinical trial protocols, whether as a result of the COVID-19 pandemic, actions taken to slow the spread of COVID-19 or otherwise, the integrity of data from our clinical trials may be compromised or not accepted by the FDA or comparable foreign regulatory authorities, which would represent a significant setback for the applicable program.</w:t>
      </w:r>
    </w:p>
    <w:p>
      <w:pPr>
        <w:spacing w:after="0" w:line="185" w:lineRule="exact"/>
        <w:rPr>
          <w:sz w:val="20"/>
          <w:szCs w:val="20"/>
          <w:color w:val="auto"/>
        </w:rPr>
      </w:pPr>
    </w:p>
    <w:p>
      <w:pPr>
        <w:ind w:right="540" w:firstLine="1018"/>
        <w:spacing w:after="0" w:line="250" w:lineRule="auto"/>
        <w:rPr>
          <w:sz w:val="20"/>
          <w:szCs w:val="20"/>
          <w:color w:val="auto"/>
        </w:rPr>
      </w:pPr>
      <w:r>
        <w:rPr>
          <w:rFonts w:ascii="Times New Roman" w:cs="Times New Roman" w:eastAsia="Times New Roman" w:hAnsi="Times New Roman"/>
          <w:sz w:val="18"/>
          <w:szCs w:val="18"/>
          <w:color w:val="auto"/>
        </w:rPr>
        <w:t>For the foregoing reasons, our ongoing and planned preclinical studies and clinical trials may not be successful. Any safety concerns observed in any one of our clinical trials in our targeted or contemplated biologic indications could limit the prospects for regulatory approval of our product candidates in those and other indications, which could have an adverse effect on our business, financial condition and results of operations.</w:t>
      </w:r>
    </w:p>
    <w:p>
      <w:pPr>
        <w:spacing w:after="0" w:line="173"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58" w:lineRule="exact"/>
        <w:rPr>
          <w:sz w:val="20"/>
          <w:szCs w:val="20"/>
          <w:color w:val="auto"/>
        </w:rPr>
      </w:pPr>
    </w:p>
    <w:p>
      <w:pPr>
        <w:ind w:right="60" w:firstLine="1018"/>
        <w:spacing w:after="0" w:line="239"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two product candidates, RT-101 and RT-102, in early clinical development. We completed a Phase 1 clinical trial of RT-101 to evaluate safety as a primary endpoint and bioavailability as a secondary endpoint. In March 2022, we initiated a Phase 1 clinical trial of RT-102 in Australia to compare pharmacokinetics of PTH administered via RaniPill capsule to PTH administered via subcutaneous injection. Our other product candidates are still in the formulation or preclinical stages. We intend to initiate Phase 1 clinical trials for certain of these product candidates in 2022 and in 2023.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87" w:lineRule="exact"/>
        <w:rPr>
          <w:sz w:val="20"/>
          <w:szCs w:val="20"/>
          <w:color w:val="auto"/>
        </w:rPr>
      </w:pPr>
    </w:p>
    <w:p>
      <w:pPr>
        <w:ind w:right="600" w:firstLine="1018"/>
        <w:spacing w:after="0" w:line="266" w:lineRule="auto"/>
        <w:rPr>
          <w:sz w:val="20"/>
          <w:szCs w:val="20"/>
          <w:color w:val="auto"/>
        </w:rPr>
      </w:pPr>
      <w:r>
        <w:rPr>
          <w:rFonts w:ascii="Times New Roman" w:cs="Times New Roman" w:eastAsia="Times New Roman" w:hAnsi="Times New Roman"/>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62" w:lineRule="exact"/>
        <w:rPr>
          <w:sz w:val="20"/>
          <w:szCs w:val="20"/>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with the design or implementation of our clinical trials;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211" w:lineRule="exact"/>
        <w:rPr>
          <w:rFonts w:ascii="Times New Roman" w:cs="Times New Roman" w:eastAsia="Times New Roman" w:hAnsi="Times New Roman"/>
          <w:sz w:val="18"/>
          <w:szCs w:val="18"/>
          <w:color w:val="auto"/>
        </w:rPr>
      </w:pPr>
    </w:p>
    <w:p>
      <w:pPr>
        <w:ind w:left="1400" w:right="740" w:hanging="374"/>
        <w:spacing w:after="0" w:line="266"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IRBs;</w:t>
      </w:r>
    </w:p>
    <w:p>
      <w:pPr>
        <w:spacing w:after="0" w:line="211" w:lineRule="exact"/>
        <w:rPr>
          <w:rFonts w:ascii="Times New Roman" w:cs="Times New Roman" w:eastAsia="Times New Roman" w:hAnsi="Times New Roman"/>
          <w:sz w:val="18"/>
          <w:szCs w:val="18"/>
          <w:color w:val="auto"/>
        </w:rPr>
      </w:pPr>
    </w:p>
    <w:p>
      <w:pPr>
        <w:ind w:left="1400" w:right="40" w:hanging="374"/>
        <w:spacing w:after="0" w:line="266" w:lineRule="auto"/>
        <w:tabs>
          <w:tab w:leader="none" w:pos="1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volunteers or withdrawing their approval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0" w:name="page41"/>
    <w:bookmarkEnd w:id="40"/>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11"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a product candidate or obtaining sufficient quantities of other therapies or APIs for use in clinical trials;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volunteers failing to enroll or remain in our trial at the rate we expect, or failing to return for post-treatment follow-up;</w:t>
      </w:r>
    </w:p>
    <w:p>
      <w:pPr>
        <w:spacing w:after="0" w:line="211" w:lineRule="exact"/>
        <w:rPr>
          <w:rFonts w:ascii="Times New Roman" w:cs="Times New Roman" w:eastAsia="Times New Roman" w:hAnsi="Times New Roman"/>
          <w:sz w:val="18"/>
          <w:szCs w:val="18"/>
          <w:color w:val="auto"/>
        </w:rPr>
      </w:pPr>
    </w:p>
    <w:p>
      <w:pPr>
        <w:ind w:left="1400" w:right="180" w:hanging="374"/>
        <w:spacing w:after="0" w:line="266" w:lineRule="auto"/>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volunteers choosing an alternative treatment for the indication for which we are developing our product candidates, or participating in competing clinical trials;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volunteers experiencing severe or unexpected drug-related adverse effects;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of the same class of agents conducted by other companies;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211" w:lineRule="exact"/>
        <w:rPr>
          <w:rFonts w:ascii="Times New Roman" w:cs="Times New Roman" w:eastAsia="Times New Roman" w:hAnsi="Times New Roman"/>
          <w:sz w:val="18"/>
          <w:szCs w:val="18"/>
          <w:color w:val="auto"/>
        </w:rPr>
      </w:pPr>
    </w:p>
    <w:p>
      <w:pPr>
        <w:ind w:left="1400" w:right="60" w:hanging="374"/>
        <w:spacing w:after="0" w:line="250" w:lineRule="auto"/>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or product formulation that may be necessary or desired;</w:t>
      </w:r>
    </w:p>
    <w:p>
      <w:pPr>
        <w:spacing w:after="0" w:line="211" w:lineRule="exact"/>
        <w:rPr>
          <w:rFonts w:ascii="Times New Roman" w:cs="Times New Roman" w:eastAsia="Times New Roman" w:hAnsi="Times New Roman"/>
          <w:sz w:val="18"/>
          <w:szCs w:val="18"/>
          <w:color w:val="auto"/>
        </w:rPr>
      </w:pPr>
    </w:p>
    <w:p>
      <w:pPr>
        <w:ind w:left="1400" w:right="260" w:hanging="374"/>
        <w:spacing w:after="0" w:line="266" w:lineRule="auto"/>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62" w:lineRule="exact"/>
        <w:rPr>
          <w:rFonts w:ascii="Times New Roman" w:cs="Times New Roman" w:eastAsia="Times New Roman" w:hAnsi="Times New Roman"/>
          <w:sz w:val="18"/>
          <w:szCs w:val="18"/>
          <w:color w:val="auto"/>
        </w:rPr>
      </w:pPr>
    </w:p>
    <w:p>
      <w:pPr>
        <w:ind w:left="1400" w:right="120" w:hanging="374"/>
        <w:spacing w:after="0" w:line="266" w:lineRule="auto"/>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211" w:lineRule="exact"/>
        <w:rPr>
          <w:rFonts w:ascii="Times New Roman" w:cs="Times New Roman" w:eastAsia="Times New Roman" w:hAnsi="Times New Roman"/>
          <w:sz w:val="18"/>
          <w:szCs w:val="18"/>
          <w:color w:val="auto"/>
        </w:rPr>
      </w:pPr>
    </w:p>
    <w:p>
      <w:pPr>
        <w:ind w:left="1400" w:right="60" w:hanging="374"/>
        <w:spacing w:after="0" w:line="250" w:lineRule="auto"/>
        <w:tabs>
          <w:tab w:leader="none" w:pos="14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7"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87" w:lineRule="exact"/>
        <w:rPr>
          <w:sz w:val="20"/>
          <w:szCs w:val="20"/>
          <w:color w:val="auto"/>
        </w:rPr>
      </w:pPr>
    </w:p>
    <w:p>
      <w:pPr>
        <w:ind w:right="200" w:firstLine="1018"/>
        <w:spacing w:after="0" w:line="245"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1" w:lineRule="exact"/>
        <w:rPr>
          <w:sz w:val="20"/>
          <w:szCs w:val="20"/>
          <w:color w:val="auto"/>
        </w:rPr>
      </w:pPr>
    </w:p>
    <w:p>
      <w:pPr>
        <w:ind w:right="340" w:firstLine="1018"/>
        <w:spacing w:after="0" w:line="266"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1" w:name="page42"/>
    <w:bookmarkEnd w:id="41"/>
    <w:p>
      <w:pPr>
        <w:ind w:right="80"/>
        <w:spacing w:after="0" w:line="242" w:lineRule="auto"/>
        <w:rPr>
          <w:sz w:val="20"/>
          <w:szCs w:val="20"/>
          <w:color w:val="auto"/>
        </w:rPr>
      </w:pPr>
      <w:r>
        <w:rPr>
          <w:rFonts w:ascii="Times New Roman" w:cs="Times New Roman" w:eastAsia="Times New Roman" w:hAnsi="Times New Roman"/>
          <w:sz w:val="18"/>
          <w:szCs w:val="18"/>
          <w:color w:val="auto"/>
        </w:rPr>
        <w:t>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5"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84" w:lineRule="exact"/>
        <w:rPr>
          <w:sz w:val="20"/>
          <w:szCs w:val="20"/>
          <w:color w:val="auto"/>
        </w:rPr>
      </w:pPr>
    </w:p>
    <w:p>
      <w:pPr>
        <w:ind w:right="160" w:firstLine="1018"/>
        <w:spacing w:after="0" w:line="245"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1" w:lineRule="exact"/>
        <w:rPr>
          <w:sz w:val="20"/>
          <w:szCs w:val="20"/>
          <w:color w:val="auto"/>
        </w:rPr>
      </w:pPr>
    </w:p>
    <w:p>
      <w:pPr>
        <w:ind w:right="140" w:firstLine="1018"/>
        <w:spacing w:after="0" w:line="241"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0"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58"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85"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81"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85" w:lineRule="exact"/>
        <w:rPr>
          <w:sz w:val="20"/>
          <w:szCs w:val="20"/>
          <w:color w:val="auto"/>
        </w:rPr>
      </w:pPr>
    </w:p>
    <w:p>
      <w:pPr>
        <w:ind w:right="60" w:firstLine="1018"/>
        <w:spacing w:after="0"/>
        <w:rPr>
          <w:sz w:val="20"/>
          <w:szCs w:val="20"/>
          <w:color w:val="auto"/>
        </w:rPr>
      </w:pPr>
      <w:r>
        <w:rPr>
          <w:rFonts w:ascii="Times New Roman" w:cs="Times New Roman" w:eastAsia="Times New Roman" w:hAnsi="Times New Roman"/>
          <w:sz w:val="18"/>
          <w:szCs w:val="18"/>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RT-104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even if vaccinated. Further, some patients may not be able or willing to comply with clinical trial protocols if quarantines impede patient movement or interrupt healthcare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2" w:name="page43"/>
    <w:bookmarkEnd w:id="42"/>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76"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84" w:lineRule="exact"/>
        <w:rPr>
          <w:sz w:val="20"/>
          <w:szCs w:val="20"/>
          <w:color w:val="auto"/>
        </w:rPr>
      </w:pPr>
    </w:p>
    <w:p>
      <w:pPr>
        <w:ind w:right="140" w:firstLine="1018"/>
        <w:spacing w:after="0" w:line="250" w:lineRule="auto"/>
        <w:rPr>
          <w:sz w:val="20"/>
          <w:szCs w:val="20"/>
          <w:color w:val="auto"/>
        </w:rPr>
      </w:pPr>
      <w:r>
        <w:rPr>
          <w:rFonts w:ascii="Times New Roman" w:cs="Times New Roman" w:eastAsia="Times New Roman" w:hAnsi="Times New Roman"/>
          <w:sz w:val="18"/>
          <w:szCs w:val="18"/>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77" w:lineRule="exact"/>
        <w:rPr>
          <w:sz w:val="20"/>
          <w:szCs w:val="20"/>
          <w:color w:val="auto"/>
        </w:rPr>
      </w:pPr>
    </w:p>
    <w:p>
      <w:pPr>
        <w:jc w:val="both"/>
        <w:ind w:right="240" w:firstLine="1018"/>
        <w:spacing w:after="0" w:line="250" w:lineRule="auto"/>
        <w:rPr>
          <w:sz w:val="20"/>
          <w:szCs w:val="20"/>
          <w:color w:val="auto"/>
        </w:rPr>
      </w:pPr>
      <w:r>
        <w:rPr>
          <w:rFonts w:ascii="Times New Roman" w:cs="Times New Roman" w:eastAsia="Times New Roman" w:hAnsi="Times New Roman"/>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77"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77"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w:t>
      </w:r>
    </w:p>
    <w:p>
      <w:pPr>
        <w:spacing w:after="0" w:line="181" w:lineRule="exact"/>
        <w:rPr>
          <w:sz w:val="20"/>
          <w:szCs w:val="20"/>
          <w:color w:val="auto"/>
        </w:rPr>
      </w:pPr>
    </w:p>
    <w:p>
      <w:pPr>
        <w:ind w:right="280" w:firstLine="1018"/>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2" w:lineRule="exact"/>
        <w:rPr>
          <w:sz w:val="20"/>
          <w:szCs w:val="20"/>
          <w:color w:val="auto"/>
        </w:rPr>
      </w:pPr>
    </w:p>
    <w:p>
      <w:pPr>
        <w:ind w:right="220" w:firstLine="1018"/>
        <w:spacing w:after="0" w:line="25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which could significantly harm our business and prospects. Also, any undesirable side effects caused by or safety concerns related to our delivery device apart from a drug or biologic could delay, limit or prevent us from developing and commercializing any product candidates.</w:t>
      </w:r>
    </w:p>
    <w:p>
      <w:pPr>
        <w:spacing w:after="0" w:line="17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completed only one Phase 1 clinical trial, have not submitted an IND to the FDA and we have never conducted later-stage clinical trials or submitted a BLA, and may be unable to do so for any of our product candidates.</w:t>
      </w:r>
    </w:p>
    <w:p>
      <w:pPr>
        <w:spacing w:after="0" w:line="158"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We are early in our development efforts for our product candidates, and we will need to successfully 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completed a Phase 1 clinical trial for RT-101 conducted in Australia, initiated a Phase 1 clinical trial for RT-102 in Australia in March 2022, and have not yet conducted any clinical trials for our other product candidates. We have not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43" w:name="page44"/>
    <w:bookmarkEnd w:id="43"/>
    <w:p>
      <w:pPr>
        <w:spacing w:after="0" w:line="237" w:lineRule="auto"/>
        <w:rPr>
          <w:sz w:val="20"/>
          <w:szCs w:val="20"/>
          <w:color w:val="auto"/>
        </w:rPr>
      </w:pPr>
      <w:r>
        <w:rPr>
          <w:rFonts w:ascii="Times New Roman" w:cs="Times New Roman" w:eastAsia="Times New Roman" w:hAnsi="Times New Roman"/>
          <w:sz w:val="18"/>
          <w:szCs w:val="18"/>
          <w:color w:val="auto"/>
        </w:rPr>
        <w:t>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including the ongoing clinical trial involving RT-102. This may be a difficult process to manage with our limited resources and may divert the attention of management. In addition, we have had limited interactions with the FDA, through the pre-submission process with the Center for Devices and Radiological Health, and we have never filed an IDE or IND.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18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58" w:lineRule="exact"/>
        <w:rPr>
          <w:sz w:val="20"/>
          <w:szCs w:val="20"/>
          <w:color w:val="auto"/>
        </w:rPr>
      </w:pPr>
    </w:p>
    <w:p>
      <w:pPr>
        <w:ind w:right="80" w:firstLine="1018"/>
        <w:spacing w:after="0" w:line="238"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91"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212" w:lineRule="exact"/>
        <w:rPr>
          <w:sz w:val="20"/>
          <w:szCs w:val="20"/>
          <w:color w:val="auto"/>
        </w:rPr>
      </w:pPr>
    </w:p>
    <w:p>
      <w:pPr>
        <w:ind w:left="1400" w:hanging="374"/>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clinical trials;</w:t>
      </w:r>
    </w:p>
    <w:p>
      <w:pPr>
        <w:spacing w:after="0" w:line="211" w:lineRule="exact"/>
        <w:rPr>
          <w:rFonts w:ascii="Times New Roman" w:cs="Times New Roman" w:eastAsia="Times New Roman" w:hAnsi="Times New Roman"/>
          <w:sz w:val="18"/>
          <w:szCs w:val="18"/>
          <w:color w:val="auto"/>
        </w:rPr>
      </w:pPr>
    </w:p>
    <w:p>
      <w:pPr>
        <w:ind w:left="1400" w:right="40" w:hanging="374"/>
        <w:spacing w:after="0" w:line="266"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62" w:lineRule="exact"/>
        <w:rPr>
          <w:rFonts w:ascii="Times New Roman" w:cs="Times New Roman" w:eastAsia="Times New Roman" w:hAnsi="Times New Roman"/>
          <w:sz w:val="18"/>
          <w:szCs w:val="18"/>
          <w:color w:val="auto"/>
        </w:rPr>
      </w:pPr>
    </w:p>
    <w:p>
      <w:pPr>
        <w:ind w:left="1400" w:right="180" w:hanging="374"/>
        <w:spacing w:after="0" w:line="266"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162" w:lineRule="exact"/>
        <w:rPr>
          <w:rFonts w:ascii="Times New Roman" w:cs="Times New Roman" w:eastAsia="Times New Roman" w:hAnsi="Times New Roman"/>
          <w:sz w:val="18"/>
          <w:szCs w:val="18"/>
          <w:color w:val="auto"/>
        </w:rPr>
      </w:pPr>
    </w:p>
    <w:p>
      <w:pPr>
        <w:ind w:left="1400" w:hanging="374"/>
        <w:spacing w:after="0" w:line="266"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162" w:lineRule="exact"/>
        <w:rPr>
          <w:rFonts w:ascii="Times New Roman" w:cs="Times New Roman" w:eastAsia="Times New Roman" w:hAnsi="Times New Roman"/>
          <w:sz w:val="18"/>
          <w:szCs w:val="18"/>
          <w:color w:val="auto"/>
        </w:rPr>
      </w:pPr>
    </w:p>
    <w:p>
      <w:pPr>
        <w:ind w:left="1400" w:right="200" w:hanging="374"/>
        <w:spacing w:after="0" w:line="266" w:lineRule="auto"/>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4" w:name="page45"/>
    <w:bookmarkEnd w:id="44"/>
    <w:p>
      <w:pPr>
        <w:ind w:left="1400" w:right="20" w:hanging="374"/>
        <w:spacing w:after="0" w:line="250"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211" w:lineRule="exact"/>
        <w:rPr>
          <w:rFonts w:ascii="Times New Roman" w:cs="Times New Roman" w:eastAsia="Times New Roman" w:hAnsi="Times New Roman"/>
          <w:sz w:val="18"/>
          <w:szCs w:val="18"/>
          <w:color w:val="auto"/>
        </w:rPr>
      </w:pPr>
    </w:p>
    <w:p>
      <w:pPr>
        <w:ind w:left="1400" w:right="320" w:hanging="374"/>
        <w:spacing w:after="0" w:line="266"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162" w:lineRule="exact"/>
        <w:rPr>
          <w:rFonts w:ascii="Times New Roman" w:cs="Times New Roman" w:eastAsia="Times New Roman" w:hAnsi="Times New Roman"/>
          <w:sz w:val="18"/>
          <w:szCs w:val="18"/>
          <w:color w:val="auto"/>
        </w:rPr>
      </w:pPr>
    </w:p>
    <w:p>
      <w:pPr>
        <w:ind w:left="1400" w:right="500" w:hanging="374"/>
        <w:spacing w:after="0" w:line="266"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our third-party manufacturers with which we contract for clinical and commercial supplies;</w:t>
      </w:r>
    </w:p>
    <w:p>
      <w:pPr>
        <w:spacing w:after="0" w:line="162" w:lineRule="exact"/>
        <w:rPr>
          <w:rFonts w:ascii="Times New Roman" w:cs="Times New Roman" w:eastAsia="Times New Roman" w:hAnsi="Times New Roman"/>
          <w:sz w:val="18"/>
          <w:szCs w:val="18"/>
          <w:color w:val="auto"/>
        </w:rPr>
      </w:pPr>
    </w:p>
    <w:p>
      <w:pPr>
        <w:ind w:left="1400" w:right="160" w:hanging="374"/>
        <w:spacing w:after="0" w:line="266" w:lineRule="auto"/>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of such authorities may significantly change in a manner rendering our or any of our potential future collaborators’ clinical data insufficient for approval; or</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1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8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76" w:lineRule="exact"/>
        <w:rPr>
          <w:sz w:val="20"/>
          <w:szCs w:val="20"/>
          <w:color w:val="auto"/>
        </w:rPr>
      </w:pPr>
    </w:p>
    <w:p>
      <w:pPr>
        <w:ind w:right="80" w:firstLine="1018"/>
        <w:spacing w:after="0" w:line="237"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initiating two clinical trials across our product candidates in 2022, including the ongoing clinical trial involving RT-102,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are developing a new device with a payload capacity up to 20 mg, RaniPill HC, and in the future we may seek to develop other variations of the RaniPill capsule. In such cases, we need to redesign and conduct additional preclinical and clinical studies of any new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89"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180"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58" w:lineRule="exact"/>
        <w:rPr>
          <w:sz w:val="20"/>
          <w:szCs w:val="20"/>
          <w:color w:val="auto"/>
        </w:rPr>
      </w:pPr>
    </w:p>
    <w:p>
      <w:pPr>
        <w:jc w:val="both"/>
        <w:ind w:right="120" w:firstLine="1018"/>
        <w:spacing w:after="0" w:line="250" w:lineRule="auto"/>
        <w:rPr>
          <w:sz w:val="20"/>
          <w:szCs w:val="20"/>
          <w:color w:val="auto"/>
        </w:rPr>
      </w:pPr>
      <w:r>
        <w:rPr>
          <w:rFonts w:ascii="Times New Roman" w:cs="Times New Roman" w:eastAsia="Times New Roman" w:hAnsi="Times New Roman"/>
          <w:sz w:val="18"/>
          <w:szCs w:val="18"/>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ind w:right="180"/>
        <w:spacing w:after="0" w:line="245" w:lineRule="auto"/>
        <w:rPr>
          <w:sz w:val="20"/>
          <w:szCs w:val="20"/>
          <w:color w:val="auto"/>
        </w:rPr>
      </w:pPr>
      <w:r>
        <w:rPr>
          <w:rFonts w:ascii="Times New Roman" w:cs="Times New Roman" w:eastAsia="Times New Roman" w:hAnsi="Times New Roman"/>
          <w:sz w:val="18"/>
          <w:szCs w:val="18"/>
          <w:color w:val="auto"/>
        </w:rPr>
        <w:t>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81" w:lineRule="exact"/>
        <w:rPr>
          <w:sz w:val="20"/>
          <w:szCs w:val="20"/>
          <w:color w:val="auto"/>
        </w:rPr>
      </w:pPr>
    </w:p>
    <w:p>
      <w:pPr>
        <w:ind w:right="120" w:firstLine="1018"/>
        <w:spacing w:after="0" w:line="241"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84"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8" w:lineRule="exact"/>
        <w:rPr>
          <w:sz w:val="20"/>
          <w:szCs w:val="20"/>
          <w:color w:val="auto"/>
        </w:rPr>
      </w:pPr>
    </w:p>
    <w:p>
      <w:pPr>
        <w:ind w:firstLine="1018"/>
        <w:spacing w:after="0" w:line="236"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93"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81" w:lineRule="exact"/>
        <w:rPr>
          <w:sz w:val="20"/>
          <w:szCs w:val="20"/>
          <w:color w:val="auto"/>
        </w:rPr>
      </w:pPr>
    </w:p>
    <w:p>
      <w:pPr>
        <w:ind w:right="280" w:firstLine="1018"/>
        <w:spacing w:after="0" w:line="250" w:lineRule="auto"/>
        <w:rPr>
          <w:sz w:val="20"/>
          <w:szCs w:val="20"/>
          <w:color w:val="auto"/>
        </w:rPr>
      </w:pPr>
      <w:r>
        <w:rPr>
          <w:rFonts w:ascii="Times New Roman" w:cs="Times New Roman" w:eastAsia="Times New Roman" w:hAnsi="Times New Roman"/>
          <w:sz w:val="18"/>
          <w:szCs w:val="18"/>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5"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clinical data on our product candidates to indicate whether they are safe or effective for long-term use in humans.</w:t>
      </w:r>
    </w:p>
    <w:p>
      <w:pPr>
        <w:spacing w:after="0" w:line="216" w:lineRule="exact"/>
        <w:rPr>
          <w:sz w:val="20"/>
          <w:szCs w:val="20"/>
          <w:color w:val="auto"/>
        </w:rPr>
      </w:pPr>
    </w:p>
    <w:p>
      <w:pPr>
        <w:ind w:right="20" w:firstLine="1018"/>
        <w:spacing w:after="0" w:line="242" w:lineRule="auto"/>
        <w:rPr>
          <w:sz w:val="20"/>
          <w:szCs w:val="20"/>
          <w:color w:val="auto"/>
        </w:rPr>
      </w:pPr>
      <w:r>
        <w:rPr>
          <w:rFonts w:ascii="Times New Roman" w:cs="Times New Roman" w:eastAsia="Times New Roman" w:hAnsi="Times New Roman"/>
          <w:sz w:val="18"/>
          <w:szCs w:val="18"/>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85" w:lineRule="exact"/>
        <w:rPr>
          <w:sz w:val="20"/>
          <w:szCs w:val="20"/>
          <w:color w:val="auto"/>
        </w:rPr>
      </w:pPr>
    </w:p>
    <w:p>
      <w:pPr>
        <w:jc w:val="both"/>
        <w:ind w:right="220" w:firstLine="1018"/>
        <w:spacing w:after="0" w:line="250" w:lineRule="auto"/>
        <w:rPr>
          <w:sz w:val="20"/>
          <w:szCs w:val="20"/>
          <w:color w:val="auto"/>
        </w:rPr>
      </w:pPr>
      <w:r>
        <w:rPr>
          <w:rFonts w:ascii="Times New Roman" w:cs="Times New Roman" w:eastAsia="Times New Roman" w:hAnsi="Times New Roman"/>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73"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58"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7"/>
          <w:szCs w:val="17"/>
          <w:color w:val="auto"/>
        </w:rPr>
        <w:t>We have conducted and may in the future choose to conduct one or more clinical trials outside the United States. For example, we conducted a Phase 1 clinical trial of RT-101 in Australia and in March 2022 we initiated a Phase 1 clinical trial of RT-102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regulations (“GCP”);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2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81"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77"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5"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86" w:lineRule="exact"/>
        <w:rPr>
          <w:sz w:val="20"/>
          <w:szCs w:val="20"/>
          <w:color w:val="auto"/>
        </w:rPr>
      </w:pPr>
    </w:p>
    <w:p>
      <w:pPr>
        <w:ind w:right="280" w:firstLine="1018"/>
        <w:spacing w:after="0" w:line="245" w:lineRule="auto"/>
        <w:rPr>
          <w:sz w:val="20"/>
          <w:szCs w:val="20"/>
          <w:color w:val="auto"/>
        </w:rPr>
      </w:pPr>
      <w:r>
        <w:rPr>
          <w:rFonts w:ascii="Times New Roman" w:cs="Times New Roman" w:eastAsia="Times New Roman" w:hAnsi="Times New Roman"/>
          <w:sz w:val="18"/>
          <w:szCs w:val="18"/>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81" w:lineRule="exact"/>
        <w:rPr>
          <w:sz w:val="20"/>
          <w:szCs w:val="20"/>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that would result in adverse publicity;</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contract manufacturers’ facilities;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product recall.</w:t>
      </w:r>
    </w:p>
    <w:p>
      <w:pPr>
        <w:spacing w:after="0" w:line="212"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8" w:name="page49"/>
    <w:bookmarkEnd w:id="48"/>
    <w:p>
      <w:pPr>
        <w:ind w:right="560"/>
        <w:spacing w:after="0" w:line="266" w:lineRule="auto"/>
        <w:rPr>
          <w:sz w:val="20"/>
          <w:szCs w:val="20"/>
          <w:color w:val="auto"/>
        </w:rPr>
      </w:pPr>
      <w:r>
        <w:rPr>
          <w:rFonts w:ascii="Times New Roman" w:cs="Times New Roman" w:eastAsia="Times New Roman" w:hAnsi="Times New Roman"/>
          <w:sz w:val="18"/>
          <w:szCs w:val="18"/>
          <w:color w:val="auto"/>
        </w:rPr>
        <w:t>adversely affect our ability to commercialize and generate revenue from our products. If regulatory sanctions are applied or if regulatory approval is withdrawn, the value of our company and our operating results will be adversely affected.</w:t>
      </w:r>
    </w:p>
    <w:p>
      <w:pPr>
        <w:spacing w:after="0" w:line="158"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76"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181" w:lineRule="exact"/>
        <w:rPr>
          <w:sz w:val="20"/>
          <w:szCs w:val="20"/>
          <w:color w:val="auto"/>
        </w:rPr>
      </w:pPr>
    </w:p>
    <w:p>
      <w:pPr>
        <w:ind w:left="1400" w:right="60" w:hanging="374"/>
        <w:spacing w:after="0" w:line="266"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or perceived advantages or disadvantages of the oral delivery of biologics as compared to subcutaneous or IV injections of biologics;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candidates compared to alternative treatments;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shelf-life of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 candidates for sale at competitive prices;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the RaniPill capsule;</w:t>
      </w:r>
    </w:p>
    <w:p>
      <w:pPr>
        <w:spacing w:after="0" w:line="211" w:lineRule="exact"/>
        <w:rPr>
          <w:rFonts w:ascii="Times New Roman" w:cs="Times New Roman" w:eastAsia="Times New Roman" w:hAnsi="Times New Roman"/>
          <w:sz w:val="18"/>
          <w:szCs w:val="18"/>
          <w:color w:val="auto"/>
        </w:rPr>
      </w:pPr>
    </w:p>
    <w:p>
      <w:pPr>
        <w:ind w:left="1400" w:right="400" w:hanging="374"/>
        <w:spacing w:after="0" w:line="266"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use of the RaniPill capsule and to prescribe biologics that utilize the RaniPill capsule;</w:t>
      </w:r>
    </w:p>
    <w:p>
      <w:pPr>
        <w:spacing w:after="0" w:line="211" w:lineRule="exact"/>
        <w:rPr>
          <w:rFonts w:ascii="Times New Roman" w:cs="Times New Roman" w:eastAsia="Times New Roman" w:hAnsi="Times New Roman"/>
          <w:sz w:val="18"/>
          <w:szCs w:val="18"/>
          <w:color w:val="auto"/>
        </w:rPr>
      </w:pPr>
    </w:p>
    <w:p>
      <w:pPr>
        <w:ind w:left="1400" w:right="100" w:hanging="374"/>
        <w:spacing w:after="0" w:line="266" w:lineRule="auto"/>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medical community to offer patients our product candidates in addition to or in the place of current subcutaneous and IV injectable therapies;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 and third-party coverage and adequate reimbursement;</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supply to meet patients’ demand;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 or treatments.</w:t>
      </w:r>
    </w:p>
    <w:p>
      <w:pPr>
        <w:spacing w:after="0" w:line="212"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58" w:lineRule="exact"/>
        <w:rPr>
          <w:sz w:val="20"/>
          <w:szCs w:val="20"/>
          <w:color w:val="auto"/>
        </w:rPr>
      </w:pPr>
    </w:p>
    <w:p>
      <w:pPr>
        <w:ind w:right="160" w:firstLine="1018"/>
        <w:spacing w:after="0" w:line="242" w:lineRule="auto"/>
        <w:rPr>
          <w:sz w:val="20"/>
          <w:szCs w:val="20"/>
          <w:color w:val="auto"/>
        </w:rPr>
      </w:pPr>
      <w:r>
        <w:rPr>
          <w:rFonts w:ascii="Times New Roman" w:cs="Times New Roman" w:eastAsia="Times New Roman" w:hAnsi="Times New Roman"/>
          <w:sz w:val="18"/>
          <w:szCs w:val="18"/>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9" w:name="page50"/>
    <w:bookmarkEnd w:id="49"/>
    <w:p>
      <w:pPr>
        <w:ind w:right="80"/>
        <w:spacing w:after="0" w:line="239" w:lineRule="auto"/>
        <w:rPr>
          <w:sz w:val="20"/>
          <w:szCs w:val="20"/>
          <w:color w:val="auto"/>
        </w:rPr>
      </w:pPr>
      <w:r>
        <w:rPr>
          <w:rFonts w:ascii="Times New Roman" w:cs="Times New Roman" w:eastAsia="Times New Roman" w:hAnsi="Times New Roman"/>
          <w:sz w:val="18"/>
          <w:szCs w:val="18"/>
          <w:color w:val="auto"/>
        </w:rPr>
        <w:t>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83"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58"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Factors payors consider in determining reimbursement are based on whether the product is:</w:t>
      </w:r>
    </w:p>
    <w:p>
      <w:pPr>
        <w:spacing w:after="0" w:line="212" w:lineRule="exact"/>
        <w:rPr>
          <w:sz w:val="20"/>
          <w:szCs w:val="20"/>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12" w:lineRule="exact"/>
        <w:rPr>
          <w:sz w:val="20"/>
          <w:szCs w:val="20"/>
          <w:color w:val="auto"/>
        </w:rPr>
      </w:pPr>
    </w:p>
    <w:p>
      <w:pPr>
        <w:ind w:right="100" w:firstLine="1018"/>
        <w:spacing w:after="0" w:line="24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and Medicaid Services,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184"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Certain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8" w:lineRule="exact"/>
        <w:rPr>
          <w:sz w:val="20"/>
          <w:szCs w:val="20"/>
          <w:color w:val="auto"/>
        </w:rPr>
      </w:pPr>
    </w:p>
    <w:p>
      <w:pPr>
        <w:ind w:right="280" w:firstLine="1018"/>
        <w:spacing w:after="0" w:line="242"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0" w:name="page51"/>
    <w:bookmarkEnd w:id="50"/>
    <w:p>
      <w:pPr>
        <w:ind w:right="240"/>
        <w:spacing w:after="0" w:line="266" w:lineRule="auto"/>
        <w:rPr>
          <w:sz w:val="20"/>
          <w:szCs w:val="20"/>
          <w:color w:val="auto"/>
        </w:rPr>
      </w:pPr>
      <w:r>
        <w:rPr>
          <w:rFonts w:ascii="Times New Roman" w:cs="Times New Roman" w:eastAsia="Times New Roman" w:hAnsi="Times New Roman"/>
          <w:sz w:val="18"/>
          <w:szCs w:val="18"/>
          <w:color w:val="auto"/>
        </w:rPr>
        <w:t>general, particularly prescription drugs and surgical procedures and other treatments, has become very intense. As a result, increasingly high barriers are being erected to the entry of new products into the healthcare market.</w:t>
      </w:r>
    </w:p>
    <w:p>
      <w:pPr>
        <w:spacing w:after="0" w:line="158" w:lineRule="exact"/>
        <w:rPr>
          <w:sz w:val="20"/>
          <w:szCs w:val="20"/>
          <w:color w:val="auto"/>
        </w:rPr>
      </w:pPr>
    </w:p>
    <w:p>
      <w:pPr>
        <w:jc w:val="both"/>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58" w:lineRule="exact"/>
        <w:rPr>
          <w:sz w:val="20"/>
          <w:szCs w:val="20"/>
          <w:color w:val="auto"/>
        </w:rPr>
      </w:pPr>
    </w:p>
    <w:p>
      <w:pPr>
        <w:jc w:val="both"/>
        <w:ind w:right="220" w:firstLine="1018"/>
        <w:spacing w:after="0" w:line="250" w:lineRule="auto"/>
        <w:rPr>
          <w:sz w:val="20"/>
          <w:szCs w:val="20"/>
          <w:color w:val="auto"/>
        </w:rPr>
      </w:pPr>
      <w:r>
        <w:rPr>
          <w:rFonts w:ascii="Times New Roman" w:cs="Times New Roman" w:eastAsia="Times New Roman" w:hAnsi="Times New Roman"/>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77" w:lineRule="exact"/>
        <w:rPr>
          <w:sz w:val="20"/>
          <w:szCs w:val="20"/>
          <w:color w:val="auto"/>
        </w:rPr>
      </w:pPr>
    </w:p>
    <w:p>
      <w:pPr>
        <w:ind w:right="160" w:firstLine="1018"/>
        <w:spacing w:after="0" w:line="242"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5" w:lineRule="exact"/>
        <w:rPr>
          <w:sz w:val="20"/>
          <w:szCs w:val="20"/>
          <w:color w:val="auto"/>
        </w:rPr>
      </w:pPr>
    </w:p>
    <w:p>
      <w:pPr>
        <w:ind w:right="140" w:firstLine="1018"/>
        <w:spacing w:after="0" w:line="242" w:lineRule="auto"/>
        <w:rPr>
          <w:sz w:val="20"/>
          <w:szCs w:val="20"/>
          <w:color w:val="auto"/>
        </w:rPr>
      </w:pPr>
      <w:r>
        <w:rPr>
          <w:rFonts w:ascii="Times New Roman" w:cs="Times New Roman" w:eastAsia="Times New Roman" w:hAnsi="Times New Roman"/>
          <w:sz w:val="18"/>
          <w:szCs w:val="18"/>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85" w:lineRule="exact"/>
        <w:rPr>
          <w:sz w:val="20"/>
          <w:szCs w:val="20"/>
          <w:color w:val="auto"/>
        </w:rPr>
      </w:pPr>
    </w:p>
    <w:p>
      <w:pPr>
        <w:ind w:right="220" w:firstLine="1018"/>
        <w:spacing w:after="0" w:line="242" w:lineRule="auto"/>
        <w:rPr>
          <w:sz w:val="20"/>
          <w:szCs w:val="20"/>
          <w:color w:val="auto"/>
        </w:rPr>
      </w:pPr>
      <w:r>
        <w:rPr>
          <w:rFonts w:ascii="Times New Roman" w:cs="Times New Roman" w:eastAsia="Times New Roman" w:hAnsi="Times New Roman"/>
          <w:sz w:val="18"/>
          <w:szCs w:val="18"/>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w:t>
      </w:r>
    </w:p>
    <w:p>
      <w:pPr>
        <w:spacing w:after="0" w:line="185"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Amryt, Inc., i2O Therapeutics, Progenity, Inc., Intract Pharma, and Novo Nordisk A/S. For example, Amryt, Inc. (which acquired Chiasma, Inc.)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212" w:lineRule="exact"/>
        <w:rPr>
          <w:sz w:val="20"/>
          <w:szCs w:val="20"/>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product candidates, in particular compared to marketed products and products in late-stage development;</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regulatory approval, if at all;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commercialize and market any of our product candidates that receive regulatory approval;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products, including in comparison to branded or generic competitors;</w:t>
      </w:r>
    </w:p>
    <w:p>
      <w:pPr>
        <w:spacing w:after="0" w:line="211"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our intellectual property rights related to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infringing on the intellectual property rights of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1" w:name="page52"/>
    <w:bookmarkEnd w:id="51"/>
    <w:p>
      <w:pPr>
        <w:ind w:left="1400" w:hanging="374"/>
        <w:spacing w:after="0"/>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and sell commercial quantities of any of our product candidates that receive regulatory approval; and</w:t>
      </w:r>
    </w:p>
    <w:p>
      <w:pPr>
        <w:spacing w:after="0" w:line="211" w:lineRule="exact"/>
        <w:rPr>
          <w:rFonts w:ascii="Times New Roman" w:cs="Times New Roman" w:eastAsia="Times New Roman" w:hAnsi="Times New Roman"/>
          <w:sz w:val="18"/>
          <w:szCs w:val="18"/>
          <w:color w:val="auto"/>
        </w:rPr>
      </w:pPr>
    </w:p>
    <w:p>
      <w:pPr>
        <w:ind w:left="1400" w:right="160" w:hanging="374"/>
        <w:spacing w:after="0" w:line="266" w:lineRule="auto"/>
        <w:tabs>
          <w:tab w:leader="none" w:pos="14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62"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7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76"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8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58" w:lineRule="exact"/>
        <w:rPr>
          <w:sz w:val="20"/>
          <w:szCs w:val="20"/>
          <w:color w:val="auto"/>
        </w:rPr>
      </w:pPr>
    </w:p>
    <w:p>
      <w:pPr>
        <w:ind w:right="60" w:firstLine="1018"/>
        <w:spacing w:after="0" w:line="237" w:lineRule="auto"/>
        <w:rPr>
          <w:sz w:val="20"/>
          <w:szCs w:val="20"/>
          <w:color w:val="auto"/>
        </w:rPr>
      </w:pPr>
      <w:r>
        <w:rPr>
          <w:rFonts w:ascii="Times New Roman" w:cs="Times New Roman" w:eastAsia="Times New Roman" w:hAnsi="Times New Roman"/>
          <w:sz w:val="18"/>
          <w:szCs w:val="18"/>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an oral administration of parathyroid hormone (PTH) for the treatment of osteoporosis, for which we estimate the patient population is approximately ten million in the United States as of 2018, and RT-105, an oral administration of TNF-alfa antibody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regulatory approval for our product candidates because they are combination products.</w:t>
      </w:r>
    </w:p>
    <w:p>
      <w:pPr>
        <w:spacing w:after="0" w:line="216"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2" w:name="page53"/>
    <w:bookmarkEnd w:id="52"/>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58" w:lineRule="exact"/>
        <w:rPr>
          <w:sz w:val="20"/>
          <w:szCs w:val="20"/>
          <w:color w:val="auto"/>
        </w:rPr>
      </w:pPr>
    </w:p>
    <w:p>
      <w:pPr>
        <w:ind w:firstLine="1018"/>
        <w:spacing w:after="0" w:line="236" w:lineRule="auto"/>
        <w:rPr>
          <w:sz w:val="20"/>
          <w:szCs w:val="20"/>
          <w:color w:val="auto"/>
        </w:rPr>
      </w:pPr>
      <w:r>
        <w:rPr>
          <w:rFonts w:ascii="Times New Roman" w:cs="Times New Roman" w:eastAsia="Times New Roman" w:hAnsi="Times New Roman"/>
          <w:sz w:val="18"/>
          <w:szCs w:val="18"/>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European Economic Area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1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58"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In the past, we have entered into evaluation agreements with Takeda and certain other pharmaceutical companies concerning the formulation and manufacture of oral versions of Factor VIII and other molecules. We currently have no active evaluation agreements. Future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191"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Quality System Regulations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91" w:lineRule="exact"/>
        <w:rPr>
          <w:sz w:val="20"/>
          <w:szCs w:val="20"/>
          <w:color w:val="auto"/>
        </w:rPr>
      </w:pPr>
    </w:p>
    <w:p>
      <w:pPr>
        <w:ind w:right="360" w:firstLine="1018"/>
        <w:spacing w:after="0" w:line="245" w:lineRule="auto"/>
        <w:rPr>
          <w:sz w:val="20"/>
          <w:szCs w:val="20"/>
          <w:color w:val="auto"/>
        </w:rPr>
      </w:pPr>
      <w:r>
        <w:rPr>
          <w:rFonts w:ascii="Times New Roman" w:cs="Times New Roman" w:eastAsia="Times New Roman" w:hAnsi="Times New Roman"/>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3" w:name="page54"/>
    <w:bookmarkEnd w:id="53"/>
    <w:p>
      <w:pPr>
        <w:ind w:right="260"/>
        <w:spacing w:after="0" w:line="266" w:lineRule="auto"/>
        <w:rPr>
          <w:sz w:val="20"/>
          <w:szCs w:val="20"/>
          <w:color w:val="auto"/>
        </w:rPr>
      </w:pPr>
      <w:r>
        <w:rPr>
          <w:rFonts w:ascii="Times New Roman" w:cs="Times New Roman" w:eastAsia="Times New Roman" w:hAnsi="Times New Roman"/>
          <w:sz w:val="18"/>
          <w:szCs w:val="18"/>
          <w:color w:val="auto"/>
        </w:rPr>
        <w:t>sales and marketing arrangements are complex and time consuming to negotiate, document and implement and they may require substantial resources to maintain, which may be detrimental to the development of our other product candidates.</w:t>
      </w:r>
    </w:p>
    <w:p>
      <w:pPr>
        <w:spacing w:after="0" w:line="162"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185" w:lineRule="exact"/>
        <w:rPr>
          <w:sz w:val="20"/>
          <w:szCs w:val="20"/>
          <w:color w:val="auto"/>
        </w:rPr>
      </w:pPr>
    </w:p>
    <w:p>
      <w:pPr>
        <w:ind w:left="1400" w:hanging="374"/>
        <w:spacing w:after="0"/>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payment of royalties or other payments we believe are due pursuant to the applicable collaboration arrangement;</w:t>
      </w:r>
    </w:p>
    <w:p>
      <w:pPr>
        <w:spacing w:after="0" w:line="211" w:lineRule="exact"/>
        <w:rPr>
          <w:rFonts w:ascii="Times New Roman" w:cs="Times New Roman" w:eastAsia="Times New Roman" w:hAnsi="Times New Roman"/>
          <w:sz w:val="18"/>
          <w:szCs w:val="18"/>
          <w:color w:val="auto"/>
        </w:rPr>
      </w:pPr>
    </w:p>
    <w:p>
      <w:pPr>
        <w:ind w:left="1400" w:right="940" w:hanging="374"/>
        <w:spacing w:after="0" w:line="266"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a partner inside or outside our collaboration which could negatively impact our rights or benefits under our collaboration; or</w:t>
      </w:r>
    </w:p>
    <w:p>
      <w:pPr>
        <w:spacing w:after="0" w:line="162" w:lineRule="exact"/>
        <w:rPr>
          <w:rFonts w:ascii="Times New Roman" w:cs="Times New Roman" w:eastAsia="Times New Roman" w:hAnsi="Times New Roman"/>
          <w:sz w:val="18"/>
          <w:szCs w:val="18"/>
          <w:color w:val="auto"/>
        </w:rPr>
      </w:pPr>
    </w:p>
    <w:p>
      <w:pPr>
        <w:ind w:left="1400" w:right="60" w:hanging="374"/>
        <w:spacing w:after="0" w:line="266" w:lineRule="auto"/>
        <w:tabs>
          <w:tab w:leader="none" w:pos="14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62" w:lineRule="exact"/>
        <w:rPr>
          <w:sz w:val="20"/>
          <w:szCs w:val="20"/>
          <w:color w:val="auto"/>
        </w:rPr>
      </w:pPr>
    </w:p>
    <w:p>
      <w:pPr>
        <w:jc w:val="both"/>
        <w:ind w:right="160" w:firstLine="1018"/>
        <w:spacing w:after="0" w:line="250" w:lineRule="auto"/>
        <w:rPr>
          <w:sz w:val="20"/>
          <w:szCs w:val="20"/>
          <w:color w:val="auto"/>
        </w:rPr>
      </w:pPr>
      <w:r>
        <w:rPr>
          <w:rFonts w:ascii="Times New Roman" w:cs="Times New Roman" w:eastAsia="Times New Roman" w:hAnsi="Times New Roman"/>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7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76" w:lineRule="exact"/>
        <w:rPr>
          <w:sz w:val="20"/>
          <w:szCs w:val="20"/>
          <w:color w:val="auto"/>
        </w:rPr>
      </w:pPr>
    </w:p>
    <w:p>
      <w:pPr>
        <w:ind w:right="20" w:firstLine="1018"/>
        <w:spacing w:after="0" w:line="237"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91"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77"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4" w:name="page55"/>
    <w:bookmarkEnd w:id="54"/>
    <w:p>
      <w:pPr>
        <w:ind w:right="220"/>
        <w:spacing w:after="0" w:line="266" w:lineRule="auto"/>
        <w:rPr>
          <w:sz w:val="20"/>
          <w:szCs w:val="20"/>
          <w:color w:val="auto"/>
        </w:rPr>
      </w:pPr>
      <w:r>
        <w:rPr>
          <w:rFonts w:ascii="Times New Roman" w:cs="Times New Roman" w:eastAsia="Times New Roman" w:hAnsi="Times New Roman"/>
          <w:sz w:val="18"/>
          <w:szCs w:val="18"/>
          <w:color w:val="auto"/>
        </w:rPr>
        <w:t>result, our results of operations and the commercial prospects for our product candidates would be harmed, our costs could increase substantially and our ability to generate revenue could be delayed significantly.</w:t>
      </w:r>
    </w:p>
    <w:p>
      <w:pPr>
        <w:spacing w:after="0" w:line="162" w:lineRule="exact"/>
        <w:rPr>
          <w:sz w:val="20"/>
          <w:szCs w:val="20"/>
          <w:color w:val="auto"/>
        </w:rPr>
      </w:pPr>
    </w:p>
    <w:p>
      <w:pPr>
        <w:ind w:right="160" w:firstLine="1018"/>
        <w:spacing w:after="0" w:line="245" w:lineRule="auto"/>
        <w:rPr>
          <w:sz w:val="20"/>
          <w:szCs w:val="20"/>
          <w:color w:val="auto"/>
        </w:rPr>
      </w:pPr>
      <w:r>
        <w:rPr>
          <w:rFonts w:ascii="Times New Roman" w:cs="Times New Roman" w:eastAsia="Times New Roman" w:hAnsi="Times New Roman"/>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7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key materials used in our manufacturing processes as well as for the manufacturing of APIs and drug substances. We do not have long-term supply arrangements in place for APIs and drug substances. The loss of third-party suppliers or their inability to supply us with adequate materials and APIs or drug substances could prevent or delay the conduct of our clinical trials and the commercialization of our products, if approved, and could harm our business.</w:t>
      </w:r>
    </w:p>
    <w:p>
      <w:pPr>
        <w:spacing w:after="0" w:line="181"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We rely on third-party suppliers for the supply of the raw materials and APIs or drug substances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 and for use in our clinical trials.</w:t>
      </w:r>
    </w:p>
    <w:p>
      <w:pPr>
        <w:spacing w:after="0" w:line="181" w:lineRule="exact"/>
        <w:rPr>
          <w:sz w:val="20"/>
          <w:szCs w:val="20"/>
          <w:color w:val="auto"/>
        </w:rPr>
      </w:pPr>
    </w:p>
    <w:p>
      <w:pPr>
        <w:ind w:right="100" w:firstLine="1018"/>
        <w:spacing w:after="0" w:line="238" w:lineRule="auto"/>
        <w:rPr>
          <w:sz w:val="20"/>
          <w:szCs w:val="20"/>
          <w:color w:val="auto"/>
        </w:rPr>
      </w:pPr>
      <w:r>
        <w:rPr>
          <w:rFonts w:ascii="Times New Roman" w:cs="Times New Roman" w:eastAsia="Times New Roman" w:hAnsi="Times New Roman"/>
          <w:sz w:val="18"/>
          <w:szCs w:val="18"/>
          <w:color w:val="auto"/>
        </w:rPr>
        <w:t>Our dependence on these third parties and the challenges we may face in obtaining adequate supplies of raw materials, APIs and drug substances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drug substances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prevent us from conducting, or cause delays to, our current or planned clinical trials, commercialization of our products, if approved, and have an adverse effect on our business, financial condition and results of operations.</w:t>
      </w:r>
    </w:p>
    <w:p>
      <w:pPr>
        <w:spacing w:after="0" w:line="184"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58"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87"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77"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fluctuations may occur due to a variety of factors, many of which are outside of our control, including, but not limited to:</w:t>
      </w:r>
    </w:p>
    <w:p>
      <w:pPr>
        <w:spacing w:after="0" w:line="192" w:lineRule="exact"/>
        <w:rPr>
          <w:sz w:val="20"/>
          <w:szCs w:val="20"/>
          <w:color w:val="auto"/>
        </w:rPr>
      </w:pPr>
    </w:p>
    <w:p>
      <w:pPr>
        <w:ind w:left="1400" w:right="60" w:hanging="374"/>
        <w:spacing w:after="0" w:line="266" w:lineRule="auto"/>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degree of success and cost of, and level of investment in, research, development, regulatory approval and commercialization activities relating to our product candidates, which may change from time to time;</w:t>
      </w:r>
    </w:p>
    <w:p>
      <w:pPr>
        <w:spacing w:after="0" w:line="162" w:lineRule="exact"/>
        <w:rPr>
          <w:rFonts w:ascii="Times New Roman" w:cs="Times New Roman" w:eastAsia="Times New Roman" w:hAnsi="Times New Roman"/>
          <w:sz w:val="18"/>
          <w:szCs w:val="18"/>
          <w:color w:val="auto"/>
        </w:rPr>
      </w:pPr>
    </w:p>
    <w:p>
      <w:pPr>
        <w:ind w:left="1400" w:right="180" w:hanging="374"/>
        <w:spacing w:after="0" w:line="266" w:lineRule="auto"/>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candidates, if approved, and potential future drugs that compete with our products;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approved products, which may vary significantly;</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11" w:lineRule="exact"/>
        <w:rPr>
          <w:rFonts w:ascii="Times New Roman" w:cs="Times New Roman" w:eastAsia="Times New Roman" w:hAnsi="Times New Roman"/>
          <w:sz w:val="18"/>
          <w:szCs w:val="18"/>
          <w:color w:val="auto"/>
        </w:rPr>
      </w:pPr>
    </w:p>
    <w:p>
      <w:pPr>
        <w:ind w:left="1400" w:right="220" w:hanging="374"/>
        <w:spacing w:after="0" w:line="266" w:lineRule="auto"/>
        <w:tabs>
          <w:tab w:leader="none" w:pos="1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ind w:right="40" w:firstLine="1018"/>
        <w:spacing w:after="0" w:line="258" w:lineRule="auto"/>
        <w:rPr>
          <w:sz w:val="20"/>
          <w:szCs w:val="20"/>
          <w:color w:val="auto"/>
        </w:rPr>
      </w:pPr>
      <w:r>
        <w:rPr>
          <w:rFonts w:ascii="Times New Roman" w:cs="Times New Roman" w:eastAsia="Times New Roman" w:hAnsi="Times New Roman"/>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58"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We currently have no product candidates that are in late-stage clinical trials or are approved for commercial sale, and we may never be able to develop a marketable product. We have two product candidates, RT-101 and RT-102,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We intend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RT-101, initiated a Phase 1 clinical trial of RT-102 in March 2022, and have completed preclinical studies of other product candidates. We plan to initiate Phase 1 clinical trials of certain product candidates in 2022 and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6" w:name="page57"/>
    <w:bookmarkEnd w:id="56"/>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 and inherently uncertain process, and the regulatory authorities may delay, limit or deny approval of our product candidates for many reasons, including:</w:t>
      </w:r>
    </w:p>
    <w:p>
      <w:pPr>
        <w:spacing w:after="0" w:line="181" w:lineRule="exact"/>
        <w:rPr>
          <w:sz w:val="20"/>
          <w:szCs w:val="20"/>
          <w:color w:val="auto"/>
        </w:rPr>
      </w:pPr>
    </w:p>
    <w:p>
      <w:pPr>
        <w:ind w:left="1400" w:right="100" w:hanging="374"/>
        <w:spacing w:after="0" w:line="266"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any of our product candidates is safe and effective to the satisfaction of the FDA or comparable foreign regulatory authorities;</w:t>
      </w:r>
    </w:p>
    <w:p>
      <w:pPr>
        <w:spacing w:after="0" w:line="162" w:lineRule="exact"/>
        <w:rPr>
          <w:rFonts w:ascii="Times New Roman" w:cs="Times New Roman" w:eastAsia="Times New Roman" w:hAnsi="Times New Roman"/>
          <w:sz w:val="18"/>
          <w:szCs w:val="18"/>
          <w:color w:val="auto"/>
        </w:rPr>
      </w:pPr>
    </w:p>
    <w:p>
      <w:pPr>
        <w:ind w:left="1400" w:right="560" w:hanging="374"/>
        <w:spacing w:after="0" w:line="266"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62" w:lineRule="exact"/>
        <w:rPr>
          <w:rFonts w:ascii="Times New Roman" w:cs="Times New Roman" w:eastAsia="Times New Roman" w:hAnsi="Times New Roman"/>
          <w:sz w:val="18"/>
          <w:szCs w:val="18"/>
          <w:color w:val="auto"/>
        </w:rPr>
      </w:pPr>
    </w:p>
    <w:p>
      <w:pPr>
        <w:ind w:left="1400" w:right="180" w:hanging="374"/>
        <w:spacing w:after="0" w:line="266"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foreign regulatory authorities for approval;</w:t>
      </w:r>
    </w:p>
    <w:p>
      <w:pPr>
        <w:spacing w:after="0" w:line="162" w:lineRule="exact"/>
        <w:rPr>
          <w:rFonts w:ascii="Times New Roman" w:cs="Times New Roman" w:eastAsia="Times New Roman" w:hAnsi="Times New Roman"/>
          <w:sz w:val="18"/>
          <w:szCs w:val="18"/>
          <w:color w:val="auto"/>
        </w:rPr>
      </w:pPr>
    </w:p>
    <w:p>
      <w:pPr>
        <w:ind w:left="1400" w:right="140" w:hanging="374"/>
        <w:spacing w:after="0" w:line="266"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number, design, size, conduct or statistical analysis of one or more of our clinical trials;</w:t>
      </w:r>
    </w:p>
    <w:p>
      <w:pPr>
        <w:spacing w:after="0" w:line="162" w:lineRule="exact"/>
        <w:rPr>
          <w:rFonts w:ascii="Times New Roman" w:cs="Times New Roman" w:eastAsia="Times New Roman" w:hAnsi="Times New Roman"/>
          <w:sz w:val="18"/>
          <w:szCs w:val="18"/>
          <w:color w:val="auto"/>
        </w:rPr>
      </w:pPr>
    </w:p>
    <w:p>
      <w:pPr>
        <w:ind w:left="1400" w:right="240" w:hanging="374"/>
        <w:spacing w:after="0" w:line="266"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or not accept, our interpretation of data from our preclinical studies and clinical trials;</w:t>
      </w:r>
    </w:p>
    <w:p>
      <w:pPr>
        <w:spacing w:after="0" w:line="162" w:lineRule="exact"/>
        <w:rPr>
          <w:rFonts w:ascii="Times New Roman" w:cs="Times New Roman" w:eastAsia="Times New Roman" w:hAnsi="Times New Roman"/>
          <w:sz w:val="18"/>
          <w:szCs w:val="18"/>
          <w:color w:val="auto"/>
        </w:rPr>
      </w:pPr>
    </w:p>
    <w:p>
      <w:pPr>
        <w:ind w:left="1400" w:right="480" w:hanging="374"/>
        <w:spacing w:after="0" w:line="266"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62" w:lineRule="exact"/>
        <w:rPr>
          <w:rFonts w:ascii="Times New Roman" w:cs="Times New Roman" w:eastAsia="Times New Roman" w:hAnsi="Times New Roman"/>
          <w:sz w:val="18"/>
          <w:szCs w:val="18"/>
          <w:color w:val="auto"/>
        </w:rPr>
      </w:pPr>
    </w:p>
    <w:p>
      <w:pPr>
        <w:ind w:left="1400" w:right="240" w:hanging="374"/>
        <w:spacing w:after="0" w:line="250" w:lineRule="auto"/>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change their approval policies or adopt new regulations.</w:t>
      </w:r>
    </w:p>
    <w:p>
      <w:pPr>
        <w:spacing w:after="0" w:line="21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proprietary RaniPill platform to build a pipeline of product candidates.</w:t>
      </w:r>
    </w:p>
    <w:p>
      <w:pPr>
        <w:spacing w:after="0" w:line="216"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76" w:lineRule="exact"/>
        <w:rPr>
          <w:sz w:val="20"/>
          <w:szCs w:val="20"/>
          <w:color w:val="auto"/>
        </w:rPr>
      </w:pPr>
    </w:p>
    <w:p>
      <w:pPr>
        <w:ind w:right="180" w:firstLine="1018"/>
        <w:spacing w:after="0" w:line="250" w:lineRule="auto"/>
        <w:rPr>
          <w:sz w:val="20"/>
          <w:szCs w:val="20"/>
          <w:color w:val="auto"/>
        </w:rPr>
      </w:pPr>
      <w:r>
        <w:rPr>
          <w:rFonts w:ascii="Times New Roman" w:cs="Times New Roman" w:eastAsia="Times New Roman" w:hAnsi="Times New Roman"/>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ind w:right="100"/>
        <w:spacing w:after="0" w:line="250" w:lineRule="auto"/>
        <w:rPr>
          <w:sz w:val="20"/>
          <w:szCs w:val="20"/>
          <w:color w:val="auto"/>
        </w:rPr>
      </w:pPr>
      <w:r>
        <w:rPr>
          <w:rFonts w:ascii="Times New Roman" w:cs="Times New Roman" w:eastAsia="Times New Roman" w:hAnsi="Times New Roman"/>
          <w:sz w:val="18"/>
          <w:szCs w:val="18"/>
          <w:color w:val="auto"/>
        </w:rPr>
        <w:t>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77"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8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except for RT-101 and RT-102, are in research or preclinical development and have not entered into clinical trials. If we are unable to develop, test and commercialize our product candidates, our business will be adversely affected.</w:t>
      </w:r>
    </w:p>
    <w:p>
      <w:pPr>
        <w:spacing w:after="0" w:line="158" w:lineRule="exact"/>
        <w:rPr>
          <w:sz w:val="20"/>
          <w:szCs w:val="20"/>
          <w:color w:val="auto"/>
        </w:rPr>
      </w:pPr>
    </w:p>
    <w:p>
      <w:pPr>
        <w:ind w:right="200" w:firstLine="1018"/>
        <w:spacing w:after="0" w:line="245" w:lineRule="auto"/>
        <w:rPr>
          <w:sz w:val="20"/>
          <w:szCs w:val="20"/>
          <w:color w:val="auto"/>
        </w:rPr>
      </w:pPr>
      <w:r>
        <w:rPr>
          <w:rFonts w:ascii="Times New Roman" w:cs="Times New Roman" w:eastAsia="Times New Roman" w:hAnsi="Times New Roman"/>
          <w:sz w:val="18"/>
          <w:szCs w:val="18"/>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81" w:lineRule="exact"/>
        <w:rPr>
          <w:sz w:val="20"/>
          <w:szCs w:val="20"/>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internal resources are insufficient;</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methodology used may not be successful in identifying potential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uncompetitive;</w:t>
      </w:r>
    </w:p>
    <w:p>
      <w:pPr>
        <w:spacing w:after="0" w:line="211" w:lineRule="exact"/>
        <w:rPr>
          <w:rFonts w:ascii="Times New Roman" w:cs="Times New Roman" w:eastAsia="Times New Roman" w:hAnsi="Times New Roman"/>
          <w:sz w:val="18"/>
          <w:szCs w:val="18"/>
          <w:color w:val="auto"/>
        </w:rPr>
      </w:pPr>
    </w:p>
    <w:p>
      <w:pPr>
        <w:ind w:left="1400" w:right="580" w:hanging="374"/>
        <w:spacing w:after="0" w:line="266" w:lineRule="auto"/>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be capable of being produced in commercial quantities at an acceptable cost, or at all; or</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be accepted by patients, the medical community, healthcare providers or third-party payors.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RaniPill platform may not result in any products of commercial value.</w:t>
      </w:r>
    </w:p>
    <w:p>
      <w:pPr>
        <w:spacing w:after="0" w:line="216"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multiple reasons, the RaniPill platform may not ultimately be commercially valuable, including:</w:t>
      </w:r>
    </w:p>
    <w:p>
      <w:pPr>
        <w:spacing w:after="0" w:line="212" w:lineRule="exact"/>
        <w:rPr>
          <w:sz w:val="20"/>
          <w:szCs w:val="20"/>
          <w:color w:val="auto"/>
        </w:rPr>
      </w:pPr>
    </w:p>
    <w:p>
      <w:pPr>
        <w:ind w:left="1400" w:right="740" w:hanging="374"/>
        <w:spacing w:after="0" w:line="266" w:lineRule="auto"/>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RaniPill platform may not work in conjunction with our targeted biologic indications or future indications to yield product candidates that can enter clinical development;</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the applicability of the RaniPill platform beyond our current product pipeline;</w:t>
      </w:r>
    </w:p>
    <w:p>
      <w:pPr>
        <w:spacing w:after="0" w:line="211" w:lineRule="exact"/>
        <w:rPr>
          <w:rFonts w:ascii="Times New Roman" w:cs="Times New Roman" w:eastAsia="Times New Roman" w:hAnsi="Times New Roman"/>
          <w:sz w:val="18"/>
          <w:szCs w:val="18"/>
          <w:color w:val="auto"/>
        </w:rPr>
      </w:pPr>
    </w:p>
    <w:p>
      <w:pPr>
        <w:ind w:left="1400" w:right="100" w:hanging="374"/>
        <w:spacing w:after="0" w:line="266" w:lineRule="auto"/>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licensing or partnership agreements on suitable terms to obtain and develop oral versions of biologics; and</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medical community may not accept the RaniPill platform and physicians may not prescribe our products to patients,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8" w:name="page59"/>
    <w:bookmarkEnd w:id="58"/>
    <w:p>
      <w:pPr>
        <w:jc w:val="both"/>
        <w:ind w:right="120" w:firstLine="1018"/>
        <w:spacing w:after="0" w:line="245" w:lineRule="auto"/>
        <w:rPr>
          <w:sz w:val="20"/>
          <w:szCs w:val="20"/>
          <w:color w:val="auto"/>
        </w:rPr>
      </w:pPr>
      <w:r>
        <w:rPr>
          <w:rFonts w:ascii="Times New Roman" w:cs="Times New Roman" w:eastAsia="Times New Roman" w:hAnsi="Times New Roman"/>
          <w:sz w:val="18"/>
          <w:szCs w:val="18"/>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81"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Furthermore, the product candidates contemplated by our current product pipeline were designed with needles that have the ability to deliver 3 mg of a biologic, which we refer to as payload capacity. While we are developing an oral delivery capsule intended to deliver up to 20 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RaniPill HC or another device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 a result of a failure in any one of these factors, our business, financial condition and results of operations could be adversely affected.</w:t>
      </w:r>
    </w:p>
    <w:p>
      <w:pPr>
        <w:spacing w:after="0" w:line="20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new high-capacity oral delivery device, RaniPill HC, is in early stages of development, and it is subject to the inherent risks and uncertainties of developing a novel, innovative technology. Our efforts to develop RaniPill HC may not be successful.</w:t>
      </w:r>
    </w:p>
    <w:p>
      <w:pPr>
        <w:spacing w:after="0" w:line="158"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RaniPill HC is in early stages of development, and it is subject to the inherent risks and uncertainties of developing a novel, innovative potential technology. Development of a new delivery device is time-consuming and costly, and could distract the attention of our management or other employee resources from our existing and future business. Our efforts to develop RaniPill HC may not be successful or RaniPill HC may require modifications that could limit its utility or viability as an oral delivery device. We may not be able to complete development of RaniPill HC in a timely manner, or at all, or such development may require an amount of time and resource that we are not able to devote to it or believes is not warranted based on the estimated benefits. The potential value of RaniPill HC may never be realized for a variety of reasons, including that we are not able to successfully develop RaniPill HC, third parties develop competitive technologies or products similar to or more effective or attractive than RaniPill HC, we are not able to develop manufacturing processes to produce RaniPill HC consistently and reliably or within a cost range that makes RaniPill HC products commercially viable. Any such factor could reduce or eliminate the potential value of RaniPill HC or product candidates that could be developed using RaniPill HC. In addition, while we currently expect that RaniPill HC will be able to leverage many of the same components and manufacturing processes as are used for our existing delivery device, it may turn out that such components or manufacturing processes are not suited for RaniPill HC or RaniPill HC may require modifications that negatively affect our ability to use common components or processes between the existing device and RaniPill HC. Any of the foregoing factors or circumstances may adversely affect our business prospects, our attractiveness as a business partner or collaborator, our ability to raise additional capital, and our financial results.</w:t>
      </w:r>
    </w:p>
    <w:p>
      <w:pPr>
        <w:spacing w:after="0" w:line="185"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58"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185" w:lineRule="exact"/>
        <w:rPr>
          <w:sz w:val="20"/>
          <w:szCs w:val="20"/>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studies;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59" w:name="page60"/>
    <w:bookmarkEnd w:id="59"/>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product sales; and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12"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development or commercialization of our product candidates. Although we maintain clinical trial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0"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58"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ingredients or drug substances for the biologics of our product candidates.</w:t>
      </w:r>
    </w:p>
    <w:p>
      <w:pPr>
        <w:spacing w:after="0" w:line="191" w:lineRule="exact"/>
        <w:rPr>
          <w:sz w:val="20"/>
          <w:szCs w:val="20"/>
          <w:color w:val="auto"/>
        </w:rPr>
      </w:pPr>
    </w:p>
    <w:p>
      <w:pPr>
        <w:ind w:right="40" w:firstLine="1018"/>
        <w:spacing w:after="0" w:line="239" w:lineRule="auto"/>
        <w:rPr>
          <w:sz w:val="20"/>
          <w:szCs w:val="20"/>
          <w:color w:val="auto"/>
        </w:rPr>
      </w:pPr>
      <w:r>
        <w:rPr>
          <w:rFonts w:ascii="Times New Roman" w:cs="Times New Roman" w:eastAsia="Times New Roman" w:hAnsi="Times New Roman"/>
          <w:sz w:val="18"/>
          <w:szCs w:val="18"/>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We or third party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87" w:lineRule="exact"/>
        <w:rPr>
          <w:sz w:val="20"/>
          <w:szCs w:val="20"/>
          <w:color w:val="auto"/>
        </w:rPr>
      </w:pPr>
    </w:p>
    <w:p>
      <w:pPr>
        <w:ind w:right="100" w:firstLine="1018"/>
        <w:spacing w:after="0"/>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85"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Furthermore, in order to obtain approval of our product candidates by the FDA and comparable foreign regulatory authorities, we will be required to consistently produce our formulation of the API or drug substance, and the finished product in commercial quantities and of specified quality on a repeated basis and document our ability to do so. This requirement is referred to as process validation. Each of our potential API and drug substance suppliers will likely use a different method to manufacture API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0" w:name="page61"/>
    <w:bookmarkEnd w:id="60"/>
    <w:p>
      <w:pPr>
        <w:ind w:right="20"/>
        <w:spacing w:after="0" w:line="264" w:lineRule="auto"/>
        <w:rPr>
          <w:sz w:val="20"/>
          <w:szCs w:val="20"/>
          <w:color w:val="auto"/>
        </w:rPr>
      </w:pPr>
      <w:r>
        <w:rPr>
          <w:rFonts w:ascii="Times New Roman" w:cs="Times New Roman" w:eastAsia="Times New Roman" w:hAnsi="Times New Roman"/>
          <w:sz w:val="17"/>
          <w:szCs w:val="17"/>
          <w:color w:val="auto"/>
        </w:rPr>
        <w:t>drug substance,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66" w:lineRule="exact"/>
        <w:rPr>
          <w:sz w:val="20"/>
          <w:szCs w:val="20"/>
          <w:color w:val="auto"/>
        </w:rPr>
      </w:pPr>
    </w:p>
    <w:p>
      <w:pPr>
        <w:ind w:right="420" w:firstLine="1018"/>
        <w:spacing w:after="0" w:line="250" w:lineRule="auto"/>
        <w:rPr>
          <w:sz w:val="20"/>
          <w:szCs w:val="20"/>
          <w:color w:val="auto"/>
        </w:rPr>
      </w:pPr>
      <w:r>
        <w:rPr>
          <w:rFonts w:ascii="Times New Roman" w:cs="Times New Roman" w:eastAsia="Times New Roman" w:hAnsi="Times New Roman"/>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73"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health information privacy and security laws, and other healthcare laws and regulations. Violations of such laws and regulations could subject us to significant penalties.</w:t>
      </w:r>
    </w:p>
    <w:p>
      <w:pPr>
        <w:spacing w:after="0" w:line="158" w:lineRule="exact"/>
        <w:rPr>
          <w:sz w:val="20"/>
          <w:szCs w:val="20"/>
          <w:color w:val="auto"/>
        </w:rPr>
      </w:pPr>
    </w:p>
    <w:p>
      <w:pPr>
        <w:ind w:right="20" w:firstLine="1018"/>
        <w:spacing w:after="0" w:line="239" w:lineRule="auto"/>
        <w:rPr>
          <w:sz w:val="20"/>
          <w:szCs w:val="20"/>
          <w:color w:val="auto"/>
        </w:rPr>
      </w:pPr>
      <w:r>
        <w:rPr>
          <w:rFonts w:ascii="Times New Roman" w:cs="Times New Roman" w:eastAsia="Times New Roman" w:hAnsi="Times New Roman"/>
          <w:sz w:val="18"/>
          <w:szCs w:val="18"/>
          <w:color w:val="auto"/>
        </w:rPr>
        <w:t>We may be subject, directly or indirectly, to federal and state healthcare fraud and abuse laws, false claims laws data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187" w:lineRule="exact"/>
        <w:rPr>
          <w:sz w:val="20"/>
          <w:szCs w:val="20"/>
          <w:color w:val="auto"/>
        </w:rPr>
      </w:pPr>
    </w:p>
    <w:p>
      <w:pPr>
        <w:ind w:left="1400" w:right="20" w:hanging="374"/>
        <w:spacing w:after="0" w:line="242" w:lineRule="auto"/>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w:t>
      </w:r>
    </w:p>
    <w:p>
      <w:pPr>
        <w:spacing w:after="0" w:line="184" w:lineRule="exact"/>
        <w:rPr>
          <w:rFonts w:ascii="Times New Roman" w:cs="Times New Roman" w:eastAsia="Times New Roman" w:hAnsi="Times New Roman"/>
          <w:sz w:val="18"/>
          <w:szCs w:val="18"/>
          <w:color w:val="auto"/>
        </w:rPr>
      </w:pPr>
    </w:p>
    <w:p>
      <w:pPr>
        <w:ind w:left="1400" w:hanging="374"/>
        <w:spacing w:after="0" w:line="238" w:lineRule="auto"/>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191" w:lineRule="exact"/>
        <w:rPr>
          <w:rFonts w:ascii="Times New Roman" w:cs="Times New Roman" w:eastAsia="Times New Roman" w:hAnsi="Times New Roman"/>
          <w:sz w:val="18"/>
          <w:szCs w:val="18"/>
          <w:color w:val="auto"/>
        </w:rPr>
      </w:pPr>
    </w:p>
    <w:p>
      <w:pPr>
        <w:ind w:left="1400" w:right="120" w:hanging="374"/>
        <w:spacing w:after="0" w:line="239" w:lineRule="auto"/>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87" w:lineRule="exact"/>
        <w:rPr>
          <w:rFonts w:ascii="Times New Roman" w:cs="Times New Roman" w:eastAsia="Times New Roman" w:hAnsi="Times New Roman"/>
          <w:sz w:val="18"/>
          <w:szCs w:val="18"/>
          <w:color w:val="auto"/>
        </w:rPr>
      </w:pPr>
    </w:p>
    <w:p>
      <w:pPr>
        <w:ind w:left="1400" w:right="120" w:hanging="37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1" w:name="page62"/>
    <w:bookmarkEnd w:id="61"/>
    <w:p>
      <w:pPr>
        <w:ind w:left="1400"/>
        <w:spacing w:after="0"/>
        <w:rPr>
          <w:sz w:val="20"/>
          <w:szCs w:val="20"/>
          <w:color w:val="auto"/>
        </w:rPr>
      </w:pPr>
      <w:r>
        <w:rPr>
          <w:rFonts w:ascii="Times New Roman" w:cs="Times New Roman" w:eastAsia="Times New Roman" w:hAnsi="Times New Roman"/>
          <w:sz w:val="18"/>
          <w:szCs w:val="18"/>
          <w:color w:val="auto"/>
        </w:rPr>
        <w:t>courts to enforce the federal HIPAA laws and seek attorneys’ fees and costs associated with pursuing federal civil actions;</w:t>
      </w:r>
    </w:p>
    <w:p>
      <w:pPr>
        <w:spacing w:after="0" w:line="212" w:lineRule="exact"/>
        <w:rPr>
          <w:sz w:val="20"/>
          <w:szCs w:val="20"/>
          <w:color w:val="auto"/>
        </w:rPr>
      </w:pPr>
    </w:p>
    <w:p>
      <w:pPr>
        <w:ind w:left="1400" w:right="20" w:hanging="374"/>
        <w:spacing w:after="0" w:line="250" w:lineRule="auto"/>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76" w:lineRule="exact"/>
        <w:rPr>
          <w:rFonts w:ascii="Times New Roman" w:cs="Times New Roman" w:eastAsia="Times New Roman" w:hAnsi="Times New Roman"/>
          <w:sz w:val="18"/>
          <w:szCs w:val="18"/>
          <w:color w:val="auto"/>
        </w:rPr>
      </w:pPr>
    </w:p>
    <w:p>
      <w:pPr>
        <w:ind w:left="1400" w:right="40" w:hanging="374"/>
        <w:spacing w:after="0"/>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certain payments and other “transfers of value” made to physicians (defined to include doctors, dentists, optometrists, podiatrists and chiropractors), other healthcare professionals (such as physician assistants and nurse practitioners),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84" w:lineRule="exact"/>
        <w:rPr>
          <w:rFonts w:ascii="Times New Roman" w:cs="Times New Roman" w:eastAsia="Times New Roman" w:hAnsi="Times New Roman"/>
          <w:sz w:val="18"/>
          <w:szCs w:val="18"/>
          <w:color w:val="auto"/>
        </w:rPr>
      </w:pPr>
    </w:p>
    <w:p>
      <w:pPr>
        <w:ind w:left="1400" w:hanging="374"/>
        <w:spacing w:after="0" w:line="239" w:lineRule="auto"/>
        <w:tabs>
          <w:tab w:leader="none" w:pos="14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data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1"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84"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0"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8" w:lineRule="exact"/>
        <w:rPr>
          <w:sz w:val="20"/>
          <w:szCs w:val="20"/>
          <w:color w:val="auto"/>
        </w:rPr>
      </w:pPr>
    </w:p>
    <w:p>
      <w:pPr>
        <w:ind w:right="360" w:firstLine="1018"/>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2" w:name="page63"/>
    <w:bookmarkEnd w:id="62"/>
    <w:p>
      <w:pPr>
        <w:ind w:right="700"/>
        <w:spacing w:after="0" w:line="266" w:lineRule="auto"/>
        <w:rPr>
          <w:sz w:val="20"/>
          <w:szCs w:val="20"/>
          <w:color w:val="auto"/>
        </w:rPr>
      </w:pPr>
      <w:r>
        <w:rPr>
          <w:rFonts w:ascii="Times New Roman" w:cs="Times New Roman" w:eastAsia="Times New Roman" w:hAnsi="Times New Roman"/>
          <w:sz w:val="18"/>
          <w:szCs w:val="18"/>
          <w:color w:val="auto"/>
        </w:rPr>
        <w:t>delay marketing approval of our product candidates, restrict or regulate post-approval activities and affect our ability to profitably sell any product candidates for which we obtain marketing approval.</w:t>
      </w:r>
    </w:p>
    <w:p>
      <w:pPr>
        <w:spacing w:after="0" w:line="162"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185" w:lineRule="exact"/>
        <w:rPr>
          <w:sz w:val="20"/>
          <w:szCs w:val="20"/>
          <w:color w:val="auto"/>
        </w:rPr>
      </w:pPr>
    </w:p>
    <w:p>
      <w:pPr>
        <w:jc w:val="both"/>
        <w:ind w:left="1400" w:right="120" w:hanging="374"/>
        <w:spacing w:after="0" w:line="250" w:lineRule="auto"/>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11" w:lineRule="exact"/>
        <w:rPr>
          <w:rFonts w:ascii="Times New Roman" w:cs="Times New Roman" w:eastAsia="Times New Roman" w:hAnsi="Times New Roman"/>
          <w:sz w:val="18"/>
          <w:szCs w:val="18"/>
          <w:color w:val="auto"/>
        </w:rPr>
      </w:pPr>
    </w:p>
    <w:p>
      <w:pPr>
        <w:ind w:left="1400" w:right="380" w:hanging="374"/>
        <w:spacing w:after="0" w:line="266" w:lineRule="auto"/>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that are inhaled, infused, instilled, implanted or injected;</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in certain states;</w:t>
      </w:r>
    </w:p>
    <w:p>
      <w:pPr>
        <w:spacing w:after="0" w:line="211" w:lineRule="exact"/>
        <w:rPr>
          <w:rFonts w:ascii="Times New Roman" w:cs="Times New Roman" w:eastAsia="Times New Roman" w:hAnsi="Times New Roman"/>
          <w:sz w:val="18"/>
          <w:szCs w:val="18"/>
          <w:color w:val="auto"/>
        </w:rPr>
      </w:pPr>
    </w:p>
    <w:p>
      <w:pPr>
        <w:ind w:left="1400" w:right="100" w:hanging="374"/>
        <w:spacing w:after="0" w:line="245" w:lineRule="auto"/>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180"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211" w:lineRule="exact"/>
        <w:rPr>
          <w:rFonts w:ascii="Times New Roman" w:cs="Times New Roman" w:eastAsia="Times New Roman" w:hAnsi="Times New Roman"/>
          <w:sz w:val="18"/>
          <w:szCs w:val="18"/>
          <w:color w:val="auto"/>
        </w:rPr>
      </w:pPr>
    </w:p>
    <w:p>
      <w:pPr>
        <w:ind w:left="1400" w:right="280" w:hanging="374"/>
        <w:spacing w:after="0" w:line="266" w:lineRule="auto"/>
        <w:tabs>
          <w:tab w:leader="none" w:pos="1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additional challenges in the future. It is unclear how such challenges and the healthcare reform measures of the Biden administration will impact the ACA, or the impact any changes to the ACA may have on our ability to commercialize products or the prices we are able to obtain.</w:t>
      </w:r>
    </w:p>
    <w:p>
      <w:pPr>
        <w:spacing w:after="0" w:line="185" w:lineRule="exact"/>
        <w:rPr>
          <w:sz w:val="20"/>
          <w:szCs w:val="20"/>
          <w:color w:val="auto"/>
        </w:rPr>
      </w:pPr>
    </w:p>
    <w:p>
      <w:pPr>
        <w:ind w:right="180" w:firstLine="1018"/>
        <w:spacing w:after="0" w:line="24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including the Infrastructure Investment and Jobs Act, will remain in effect through 2031 unless additional action is taken by Congress. However, the Medicare sequester reductions under the Budget Control Act of 2011 have been suspended from May 1, 2020 through March 31, 2022 due to the COVID-19 pandemic. Under current legislation the actual reduction in Medicare payments will vary from 1% in 2022 to up to 3% in the final fiscal year of this sequester. Further, Congress is considering additional health reform measures.</w:t>
      </w:r>
    </w:p>
    <w:p>
      <w:pPr>
        <w:spacing w:after="0" w:line="184" w:lineRule="exact"/>
        <w:rPr>
          <w:sz w:val="20"/>
          <w:szCs w:val="20"/>
          <w:color w:val="auto"/>
        </w:rPr>
      </w:pPr>
    </w:p>
    <w:p>
      <w:pPr>
        <w:ind w:right="200" w:firstLine="1018"/>
        <w:spacing w:after="0" w:line="239"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Individual states in the United States have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ind w:right="80"/>
        <w:spacing w:after="0" w:line="245" w:lineRule="auto"/>
        <w:rPr>
          <w:sz w:val="20"/>
          <w:szCs w:val="20"/>
          <w:color w:val="auto"/>
        </w:rPr>
      </w:pPr>
      <w:r>
        <w:rPr>
          <w:rFonts w:ascii="Times New Roman" w:cs="Times New Roman" w:eastAsia="Times New Roman" w:hAnsi="Times New Roman"/>
          <w:sz w:val="18"/>
          <w:szCs w:val="18"/>
          <w:color w:val="auto"/>
        </w:rPr>
        <w:t>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81"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therapies, which could result in reduced demand for our product candidates or additional pricing pressures.</w:t>
      </w:r>
    </w:p>
    <w:p>
      <w:pPr>
        <w:spacing w:after="0" w:line="177"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16"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70"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58"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Executive Chairman, Mir Imran, and our existing senior management team.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91" w:lineRule="exact"/>
        <w:rPr>
          <w:sz w:val="20"/>
          <w:szCs w:val="20"/>
          <w:color w:val="auto"/>
        </w:rPr>
      </w:pPr>
    </w:p>
    <w:p>
      <w:pPr>
        <w:ind w:right="220" w:firstLine="1018"/>
        <w:spacing w:after="0" w:line="241" w:lineRule="auto"/>
        <w:rPr>
          <w:sz w:val="20"/>
          <w:szCs w:val="20"/>
          <w:color w:val="auto"/>
        </w:rPr>
      </w:pPr>
      <w:r>
        <w:rPr>
          <w:rFonts w:ascii="Times New Roman" w:cs="Times New Roman" w:eastAsia="Times New Roman" w:hAnsi="Times New Roman"/>
          <w:sz w:val="18"/>
          <w:szCs w:val="18"/>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the size of our organization, and we may experience difficulties in managing this growth.</w:t>
      </w:r>
    </w:p>
    <w:p>
      <w:pPr>
        <w:spacing w:after="0" w:line="216" w:lineRule="exact"/>
        <w:rPr>
          <w:sz w:val="20"/>
          <w:szCs w:val="20"/>
          <w:color w:val="auto"/>
        </w:rPr>
      </w:pPr>
    </w:p>
    <w:p>
      <w:pPr>
        <w:jc w:val="both"/>
        <w:ind w:right="180" w:firstLine="1018"/>
        <w:spacing w:after="0" w:line="250"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77" w:lineRule="exact"/>
        <w:rPr>
          <w:sz w:val="20"/>
          <w:szCs w:val="20"/>
          <w:color w:val="auto"/>
        </w:rPr>
      </w:pPr>
    </w:p>
    <w:p>
      <w:pPr>
        <w:ind w:left="1400" w:hanging="37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managing our clinical trials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4" w:name="page65"/>
    <w:bookmarkEnd w:id="64"/>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manufacturing and development efforts effectively;</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financial systems and controls; and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facilities.</w:t>
      </w:r>
    </w:p>
    <w:p>
      <w:pPr>
        <w:spacing w:after="0" w:line="212" w:lineRule="exact"/>
        <w:rPr>
          <w:sz w:val="20"/>
          <w:szCs w:val="20"/>
          <w:color w:val="auto"/>
        </w:rPr>
      </w:pPr>
    </w:p>
    <w:p>
      <w:pPr>
        <w:ind w:right="140" w:firstLine="1018"/>
        <w:spacing w:after="0" w:line="245"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7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58"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84" w:lineRule="exact"/>
        <w:rPr>
          <w:sz w:val="20"/>
          <w:szCs w:val="20"/>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11" w:lineRule="exact"/>
        <w:rPr>
          <w:rFonts w:ascii="Times New Roman" w:cs="Times New Roman" w:eastAsia="Times New Roman" w:hAnsi="Times New Roman"/>
          <w:sz w:val="18"/>
          <w:szCs w:val="18"/>
          <w:color w:val="auto"/>
        </w:rPr>
      </w:pPr>
    </w:p>
    <w:p>
      <w:pPr>
        <w:ind w:left="1400" w:right="140" w:hanging="374"/>
        <w:spacing w:after="0" w:line="250" w:lineRule="auto"/>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comparable foreign regulatory authorities and the timing thereof;</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compounds used in the manufacture of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reliably provide the quantity of materials needed to manufacture and commercialize our products;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of adverse events or serious adverse events in preclinical studies or clinical trials of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and the success of our own efforts with respect to the commercialization of our products; and</w:t>
      </w:r>
    </w:p>
    <w:p>
      <w:pPr>
        <w:spacing w:after="0" w:line="211" w:lineRule="exact"/>
        <w:rPr>
          <w:rFonts w:ascii="Times New Roman" w:cs="Times New Roman" w:eastAsia="Times New Roman" w:hAnsi="Times New Roman"/>
          <w:sz w:val="18"/>
          <w:szCs w:val="18"/>
          <w:color w:val="auto"/>
        </w:rPr>
      </w:pPr>
    </w:p>
    <w:p>
      <w:pPr>
        <w:ind w:left="1400" w:right="40" w:hanging="374"/>
        <w:spacing w:after="0" w:line="266" w:lineRule="auto"/>
        <w:tabs>
          <w:tab w:leader="none" w:pos="14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including scale and automation processes, as well as sales and marketing activities.</w:t>
      </w:r>
    </w:p>
    <w:p>
      <w:pPr>
        <w:spacing w:after="0" w:line="162"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engage in strategic transactions that could impact our liquidity, increase our expenses and present significant distractions to our management.</w:t>
      </w:r>
    </w:p>
    <w:p>
      <w:pPr>
        <w:spacing w:after="0" w:line="227"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65" w:name="page66"/>
    <w:bookmarkEnd w:id="65"/>
    <w:p>
      <w:pPr>
        <w:spacing w:after="0" w:line="239" w:lineRule="auto"/>
        <w:rPr>
          <w:sz w:val="20"/>
          <w:szCs w:val="20"/>
          <w:color w:val="auto"/>
        </w:rPr>
      </w:pPr>
      <w:r>
        <w:rPr>
          <w:rFonts w:ascii="Times New Roman" w:cs="Times New Roman" w:eastAsia="Times New Roman" w:hAnsi="Times New Roman"/>
          <w:sz w:val="18"/>
          <w:szCs w:val="18"/>
          <w:color w:val="auto"/>
        </w:rPr>
        <w:t>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216"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7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8"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4"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58"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6" w:name="page67"/>
    <w:bookmarkEnd w:id="66"/>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76" w:lineRule="exact"/>
        <w:rPr>
          <w:sz w:val="20"/>
          <w:szCs w:val="20"/>
          <w:color w:val="auto"/>
        </w:rPr>
      </w:pPr>
    </w:p>
    <w:p>
      <w:pPr>
        <w:ind w:right="220" w:firstLine="1018"/>
        <w:spacing w:after="0" w:line="250" w:lineRule="auto"/>
        <w:rPr>
          <w:sz w:val="20"/>
          <w:szCs w:val="20"/>
          <w:color w:val="auto"/>
        </w:rPr>
      </w:pPr>
      <w:r>
        <w:rPr>
          <w:rFonts w:ascii="Times New Roman" w:cs="Times New Roman" w:eastAsia="Times New Roman" w:hAnsi="Times New Roman"/>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77" w:lineRule="exact"/>
        <w:rPr>
          <w:sz w:val="20"/>
          <w:szCs w:val="20"/>
          <w:color w:val="auto"/>
        </w:rPr>
      </w:pPr>
    </w:p>
    <w:p>
      <w:pPr>
        <w:ind w:right="500" w:firstLine="1018"/>
        <w:spacing w:after="0" w:line="266" w:lineRule="auto"/>
        <w:rPr>
          <w:sz w:val="20"/>
          <w:szCs w:val="20"/>
          <w:color w:val="auto"/>
        </w:rPr>
      </w:pPr>
      <w:r>
        <w:rPr>
          <w:rFonts w:ascii="Times New Roman" w:cs="Times New Roman" w:eastAsia="Times New Roman" w:hAnsi="Times New Roman"/>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62" w:lineRule="exact"/>
        <w:rPr>
          <w:sz w:val="20"/>
          <w:szCs w:val="20"/>
          <w:color w:val="auto"/>
        </w:rPr>
      </w:pPr>
    </w:p>
    <w:p>
      <w:pPr>
        <w:ind w:right="40" w:firstLine="1018"/>
        <w:spacing w:after="0" w:line="239"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83"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35"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1" w:lineRule="exact"/>
        <w:rPr>
          <w:sz w:val="20"/>
          <w:szCs w:val="20"/>
          <w:color w:val="auto"/>
        </w:rPr>
      </w:pPr>
    </w:p>
    <w:p>
      <w:pPr>
        <w:ind w:right="20" w:firstLine="1018"/>
        <w:spacing w:after="0" w:line="24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5"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impact our business including our ongoing and planned preclinical studies and clinical trials.</w:t>
      </w:r>
    </w:p>
    <w:p>
      <w:pPr>
        <w:spacing w:after="0" w:line="216"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7" w:name="page68"/>
    <w:bookmarkEnd w:id="67"/>
    <w:p>
      <w:pPr>
        <w:spacing w:after="0" w:line="238" w:lineRule="auto"/>
        <w:rPr>
          <w:sz w:val="20"/>
          <w:szCs w:val="20"/>
          <w:color w:val="auto"/>
        </w:rPr>
      </w:pPr>
      <w:r>
        <w:rPr>
          <w:rFonts w:ascii="Times New Roman" w:cs="Times New Roman" w:eastAsia="Times New Roman" w:hAnsi="Times New Roman"/>
          <w:sz w:val="18"/>
          <w:szCs w:val="18"/>
          <w:color w:val="auto"/>
        </w:rPr>
        <w:t>pandemic has and may continue to impact our third-party manufacturers and suppliers, which could disrupt its supply chain or the availability or cost of materials. The effects of the public health directives and our work-from-home policies may negatively impact productivity, disrupt our business, and delay clinical programs and timelines and future clinical trials, the magnitude of which will depend, in part, on the length and severity of the restrictions and other limitations on our ability to conduct business in the ordinary course. These and similar, and perhaps more severe, disruptions in our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the emergence and spread of variants,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188" w:lineRule="exact"/>
        <w:rPr>
          <w:sz w:val="20"/>
          <w:szCs w:val="20"/>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management to travel in connection with establishing partnerships and collaborations;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the supplies, materials and services needed to conduct preclinical studies and clinical trials;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access to capital in the global financial markets;</w:t>
      </w:r>
    </w:p>
    <w:p>
      <w:pPr>
        <w:spacing w:after="0" w:line="211" w:lineRule="exact"/>
        <w:rPr>
          <w:rFonts w:ascii="Times New Roman" w:cs="Times New Roman" w:eastAsia="Times New Roman" w:hAnsi="Times New Roman"/>
          <w:sz w:val="18"/>
          <w:szCs w:val="18"/>
          <w:color w:val="auto"/>
        </w:rPr>
      </w:pPr>
    </w:p>
    <w:p>
      <w:pPr>
        <w:ind w:left="1400" w:right="400" w:hanging="374"/>
        <w:spacing w:after="0" w:line="266"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Phase 1 clinical trial of RT-102 and our future planned clinical trials of our product candidates;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11" w:lineRule="exact"/>
        <w:rPr>
          <w:rFonts w:ascii="Times New Roman" w:cs="Times New Roman" w:eastAsia="Times New Roman" w:hAnsi="Times New Roman"/>
          <w:sz w:val="18"/>
          <w:szCs w:val="18"/>
          <w:color w:val="auto"/>
        </w:rPr>
      </w:pPr>
    </w:p>
    <w:p>
      <w:pPr>
        <w:ind w:left="1400" w:hanging="374"/>
        <w:spacing w:after="0" w:line="266"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62" w:lineRule="exact"/>
        <w:rPr>
          <w:rFonts w:ascii="Times New Roman" w:cs="Times New Roman" w:eastAsia="Times New Roman" w:hAnsi="Times New Roman"/>
          <w:sz w:val="18"/>
          <w:szCs w:val="18"/>
          <w:color w:val="auto"/>
        </w:rPr>
      </w:pPr>
    </w:p>
    <w:p>
      <w:pPr>
        <w:jc w:val="both"/>
        <w:ind w:left="1400" w:hanging="374"/>
        <w:spacing w:after="0" w:line="250"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76" w:lineRule="exact"/>
        <w:rPr>
          <w:rFonts w:ascii="Times New Roman" w:cs="Times New Roman" w:eastAsia="Times New Roman" w:hAnsi="Times New Roman"/>
          <w:sz w:val="18"/>
          <w:szCs w:val="18"/>
          <w:color w:val="auto"/>
        </w:rPr>
      </w:pPr>
    </w:p>
    <w:p>
      <w:pPr>
        <w:ind w:left="1400" w:right="180" w:hanging="374"/>
        <w:spacing w:after="0" w:line="272" w:lineRule="auto"/>
        <w:tabs>
          <w:tab w:leader="none" w:pos="14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58" w:lineRule="exact"/>
        <w:rPr>
          <w:rFonts w:ascii="Times New Roman" w:cs="Times New Roman" w:eastAsia="Times New Roman" w:hAnsi="Times New Roman"/>
          <w:sz w:val="17"/>
          <w:szCs w:val="17"/>
          <w:color w:val="auto"/>
        </w:rPr>
      </w:pPr>
    </w:p>
    <w:p>
      <w:pPr>
        <w:ind w:left="1400" w:right="620" w:hanging="374"/>
        <w:spacing w:after="0" w:line="266"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or comparable foreign regulatory authorities, which may impact review and approval timelines;</w:t>
      </w:r>
    </w:p>
    <w:p>
      <w:pPr>
        <w:spacing w:after="0" w:line="162" w:lineRule="exact"/>
        <w:rPr>
          <w:rFonts w:ascii="Times New Roman" w:cs="Times New Roman" w:eastAsia="Times New Roman" w:hAnsi="Times New Roman"/>
          <w:sz w:val="18"/>
          <w:szCs w:val="18"/>
          <w:color w:val="auto"/>
        </w:rPr>
      </w:pPr>
    </w:p>
    <w:p>
      <w:pPr>
        <w:ind w:left="1400" w:right="120" w:hanging="374"/>
        <w:spacing w:after="0" w:line="266"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to our pipeline and research programs; and</w:t>
      </w:r>
    </w:p>
    <w:p>
      <w:pPr>
        <w:spacing w:after="0" w:line="211" w:lineRule="exact"/>
        <w:rPr>
          <w:rFonts w:ascii="Times New Roman" w:cs="Times New Roman" w:eastAsia="Times New Roman" w:hAnsi="Times New Roman"/>
          <w:sz w:val="18"/>
          <w:szCs w:val="18"/>
          <w:color w:val="auto"/>
        </w:rPr>
      </w:pPr>
    </w:p>
    <w:p>
      <w:pPr>
        <w:ind w:left="1400" w:right="280" w:hanging="374"/>
        <w:spacing w:after="0" w:line="266" w:lineRule="auto"/>
        <w:tabs>
          <w:tab w:leader="none" w:pos="14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62"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 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8" w:name="page69"/>
    <w:bookmarkEnd w:id="68"/>
    <w:p>
      <w:pPr>
        <w:ind w:right="100"/>
        <w:spacing w:after="0" w:line="245" w:lineRule="auto"/>
        <w:rPr>
          <w:sz w:val="20"/>
          <w:szCs w:val="20"/>
          <w:color w:val="auto"/>
        </w:rPr>
      </w:pPr>
      <w:r>
        <w:rPr>
          <w:rFonts w:ascii="Times New Roman" w:cs="Times New Roman" w:eastAsia="Times New Roman" w:hAnsi="Times New Roman"/>
          <w:sz w:val="18"/>
          <w:szCs w:val="18"/>
          <w:color w:val="auto"/>
        </w:rPr>
        <w:t>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81"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85"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Additionally, the demand for vaccines and COVID-19 treatments may make it more difficult to obtain materials or manufacturing slots for the products needed for our planned clinical trials, which could lead to delays in these trials.</w:t>
      </w:r>
    </w:p>
    <w:p>
      <w:pPr>
        <w:spacing w:after="0" w:line="162" w:lineRule="exact"/>
        <w:rPr>
          <w:sz w:val="20"/>
          <w:szCs w:val="20"/>
          <w:color w:val="auto"/>
        </w:rPr>
      </w:pPr>
    </w:p>
    <w:p>
      <w:pPr>
        <w:ind w:right="300" w:firstLine="1018"/>
        <w:spacing w:after="0" w:line="242" w:lineRule="auto"/>
        <w:rPr>
          <w:sz w:val="20"/>
          <w:szCs w:val="20"/>
          <w:color w:val="auto"/>
        </w:rPr>
      </w:pPr>
      <w:r>
        <w:rPr>
          <w:rFonts w:ascii="Times New Roman" w:cs="Times New Roman" w:eastAsia="Times New Roman" w:hAnsi="Times New Roman"/>
          <w:sz w:val="18"/>
          <w:szCs w:val="18"/>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85" w:lineRule="exact"/>
        <w:rPr>
          <w:sz w:val="20"/>
          <w:szCs w:val="20"/>
          <w:color w:val="auto"/>
        </w:rPr>
      </w:pPr>
    </w:p>
    <w:p>
      <w:pPr>
        <w:ind w:right="180" w:firstLine="1018"/>
        <w:spacing w:after="0" w:line="245" w:lineRule="auto"/>
        <w:rPr>
          <w:sz w:val="20"/>
          <w:szCs w:val="20"/>
          <w:color w:val="auto"/>
        </w:rPr>
      </w:pPr>
      <w:r>
        <w:rPr>
          <w:rFonts w:ascii="Times New Roman" w:cs="Times New Roman" w:eastAsia="Times New Roman" w:hAnsi="Times New Roman"/>
          <w:sz w:val="18"/>
          <w:szCs w:val="18"/>
          <w:color w:val="auto"/>
        </w:rPr>
        <w:t>While the extent of the impact of the COVID -19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76" w:lineRule="exact"/>
        <w:rPr>
          <w:sz w:val="20"/>
          <w:szCs w:val="20"/>
          <w:color w:val="auto"/>
        </w:rPr>
      </w:pPr>
    </w:p>
    <w:p>
      <w:pPr>
        <w:ind w:right="140" w:firstLine="1018"/>
        <w:spacing w:after="0" w:line="264" w:lineRule="auto"/>
        <w:rPr>
          <w:sz w:val="20"/>
          <w:szCs w:val="20"/>
          <w:color w:val="auto"/>
        </w:rPr>
      </w:pPr>
      <w:r>
        <w:rPr>
          <w:rFonts w:ascii="Times New Roman" w:cs="Times New Roman" w:eastAsia="Times New Roman" w:hAnsi="Times New Roman"/>
          <w:sz w:val="17"/>
          <w:szCs w:val="17"/>
          <w:color w:val="auto"/>
        </w:rPr>
        <w:t>In the ordinary course of business, we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66" w:lineRule="exact"/>
        <w:rPr>
          <w:sz w:val="20"/>
          <w:szCs w:val="20"/>
          <w:color w:val="auto"/>
        </w:rPr>
      </w:pPr>
    </w:p>
    <w:p>
      <w:pPr>
        <w:ind w:right="40" w:firstLine="1018"/>
        <w:spacing w:after="0" w:line="238"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HIPAA, as amended by HITECH, imposes specific requirements relating to the privacy, security, and transmission of individually identifiable health information. As another example, the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In addition, it is anticipated that the CPRA, effective January 1, 2023, will expand the CCPA.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86"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 GDPR, the UK GDPR and China’s Personal Information Protection Law (“PIPL”),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may initiate litigation related to processing of their personal data. We conduct clinical trials in Australia, work with companies and vendors in Asia and may be subject to new and emerging data privacy regimes in Asia, including China’s PIPL, Japan’s Act on the Protection of Personal Information, and Singapore’s Personal Data Protection Act.</w:t>
      </w:r>
    </w:p>
    <w:p>
      <w:pPr>
        <w:spacing w:after="0" w:line="184"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Certain jurisdictions have enacted data localization laws and cross-border personal data transfer laws, which could make it more difficult to transfer information across jurisdictions (such as transferring or receiving personal data that originates in the EU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9" w:name="page70"/>
    <w:bookmarkEnd w:id="69"/>
    <w:p>
      <w:pPr>
        <w:ind w:right="60"/>
        <w:spacing w:after="0" w:line="238" w:lineRule="auto"/>
        <w:rPr>
          <w:sz w:val="20"/>
          <w:szCs w:val="20"/>
          <w:color w:val="auto"/>
        </w:rPr>
      </w:pPr>
      <w:r>
        <w:rPr>
          <w:rFonts w:ascii="Times New Roman" w:cs="Times New Roman" w:eastAsia="Times New Roman" w:hAnsi="Times New Roman"/>
          <w:sz w:val="18"/>
          <w:szCs w:val="18"/>
          <w:color w:val="auto"/>
        </w:rPr>
        <w:t>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The European Commission released a set of “Standard Contractual Clauses” (“SCCs”) that are designed to be a valid mechanism to facilitate personal data transfers out of the EEA to these jurisdictions. Currently, these Standard Contractual Clauses are a valid mechanism to transfer personal data outside of the EEA, but there exists some uncertainty regarding whether the SCCs will remain a valid mechanism. Additionally, the SCCs impose additional compliance burdens, such as conducting transfer impact assessments to determine whether additional security measures are necessary to protect the at-issue personal data. In addition, Switzerland and the United Kingdom similarly restrict personal data transfers outside of those jurisdictions to countries such as the United States that do not provide an adequate level of personal data protection, and certain countries outside Europe (e.g., Russia, China, Brazil) have also passed or are considering laws requiring local data residency or otherwise impeding the transfer of personal data across borders, any of which could increase the cost and complexity of doing business.</w:t>
      </w:r>
    </w:p>
    <w:p>
      <w:pPr>
        <w:spacing w:after="0" w:line="186"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w:t>
      </w:r>
    </w:p>
    <w:p>
      <w:pPr>
        <w:spacing w:after="0" w:line="185" w:lineRule="exact"/>
        <w:rPr>
          <w:sz w:val="20"/>
          <w:szCs w:val="20"/>
          <w:color w:val="auto"/>
        </w:rPr>
      </w:pPr>
    </w:p>
    <w:p>
      <w:pPr>
        <w:ind w:right="320" w:firstLine="1018"/>
        <w:spacing w:after="0" w:line="266" w:lineRule="auto"/>
        <w:rPr>
          <w:sz w:val="20"/>
          <w:szCs w:val="20"/>
          <w:color w:val="auto"/>
        </w:rPr>
      </w:pPr>
      <w:r>
        <w:rPr>
          <w:rFonts w:ascii="Times New Roman" w:cs="Times New Roman" w:eastAsia="Times New Roman" w:hAnsi="Times New Roman"/>
          <w:sz w:val="18"/>
          <w:szCs w:val="18"/>
          <w:color w:val="auto"/>
        </w:rPr>
        <w:t>In addition, privacy advocates and industry groups have proposed, and may propose, standards with which we are legally or contractually bound to comply.</w:t>
      </w:r>
    </w:p>
    <w:p>
      <w:pPr>
        <w:spacing w:after="0" w:line="162"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w:t>
      </w:r>
    </w:p>
    <w:p>
      <w:pPr>
        <w:spacing w:after="0" w:line="187" w:lineRule="exact"/>
        <w:rPr>
          <w:sz w:val="20"/>
          <w:szCs w:val="20"/>
          <w:color w:val="auto"/>
        </w:rPr>
      </w:pPr>
    </w:p>
    <w:p>
      <w:pPr>
        <w:ind w:right="180" w:firstLine="1018"/>
        <w:spacing w:after="0" w:line="245"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p>
    <w:p>
      <w:pPr>
        <w:spacing w:after="0" w:line="181"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7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If our internal technology systems or sensitive information, or those used by our third-party collaborators or other contractors or consultants,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1" w:lineRule="exact"/>
        <w:rPr>
          <w:sz w:val="20"/>
          <w:szCs w:val="20"/>
          <w:color w:val="auto"/>
        </w:rPr>
      </w:pPr>
    </w:p>
    <w:p>
      <w:pPr>
        <w:ind w:right="180" w:firstLine="1018"/>
        <w:spacing w:after="0" w:line="242" w:lineRule="auto"/>
        <w:rPr>
          <w:sz w:val="20"/>
          <w:szCs w:val="20"/>
          <w:color w:val="auto"/>
        </w:rPr>
      </w:pPr>
      <w:r>
        <w:rPr>
          <w:rFonts w:ascii="Times New Roman" w:cs="Times New Roman" w:eastAsia="Times New Roman" w:hAnsi="Times New Roman"/>
          <w:sz w:val="18"/>
          <w:szCs w:val="18"/>
          <w:color w:val="auto"/>
        </w:rPr>
        <w:t>In the ordinary course of our business, we may process sensitive information. 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clinical trials and other functions.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85"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are prevalent and continue to increase. These threats come from a variety of sources, including traditional computer “hackers,”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ind w:right="60"/>
        <w:spacing w:after="0"/>
        <w:rPr>
          <w:sz w:val="20"/>
          <w:szCs w:val="20"/>
          <w:color w:val="auto"/>
        </w:rPr>
      </w:pPr>
      <w:r>
        <w:rPr>
          <w:rFonts w:ascii="Times New Roman" w:cs="Times New Roman" w:eastAsia="Times New Roman" w:hAnsi="Times New Roman"/>
          <w:sz w:val="18"/>
          <w:szCs w:val="18"/>
          <w:color w:val="auto"/>
        </w:rPr>
        <w:t>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develop, test and distribute our capsules, product candidates, and other goods and services. .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85"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 The COVID-19 pandemic and our remote workforce poses increased risks to our information technology systems and data, as more of our employees work from home, utilizing network connections outside our premises.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w:t>
      </w:r>
    </w:p>
    <w:p>
      <w:pPr>
        <w:spacing w:after="0" w:line="188" w:lineRule="exact"/>
        <w:rPr>
          <w:sz w:val="20"/>
          <w:szCs w:val="20"/>
          <w:color w:val="auto"/>
        </w:rPr>
      </w:pPr>
    </w:p>
    <w:p>
      <w:pPr>
        <w:ind w:right="60" w:firstLine="1018"/>
        <w:spacing w:after="0" w:line="238" w:lineRule="auto"/>
        <w:rPr>
          <w:sz w:val="20"/>
          <w:szCs w:val="20"/>
          <w:color w:val="auto"/>
        </w:rPr>
      </w:pPr>
      <w:r>
        <w:rPr>
          <w:rFonts w:ascii="Times New Roman" w:cs="Times New Roman" w:eastAsia="Times New Roman" w:hAnsi="Times New Roman"/>
          <w:sz w:val="18"/>
          <w:szCs w:val="18"/>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the previously identified or similar threats, any of which could cause a security incident or other interruption.. A security incident or other interruption could result in unauthorized access to, use or disclosure of, corruption of, or loss of sensitive, and/or proprietary information, including personal data and health-related information, and could subject us to significant liabilities and regulatory and enforcement actions, and reputational damage. A security incident or other interruption could disrupt our ability (and that of third parties upon whom we rely) to provide our products.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w:t>
      </w:r>
    </w:p>
    <w:p>
      <w:pPr>
        <w:spacing w:after="0" w:line="191"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77" w:lineRule="exact"/>
        <w:rPr>
          <w:sz w:val="20"/>
          <w:szCs w:val="20"/>
          <w:color w:val="auto"/>
        </w:rPr>
      </w:pPr>
    </w:p>
    <w:p>
      <w:pPr>
        <w:ind w:right="120" w:firstLine="1018"/>
        <w:spacing w:after="0" w:line="24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(including our products), our efforts may not be successful. Further, we may experience delays in developing and deploying remedial measures designed to address any such identified vulnerabilities.</w:t>
      </w:r>
    </w:p>
    <w:p>
      <w:pPr>
        <w:spacing w:after="0" w:line="185"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If we or our third-party collaborators, consultants, contractors, suppliers, or service providers were to suffer a security incident, for example, that resulted in the unauthorized access to or use or disclosure of personal data or health information, we may have to notify consumers, partners, collaborators, government authorities, and the media. Such disclosures are costly, and the disclosures or the failure to comply with such requirements could lead to adverse consequences. Additionally, if we or our third party collaborators, consultants, contractors, suppliers, or service providers experience a security incident or are perceived to have experienced a security incident, we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To the extent that any disruption or security incident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and our products could be delayed.</w:t>
      </w:r>
    </w:p>
    <w:p>
      <w:pPr>
        <w:spacing w:after="0" w:line="188"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1" w:name="page72"/>
    <w:bookmarkEnd w:id="71"/>
    <w:p>
      <w:pPr>
        <w:ind w:right="120"/>
        <w:spacing w:after="0" w:line="266" w:lineRule="auto"/>
        <w:rPr>
          <w:sz w:val="20"/>
          <w:szCs w:val="20"/>
          <w:color w:val="auto"/>
        </w:rPr>
      </w:pPr>
      <w:r>
        <w:rPr>
          <w:rFonts w:ascii="Times New Roman" w:cs="Times New Roman" w:eastAsia="Times New Roman" w:hAnsi="Times New Roman"/>
          <w:sz w:val="18"/>
          <w:szCs w:val="18"/>
          <w:color w:val="auto"/>
        </w:rPr>
        <w:t>obligations. We cannot be sure that our insurance coverage will be adequate or sufficient to protect us from or to mitigate liabilities arising out of our data privacy and security practices, or that it will be available on commercially reasonable terms or at all, or that such coverage will pay future claims.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may depend in part on our ability to build and maintain our intellectual property portfolio.</w:t>
      </w:r>
    </w:p>
    <w:p>
      <w:pPr>
        <w:spacing w:after="0" w:line="216"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81" w:lineRule="exact"/>
        <w:rPr>
          <w:sz w:val="20"/>
          <w:szCs w:val="20"/>
          <w:color w:val="auto"/>
        </w:rPr>
      </w:pPr>
    </w:p>
    <w:p>
      <w:pPr>
        <w:ind w:right="40" w:firstLine="1018"/>
        <w:spacing w:after="0" w:line="250" w:lineRule="auto"/>
        <w:rPr>
          <w:sz w:val="20"/>
          <w:szCs w:val="20"/>
          <w:color w:val="auto"/>
        </w:rPr>
      </w:pPr>
      <w:r>
        <w:rPr>
          <w:rFonts w:ascii="Times New Roman" w:cs="Times New Roman" w:eastAsia="Times New Roman" w:hAnsi="Times New Roman"/>
          <w:sz w:val="18"/>
          <w:szCs w:val="18"/>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77" w:lineRule="exact"/>
        <w:rPr>
          <w:sz w:val="20"/>
          <w:szCs w:val="20"/>
          <w:color w:val="auto"/>
        </w:rPr>
      </w:pPr>
    </w:p>
    <w:p>
      <w:pPr>
        <w:ind w:right="620" w:firstLine="1018"/>
        <w:spacing w:after="0" w:line="266" w:lineRule="auto"/>
        <w:rPr>
          <w:sz w:val="20"/>
          <w:szCs w:val="20"/>
          <w:color w:val="auto"/>
        </w:rPr>
      </w:pPr>
      <w:r>
        <w:rPr>
          <w:rFonts w:ascii="Times New Roman" w:cs="Times New Roman" w:eastAsia="Times New Roman" w:hAnsi="Times New Roman"/>
          <w:sz w:val="18"/>
          <w:szCs w:val="18"/>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62"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The following ways in which our intellectual property portfolio may be limited represent risks to our capability to reduce competition and thus risks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sufficient patent coverage.</w:t>
      </w:r>
    </w:p>
    <w:p>
      <w:pPr>
        <w:spacing w:after="0" w:line="216"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185"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85"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93"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72" w:name="page73"/>
    <w:bookmarkEnd w:id="72"/>
    <w:p>
      <w:pPr>
        <w:ind w:right="80"/>
        <w:spacing w:after="0" w:line="266" w:lineRule="auto"/>
        <w:rPr>
          <w:sz w:val="20"/>
          <w:szCs w:val="20"/>
          <w:color w:val="auto"/>
        </w:rPr>
      </w:pPr>
      <w:r>
        <w:rPr>
          <w:rFonts w:ascii="Times New Roman" w:cs="Times New Roman" w:eastAsia="Times New Roman" w:hAnsi="Times New Roman"/>
          <w:sz w:val="18"/>
          <w:szCs w:val="18"/>
          <w:color w:val="auto"/>
        </w:rPr>
        <w:t>agencies can result in the expiration or abandonment of a patent or patent application, resulting in partial or complete loss of associated patent rights in the relevant jurisdiction.</w:t>
      </w:r>
    </w:p>
    <w:p>
      <w:pPr>
        <w:spacing w:after="0" w:line="162" w:lineRule="exact"/>
        <w:rPr>
          <w:sz w:val="20"/>
          <w:szCs w:val="20"/>
          <w:color w:val="auto"/>
        </w:rPr>
      </w:pPr>
    </w:p>
    <w:p>
      <w:pPr>
        <w:ind w:right="80" w:firstLine="1018"/>
        <w:spacing w:after="0" w:line="237" w:lineRule="auto"/>
        <w:rPr>
          <w:sz w:val="20"/>
          <w:szCs w:val="20"/>
          <w:color w:val="auto"/>
        </w:rPr>
      </w:pPr>
      <w:r>
        <w:rPr>
          <w:rFonts w:ascii="Times New Roman" w:cs="Times New Roman" w:eastAsia="Times New Roman" w:hAnsi="Times New Roman"/>
          <w:sz w:val="18"/>
          <w:szCs w:val="18"/>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91"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sufficient brand protection.</w:t>
      </w:r>
    </w:p>
    <w:p>
      <w:pPr>
        <w:spacing w:after="0" w:line="216" w:lineRule="exact"/>
        <w:rPr>
          <w:sz w:val="20"/>
          <w:szCs w:val="20"/>
          <w:color w:val="auto"/>
        </w:rPr>
      </w:pPr>
    </w:p>
    <w:p>
      <w:pPr>
        <w:ind w:right="220" w:firstLine="1018"/>
        <w:spacing w:after="0" w:line="245" w:lineRule="auto"/>
        <w:rPr>
          <w:sz w:val="20"/>
          <w:szCs w:val="20"/>
          <w:color w:val="auto"/>
        </w:rPr>
      </w:pPr>
      <w:r>
        <w:rPr>
          <w:rFonts w:ascii="Times New Roman" w:cs="Times New Roman" w:eastAsia="Times New Roman" w:hAnsi="Times New Roman"/>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1"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84"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addition, our competitors may infringe or otherwise violate our trademarks and we may not have adequate resources to enforce our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trademarks.</w:t>
      </w:r>
    </w:p>
    <w:p>
      <w:pPr>
        <w:spacing w:after="0" w:line="192"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3" w:name="page74"/>
    <w:bookmarkEnd w:id="73"/>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law and regulation could affect the value of our intellectual property portfolio.</w:t>
      </w:r>
    </w:p>
    <w:p>
      <w:pPr>
        <w:spacing w:after="0" w:line="216"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81"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86"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84"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provide complete protection for our business activities.</w:t>
      </w:r>
    </w:p>
    <w:p>
      <w:pPr>
        <w:spacing w:after="0" w:line="216" w:lineRule="exact"/>
        <w:rPr>
          <w:sz w:val="20"/>
          <w:szCs w:val="20"/>
          <w:color w:val="auto"/>
        </w:rPr>
      </w:pPr>
    </w:p>
    <w:p>
      <w:pPr>
        <w:ind w:right="460" w:firstLine="1018"/>
        <w:spacing w:after="0" w:line="250" w:lineRule="auto"/>
        <w:rPr>
          <w:sz w:val="20"/>
          <w:szCs w:val="20"/>
          <w:color w:val="auto"/>
        </w:rPr>
      </w:pPr>
      <w:r>
        <w:rPr>
          <w:rFonts w:ascii="Times New Roman" w:cs="Times New Roman" w:eastAsia="Times New Roman" w:hAnsi="Times New Roman"/>
          <w:sz w:val="18"/>
          <w:szCs w:val="18"/>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commercialize our products prior to patent expiration.</w:t>
      </w:r>
    </w:p>
    <w:p>
      <w:pPr>
        <w:spacing w:after="0" w:line="216" w:lineRule="exact"/>
        <w:rPr>
          <w:sz w:val="20"/>
          <w:szCs w:val="20"/>
          <w:color w:val="auto"/>
        </w:rPr>
      </w:pPr>
    </w:p>
    <w:p>
      <w:pPr>
        <w:ind w:right="80" w:firstLine="1018"/>
        <w:spacing w:after="0" w:line="238"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United States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be effective against certain competitive products.</w:t>
      </w:r>
    </w:p>
    <w:p>
      <w:pPr>
        <w:spacing w:after="0" w:line="216"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4" w:name="page75"/>
    <w:bookmarkEnd w:id="74"/>
    <w:p>
      <w:pPr>
        <w:ind w:right="260" w:firstLine="1018"/>
        <w:spacing w:after="0" w:line="250" w:lineRule="auto"/>
        <w:rPr>
          <w:sz w:val="20"/>
          <w:szCs w:val="20"/>
          <w:color w:val="auto"/>
        </w:rPr>
      </w:pPr>
      <w:r>
        <w:rPr>
          <w:rFonts w:ascii="Times New Roman" w:cs="Times New Roman" w:eastAsia="Times New Roman" w:hAnsi="Times New Roman"/>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77"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1"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hold intellectual property rights that cover our product candidates.</w:t>
      </w:r>
    </w:p>
    <w:p>
      <w:pPr>
        <w:spacing w:after="0" w:line="216"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85" w:lineRule="exact"/>
        <w:rPr>
          <w:sz w:val="20"/>
          <w:szCs w:val="20"/>
          <w:color w:val="auto"/>
        </w:rPr>
      </w:pPr>
    </w:p>
    <w:p>
      <w:pPr>
        <w:ind w:right="140" w:firstLine="1018"/>
        <w:spacing w:after="0" w:line="250" w:lineRule="auto"/>
        <w:rPr>
          <w:sz w:val="20"/>
          <w:szCs w:val="20"/>
          <w:color w:val="auto"/>
        </w:rPr>
      </w:pPr>
      <w:r>
        <w:rPr>
          <w:rFonts w:ascii="Times New Roman" w:cs="Times New Roman" w:eastAsia="Times New Roman" w:hAnsi="Times New Roman"/>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77"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We are presently reliant upon an in-license with InCube Labs, LLC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85"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Further, we are presently party to a Service Agreement with ICL effective January 1, 2021, as amended in March 2022 (as amended, the "Rani LLC-ICL Service Agreement"), pursuant to which Rani LLC and ICL agreed to provide personnel services to the other upon requests, and Rani LLC occupies certain facilities leased by ICL. Pursuant to the Rani LLC-ICL Service Agreement, we may engage ICL to perform development work on behalf of our company. We will wholly own intellectual property resulting from such development work only if it relates to the oral delivery of a biotherapeutic agent or sensor(the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85"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84"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5" w:name="page76"/>
    <w:bookmarkEnd w:id="75"/>
    <w:p>
      <w:pPr>
        <w:ind w:right="300" w:firstLine="1018"/>
        <w:spacing w:after="0" w:line="250" w:lineRule="auto"/>
        <w:rPr>
          <w:sz w:val="20"/>
          <w:szCs w:val="20"/>
          <w:color w:val="auto"/>
        </w:rPr>
      </w:pPr>
      <w:r>
        <w:rPr>
          <w:rFonts w:ascii="Times New Roman" w:cs="Times New Roman" w:eastAsia="Times New Roman" w:hAnsi="Times New Roman"/>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73"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58"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 may challenge our intellectual property in administrative proceedings.</w:t>
      </w:r>
    </w:p>
    <w:p>
      <w:pPr>
        <w:spacing w:after="0" w:line="216" w:lineRule="exact"/>
        <w:rPr>
          <w:sz w:val="20"/>
          <w:szCs w:val="20"/>
          <w:color w:val="auto"/>
        </w:rPr>
      </w:pPr>
    </w:p>
    <w:p>
      <w:pPr>
        <w:ind w:right="200" w:firstLine="1018"/>
        <w:spacing w:after="0" w:line="242" w:lineRule="auto"/>
        <w:rPr>
          <w:sz w:val="20"/>
          <w:szCs w:val="20"/>
          <w:color w:val="auto"/>
        </w:rPr>
      </w:pPr>
      <w:r>
        <w:rPr>
          <w:rFonts w:ascii="Times New Roman" w:cs="Times New Roman" w:eastAsia="Times New Roman" w:hAnsi="Times New Roman"/>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European patents are presently being challenged in Europe.</w:t>
      </w:r>
    </w:p>
    <w:p>
      <w:pPr>
        <w:spacing w:after="0" w:line="216"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patent. We are presently involved in opposition proceedings involving three of our European patents at the EPO, all of which opposition proceedings were asserted against us by Novo Nordisk AS.</w:t>
      </w:r>
    </w:p>
    <w:p>
      <w:pPr>
        <w:spacing w:after="0" w:line="181"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The first of the three opposition proceedings involves European Patent No. 2515992, which is generally directed to an ingestible device. In July 2021, the EPO issued a decision resulting in an amendment to the claims of the patent. We subsequently filed a notice of appeal with the EPO Appeal Board and we are awaiting a final decision.</w:t>
      </w:r>
    </w:p>
    <w:p>
      <w:pPr>
        <w:spacing w:after="0" w:line="177" w:lineRule="exact"/>
        <w:rPr>
          <w:sz w:val="20"/>
          <w:szCs w:val="20"/>
          <w:color w:val="auto"/>
        </w:rPr>
      </w:pPr>
    </w:p>
    <w:p>
      <w:pPr>
        <w:jc w:val="both"/>
        <w:ind w:right="320" w:firstLine="1018"/>
        <w:spacing w:after="0" w:line="250" w:lineRule="auto"/>
        <w:rPr>
          <w:sz w:val="20"/>
          <w:szCs w:val="20"/>
          <w:color w:val="auto"/>
        </w:rPr>
      </w:pPr>
      <w:r>
        <w:rPr>
          <w:rFonts w:ascii="Times New Roman" w:cs="Times New Roman" w:eastAsia="Times New Roman" w:hAnsi="Times New Roman"/>
          <w:sz w:val="18"/>
          <w:szCs w:val="18"/>
          <w:color w:val="auto"/>
        </w:rPr>
        <w:t>The second of the three opposition proceedings involves European Patent No. 2544668, which is generally directed to a therapeutic agent preparation. In December 2021, the EPO issued a decision resulting in revocation of the patent. We subsequently filed a notice of appeal with the EPO Appeal Board and we are awaiting a final decision.</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last of the three opposition proceedings involves European Patent No. 3461478, which is in the same family as European Patent No.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2515992 noted above. We recently submitted a response to the EPO and we are waiting to conduct oral proceedings before receiving a decision in that case.</w:t>
      </w:r>
    </w:p>
    <w:p>
      <w:pPr>
        <w:spacing w:after="0" w:line="203"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While we own numerous issued European patents and pending European patent applications, including several in the same patent families as the three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three European patents which are the subject of the current opposition proceedings. However, if the current or future opposition proceedings result in the revocation or amendment of one or more of our European patents that cover important aspects of our technology, it could have a material adverse impact on our ability to commercialize in Europe and/or a material adverse impact on our ability to defend against potential competitors in Europe.</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is a risk that we may face additional oppositions in Europe as additional European patents grant.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assert challenges against others of infringement of our intellectual property.</w:t>
      </w:r>
    </w:p>
    <w:p>
      <w:pPr>
        <w:spacing w:after="0" w:line="216"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ind w:right="40" w:firstLine="1018"/>
        <w:spacing w:after="0" w:line="237" w:lineRule="auto"/>
        <w:rPr>
          <w:sz w:val="20"/>
          <w:szCs w:val="20"/>
          <w:color w:val="auto"/>
        </w:rPr>
      </w:pPr>
      <w:r>
        <w:rPr>
          <w:rFonts w:ascii="Times New Roman" w:cs="Times New Roman" w:eastAsia="Times New Roman" w:hAnsi="Times New Roman"/>
          <w:sz w:val="18"/>
          <w:szCs w:val="18"/>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93" w:lineRule="exact"/>
        <w:rPr>
          <w:sz w:val="20"/>
          <w:szCs w:val="20"/>
          <w:color w:val="auto"/>
        </w:rPr>
      </w:pPr>
    </w:p>
    <w:p>
      <w:pPr>
        <w:ind w:right="100" w:firstLine="1018"/>
        <w:spacing w:after="0" w:line="242" w:lineRule="auto"/>
        <w:rPr>
          <w:sz w:val="20"/>
          <w:szCs w:val="20"/>
          <w:color w:val="auto"/>
        </w:rPr>
      </w:pPr>
      <w:r>
        <w:rPr>
          <w:rFonts w:ascii="Times New Roman" w:cs="Times New Roman" w:eastAsia="Times New Roman" w:hAnsi="Times New Roman"/>
          <w:sz w:val="18"/>
          <w:szCs w:val="18"/>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85"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62" w:lineRule="exact"/>
        <w:rPr>
          <w:sz w:val="20"/>
          <w:szCs w:val="20"/>
          <w:color w:val="auto"/>
        </w:rPr>
      </w:pPr>
    </w:p>
    <w:p>
      <w:pPr>
        <w:ind w:right="320" w:firstLine="1018"/>
        <w:spacing w:after="0" w:line="266" w:lineRule="auto"/>
        <w:rPr>
          <w:sz w:val="20"/>
          <w:szCs w:val="20"/>
          <w:color w:val="auto"/>
        </w:rPr>
      </w:pPr>
      <w:r>
        <w:rPr>
          <w:rFonts w:ascii="Times New Roman" w:cs="Times New Roman" w:eastAsia="Times New Roman" w:hAnsi="Times New Roman"/>
          <w:sz w:val="18"/>
          <w:szCs w:val="18"/>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challenges asserting infringement of intellectual property of a third party.</w:t>
      </w:r>
    </w:p>
    <w:p>
      <w:pPr>
        <w:spacing w:after="0" w:line="216" w:lineRule="exact"/>
        <w:rPr>
          <w:sz w:val="20"/>
          <w:szCs w:val="20"/>
          <w:color w:val="auto"/>
        </w:rPr>
      </w:pPr>
    </w:p>
    <w:p>
      <w:pPr>
        <w:ind w:right="360" w:firstLine="1018"/>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62" w:lineRule="exact"/>
        <w:rPr>
          <w:sz w:val="20"/>
          <w:szCs w:val="20"/>
          <w:color w:val="auto"/>
        </w:rPr>
      </w:pPr>
    </w:p>
    <w:p>
      <w:pPr>
        <w:ind w:right="80" w:firstLine="1018"/>
        <w:spacing w:after="0" w:line="238" w:lineRule="auto"/>
        <w:rPr>
          <w:sz w:val="20"/>
          <w:szCs w:val="20"/>
          <w:color w:val="auto"/>
        </w:rPr>
      </w:pPr>
      <w:r>
        <w:rPr>
          <w:rFonts w:ascii="Times New Roman" w:cs="Times New Roman" w:eastAsia="Times New Roman" w:hAnsi="Times New Roman"/>
          <w:sz w:val="18"/>
          <w:szCs w:val="18"/>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188"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84"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7" w:name="page78"/>
    <w:bookmarkEnd w:id="77"/>
    <w:p>
      <w:pPr>
        <w:ind w:right="280" w:firstLine="1018"/>
        <w:spacing w:after="0" w:line="245" w:lineRule="auto"/>
        <w:rPr>
          <w:sz w:val="20"/>
          <w:szCs w:val="20"/>
          <w:color w:val="auto"/>
        </w:rPr>
      </w:pPr>
      <w:r>
        <w:rPr>
          <w:rFonts w:ascii="Times New Roman" w:cs="Times New Roman" w:eastAsia="Times New Roman" w:hAnsi="Times New Roman"/>
          <w:sz w:val="18"/>
          <w:szCs w:val="18"/>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81"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challenges asserting misappropriation of intellectual property of a third party.</w:t>
      </w:r>
    </w:p>
    <w:p>
      <w:pPr>
        <w:spacing w:after="0" w:line="216" w:lineRule="exact"/>
        <w:rPr>
          <w:sz w:val="20"/>
          <w:szCs w:val="20"/>
          <w:color w:val="auto"/>
        </w:rPr>
      </w:pPr>
    </w:p>
    <w:p>
      <w:pPr>
        <w:ind w:right="140" w:firstLine="1018"/>
        <w:spacing w:after="0" w:line="241" w:lineRule="auto"/>
        <w:rPr>
          <w:sz w:val="20"/>
          <w:szCs w:val="20"/>
          <w:color w:val="auto"/>
        </w:rPr>
      </w:pPr>
      <w:r>
        <w:rPr>
          <w:rFonts w:ascii="Times New Roman" w:cs="Times New Roman" w:eastAsia="Times New Roman" w:hAnsi="Times New Roman"/>
          <w:sz w:val="18"/>
          <w:szCs w:val="18"/>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84"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challenges to the inventorship or ownership of our intellectual property.</w:t>
      </w:r>
    </w:p>
    <w:p>
      <w:pPr>
        <w:spacing w:after="0" w:line="216"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us regarding inventions related to our business,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85"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obtain our proprietary information, which could harm our business and competitive position.</w:t>
      </w:r>
    </w:p>
    <w:p>
      <w:pPr>
        <w:spacing w:after="0" w:line="216"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77"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8" w:name="page79"/>
    <w:bookmarkEnd w:id="78"/>
    <w:p>
      <w:pPr>
        <w:ind w:firstLine="1018"/>
        <w:spacing w:after="0" w:line="250" w:lineRule="auto"/>
        <w:rPr>
          <w:sz w:val="20"/>
          <w:szCs w:val="20"/>
          <w:color w:val="auto"/>
        </w:rPr>
      </w:pPr>
      <w:r>
        <w:rPr>
          <w:rFonts w:ascii="Times New Roman" w:cs="Times New Roman" w:eastAsia="Times New Roman" w:hAnsi="Times New Roman"/>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77" w:lineRule="exact"/>
        <w:rPr>
          <w:sz w:val="20"/>
          <w:szCs w:val="20"/>
          <w:color w:val="auto"/>
        </w:rPr>
      </w:pPr>
    </w:p>
    <w:p>
      <w:pPr>
        <w:ind w:right="180" w:firstLine="1018"/>
        <w:spacing w:after="0" w:line="250" w:lineRule="auto"/>
        <w:rPr>
          <w:sz w:val="20"/>
          <w:szCs w:val="20"/>
          <w:color w:val="auto"/>
        </w:rPr>
      </w:pPr>
      <w:r>
        <w:rPr>
          <w:rFonts w:ascii="Times New Roman" w:cs="Times New Roman" w:eastAsia="Times New Roman" w:hAnsi="Times New Roman"/>
          <w:sz w:val="18"/>
          <w:szCs w:val="18"/>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1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principal asset is our interest in Rani LLC. Accordingly, we will depend on distributions from Rani LLC to pay our taxes, expenses (including payments under the Tax Receivable Agreement) and dividends. Rani’s ability to make such distributions may be subject to various limitations and restrictions.</w:t>
      </w:r>
    </w:p>
    <w:p>
      <w:pPr>
        <w:spacing w:after="0" w:line="176"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Interests of Rani LLC. As such, we have no independent means of generating net sales or cash flow, and our ability to pay our taxes and operating expenses or declare and pay dividends in the future, if any, is dependent upon the financial results and cash flows of Rani LLC and its subsidiary and distributions we receive from Rani LLC. Rani LLC and its subsidiary may not generate sufficient cash flow to distribute funds to us and applicable state law and contractual restrictions, including negative covenants in our debt instruments, may not permit such distributions. In August 2021, in connection with the IPO and Organizational Transactions, we entered into a Tax Receivable Agreement with certain of the Continuing LLC Owners. See the risk factor below entitled “</w:t>
      </w:r>
      <w:r>
        <w:rPr>
          <w:rFonts w:ascii="Times New Roman" w:cs="Times New Roman" w:eastAsia="Times New Roman" w:hAnsi="Times New Roman"/>
          <w:sz w:val="18"/>
          <w:szCs w:val="18"/>
          <w:i w:val="1"/>
          <w:iCs w:val="1"/>
          <w:color w:val="auto"/>
        </w:rPr>
        <w:t>The Tax Receivable Agreement with certain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7"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Accordingly, we will incur income taxes on our allocable share of any net taxable income of Rani LLC and will also incur expenses related to our operations, including payments under the Tax Receivable Agreement, which we expect could be significant. Furthermore, our allocable share of Rani LLC’s net taxable income will increase over time as the Continuing LLC Owners redeem or exchange their LLC Interests for shares of our Class A common stock.</w:t>
      </w:r>
    </w:p>
    <w:p>
      <w:pPr>
        <w:spacing w:after="0" w:line="185"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 ’s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87"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Rani LLC does not have sufficient funds to make distributions, our ability to declare and pay cash dividends will also be restricted or impaired.</w:t>
      </w:r>
    </w:p>
    <w:p>
      <w:pPr>
        <w:spacing w:after="0" w:line="18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holders of units of Rani LLC would benefit from any value attributable to such cash as a result of their ownership of Class A common stock upon an exchange or redemption of their units of Rani LLC.</w:t>
      </w:r>
    </w:p>
    <w:p>
      <w:pPr>
        <w:spacing w:after="0" w:line="181"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79" w:name="page80"/>
    <w:bookmarkEnd w:id="79"/>
    <w:p>
      <w:pPr>
        <w:ind w:right="180"/>
        <w:spacing w:after="0"/>
        <w:rPr>
          <w:sz w:val="20"/>
          <w:szCs w:val="20"/>
          <w:color w:val="auto"/>
        </w:rPr>
      </w:pPr>
      <w:r>
        <w:rPr>
          <w:rFonts w:ascii="Times New Roman" w:cs="Times New Roman" w:eastAsia="Times New Roman" w:hAnsi="Times New Roman"/>
          <w:sz w:val="18"/>
          <w:szCs w:val="18"/>
          <w:color w:val="auto"/>
        </w:rPr>
        <w:t>instruments), the Rani LLC operating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85" w:lineRule="exact"/>
        <w:rPr>
          <w:sz w:val="20"/>
          <w:szCs w:val="20"/>
          <w:color w:val="auto"/>
        </w:rPr>
      </w:pPr>
    </w:p>
    <w:p>
      <w:pPr>
        <w:ind w:right="80" w:firstLine="1018"/>
        <w:spacing w:after="0"/>
        <w:rPr>
          <w:sz w:val="20"/>
          <w:szCs w:val="20"/>
          <w:color w:val="auto"/>
        </w:rPr>
      </w:pPr>
      <w:r>
        <w:rPr>
          <w:rFonts w:ascii="Times New Roman" w:cs="Times New Roman" w:eastAsia="Times New Roman" w:hAnsi="Times New Roman"/>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w:t>
      </w:r>
    </w:p>
    <w:p>
      <w:pPr>
        <w:spacing w:after="0" w:line="18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76" w:lineRule="exact"/>
        <w:rPr>
          <w:sz w:val="20"/>
          <w:szCs w:val="20"/>
          <w:color w:val="auto"/>
        </w:rPr>
      </w:pPr>
    </w:p>
    <w:p>
      <w:pPr>
        <w:ind w:right="100" w:firstLine="1018"/>
        <w:spacing w:after="0" w:line="238" w:lineRule="auto"/>
        <w:rPr>
          <w:sz w:val="20"/>
          <w:szCs w:val="20"/>
          <w:color w:val="auto"/>
        </w:rPr>
      </w:pPr>
      <w:r>
        <w:rPr>
          <w:rFonts w:ascii="Times New Roman" w:cs="Times New Roman" w:eastAsia="Times New Roman" w:hAnsi="Times New Roman"/>
          <w:sz w:val="18"/>
          <w:szCs w:val="18"/>
          <w:color w:val="auto"/>
        </w:rPr>
        <w:t>We are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 (a) any future redemptions or exchanges of LLC Interests and (b) payments under the Tax Receivable Agreement and (ii) certain other tax benefits arising from payments under the 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 certain of the Continuing LLC Owners could be significant. See the section titled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Operations—Liquidity and Capital Resources—Source of Liquidity</w:t>
      </w:r>
      <w:r>
        <w:rPr>
          <w:rFonts w:ascii="Times New Roman" w:cs="Times New Roman" w:eastAsia="Times New Roman" w:hAnsi="Times New Roman"/>
          <w:sz w:val="18"/>
          <w:szCs w:val="18"/>
          <w:color w:val="auto"/>
        </w:rPr>
        <w:t>” for further information.</w:t>
      </w:r>
    </w:p>
    <w:p>
      <w:pPr>
        <w:spacing w:after="0" w:line="186"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w:t>
      </w:r>
    </w:p>
    <w:p>
      <w:pPr>
        <w:spacing w:after="0" w:line="193"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0" w:name="page81"/>
    <w:bookmarkEnd w:id="80"/>
    <w:p>
      <w:pPr>
        <w:ind w:right="3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35"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United States government securities and cash items) on an unconsolidated basis. We do not believe that we are an “investment company,” as such term is defined in either of those sections of the 1940 Act.</w:t>
      </w:r>
    </w:p>
    <w:p>
      <w:pPr>
        <w:spacing w:after="0" w:line="184" w:lineRule="exact"/>
        <w:rPr>
          <w:sz w:val="20"/>
          <w:szCs w:val="20"/>
          <w:color w:val="auto"/>
        </w:rPr>
      </w:pPr>
    </w:p>
    <w:p>
      <w:pPr>
        <w:ind w:right="40" w:firstLine="1018"/>
        <w:spacing w:after="0" w:line="250" w:lineRule="auto"/>
        <w:rPr>
          <w:sz w:val="20"/>
          <w:szCs w:val="20"/>
          <w:color w:val="auto"/>
        </w:rPr>
      </w:pPr>
      <w:r>
        <w:rPr>
          <w:rFonts w:ascii="Times New Roman" w:cs="Times New Roman" w:eastAsia="Times New Roman" w:hAnsi="Times New Roman"/>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77" w:lineRule="exact"/>
        <w:rPr>
          <w:sz w:val="20"/>
          <w:szCs w:val="20"/>
          <w:color w:val="auto"/>
        </w:rPr>
      </w:pPr>
    </w:p>
    <w:p>
      <w:pPr>
        <w:ind w:right="500" w:firstLine="1018"/>
        <w:spacing w:after="0" w:line="245" w:lineRule="auto"/>
        <w:rPr>
          <w:sz w:val="20"/>
          <w:szCs w:val="20"/>
          <w:color w:val="auto"/>
        </w:rPr>
      </w:pPr>
      <w:r>
        <w:rPr>
          <w:rFonts w:ascii="Times New Roman" w:cs="Times New Roman" w:eastAsia="Times New Roman" w:hAnsi="Times New Roman"/>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177"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ICL currently supports certain of our general and administrative corporate functions and we occupy space within facilities owned or leased by ICL pursuant to service agreements. If we were required to replicate or replace these services sooner than planned or if one or both of the service agreements is terminated, our operations could be adversely affected.</w:t>
      </w:r>
    </w:p>
    <w:p>
      <w:pPr>
        <w:spacing w:after="0" w:line="176"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Pursuant to the Rani LLC-ICL Service Agreement, ICL provides us certain general and administrative corporate support services. In addition, pursuant to the Rani LLC-ICL Service Agreement and a separate service agreement dated January 1, 2021 between RMS and ICL (the “RMS-ICL Service Agreement”), we sublease from ICL the office, laboratory and manufacturing space used for our operations (“Occupancy Services”).</w:t>
      </w:r>
    </w:p>
    <w:p>
      <w:pPr>
        <w:spacing w:after="0" w:line="177"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Pursuant to the Rani LLC-ICL Service Agreement, we will wholly own intellectual property resulting from ICL’s development work that relates only to the oral delivery of sensors, small molecule drugs or biologic drugs and was developed by our team and using our resources. ICL has agreed to exclusively license certain intellectual property to us for use solely within the field of oral delivery of sensors, small molecule drugs and biologic drugs, but we may not obtain a license on favorable terms.</w:t>
      </w:r>
    </w:p>
    <w:p>
      <w:pPr>
        <w:spacing w:after="0" w:line="181" w:lineRule="exact"/>
        <w:rPr>
          <w:sz w:val="20"/>
          <w:szCs w:val="20"/>
          <w:color w:val="auto"/>
        </w:rPr>
      </w:pPr>
    </w:p>
    <w:p>
      <w:pPr>
        <w:ind w:right="100" w:firstLine="1018"/>
        <w:spacing w:after="0"/>
        <w:rPr>
          <w:sz w:val="20"/>
          <w:szCs w:val="20"/>
          <w:color w:val="auto"/>
        </w:rPr>
      </w:pPr>
      <w:r>
        <w:rPr>
          <w:rFonts w:ascii="Times New Roman" w:cs="Times New Roman" w:eastAsia="Times New Roman" w:hAnsi="Times New Roman"/>
          <w:sz w:val="18"/>
          <w:szCs w:val="18"/>
          <w:color w:val="auto"/>
        </w:rPr>
        <w:t>The Rani LLC-ICL Service Agreement will automatically renew for successive one-year terms unless sooner terminated by either party. Termination of individual services under the Rani LLC-ICL Service Agreement or RMS-ICL Service Agreement requires 60 days’ notice, and termination of Occupancy Services under the Rani LLC-ICL Service Agreement or RMS-ICL Service Agreement requires six months notice; except that the Occupancy Services in Milpitas, California will expire in February 2023, with the potential for two annual renewals, subject to approval by ICL upon nine months’ notice of renewal prior to the end of the lease term. In the event the Rani LLC-ICL Service Agreement or RMS-ICL Service Agreement is terminated by us or ICL, we will need to replicate or replace certain functions, systems, equipment or facilities to which we will no longer have the same access. Such changes may be costly to implement and disruptive to our business.</w:t>
      </w:r>
    </w:p>
    <w:p>
      <w:pPr>
        <w:spacing w:after="0" w:line="185"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In addition, we may not be able to replace these services, systems, equipment or facilities or enter into appropriate third-party agreements therefor on terms and conditions, including cost, comparable to those that we receive from ICL under the Rani LLC-ICL Service Agreement or RMS-ICL Service Agreement, or in a time period that minimizes disruption to our operations. The loss of services or the use of systems, equipment or facilities under the Rani LLC-ICL Service Agreement or RMS-ICL Service Agreement or our inability to replace such services, systems, equipment or facilities in a timely or cost-effective manner could have an adverse effect on our operations and financial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certain of the Continuing LLC Owners, whose interests may differ from those of our public stockholders.</w:t>
      </w:r>
    </w:p>
    <w:p>
      <w:pPr>
        <w:spacing w:after="0" w:line="216" w:lineRule="exact"/>
        <w:rPr>
          <w:sz w:val="20"/>
          <w:szCs w:val="20"/>
          <w:color w:val="auto"/>
        </w:rPr>
      </w:pPr>
    </w:p>
    <w:p>
      <w:pPr>
        <w:ind w:right="40" w:firstLine="1018"/>
        <w:spacing w:after="0"/>
        <w:rPr>
          <w:sz w:val="20"/>
          <w:szCs w:val="20"/>
          <w:color w:val="auto"/>
        </w:rPr>
      </w:pPr>
      <w:r>
        <w:rPr>
          <w:rFonts w:ascii="Times New Roman" w:cs="Times New Roman" w:eastAsia="Times New Roman" w:hAnsi="Times New Roman"/>
          <w:sz w:val="18"/>
          <w:szCs w:val="18"/>
          <w:color w:val="auto"/>
        </w:rPr>
        <w:t>As of March 15, 2022, certain of the Continuing LLC Owners controlled more than 80%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 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1" w:name="page82"/>
    <w:bookmarkEnd w:id="81"/>
    <w:p>
      <w:pPr>
        <w:ind w:right="20"/>
        <w:spacing w:after="0" w:line="241" w:lineRule="auto"/>
        <w:rPr>
          <w:sz w:val="20"/>
          <w:szCs w:val="20"/>
          <w:color w:val="auto"/>
        </w:rPr>
      </w:pPr>
      <w:r>
        <w:rPr>
          <w:rFonts w:ascii="Times New Roman" w:cs="Times New Roman" w:eastAsia="Times New Roman" w:hAnsi="Times New Roman"/>
          <w:sz w:val="18"/>
          <w:szCs w:val="18"/>
          <w:color w:val="auto"/>
        </w:rPr>
        <w:t>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may adversely affect the trading price or liquidity of our Class A common stock.</w:t>
      </w:r>
    </w:p>
    <w:p>
      <w:pPr>
        <w:spacing w:after="0" w:line="216" w:lineRule="exact"/>
        <w:rPr>
          <w:sz w:val="20"/>
          <w:szCs w:val="20"/>
          <w:color w:val="auto"/>
        </w:rPr>
      </w:pPr>
    </w:p>
    <w:p>
      <w:pPr>
        <w:ind w:right="40" w:firstLine="1018"/>
        <w:spacing w:after="0" w:line="239" w:lineRule="auto"/>
        <w:rPr>
          <w:sz w:val="20"/>
          <w:szCs w:val="20"/>
          <w:color w:val="auto"/>
        </w:rPr>
      </w:pPr>
      <w:r>
        <w:rPr>
          <w:rFonts w:ascii="Times New Roman" w:cs="Times New Roman" w:eastAsia="Times New Roman" w:hAnsi="Times New Roman"/>
          <w:sz w:val="18"/>
          <w:szCs w:val="18"/>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8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158" w:lineRule="exact"/>
        <w:rPr>
          <w:sz w:val="20"/>
          <w:szCs w:val="20"/>
          <w:color w:val="auto"/>
        </w:rPr>
      </w:pPr>
    </w:p>
    <w:p>
      <w:pPr>
        <w:ind w:right="40" w:firstLine="1018"/>
        <w:spacing w:after="0" w:line="238" w:lineRule="auto"/>
        <w:rPr>
          <w:sz w:val="20"/>
          <w:szCs w:val="20"/>
          <w:color w:val="auto"/>
        </w:rPr>
      </w:pPr>
      <w:r>
        <w:rPr>
          <w:rFonts w:ascii="Times New Roman" w:cs="Times New Roman" w:eastAsia="Times New Roman" w:hAnsi="Times New Roman"/>
          <w:sz w:val="18"/>
          <w:szCs w:val="18"/>
          <w:color w:val="auto"/>
        </w:rPr>
        <w:t>Our Class B common stock has 10 votes per share, our Class A common stock has one vote per share and Class C common stock has no voting rights, except as required by law. As of March 15, 2022, holders of our outstanding Class B common stock collectively held more than 80% of the voting power of our outstanding capital stock.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91" w:lineRule="exact"/>
        <w:rPr>
          <w:sz w:val="20"/>
          <w:szCs w:val="20"/>
          <w:color w:val="auto"/>
        </w:rPr>
      </w:pPr>
    </w:p>
    <w:p>
      <w:pPr>
        <w:ind w:right="120" w:firstLine="1018"/>
        <w:spacing w:after="0" w:line="241" w:lineRule="auto"/>
        <w:rPr>
          <w:sz w:val="20"/>
          <w:szCs w:val="20"/>
          <w:color w:val="auto"/>
        </w:rPr>
      </w:pPr>
      <w:r>
        <w:rPr>
          <w:rFonts w:ascii="Times New Roman" w:cs="Times New Roman" w:eastAsia="Times New Roman" w:hAnsi="Times New Roman"/>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develop for our common stock.</w:t>
      </w:r>
    </w:p>
    <w:p>
      <w:pPr>
        <w:spacing w:after="0" w:line="216"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We only recently completed our IPO, so there is limited history regarding the trading of our Class A common stock. An active trading market for our Class A common stock may not develop or be sustained. The lack of an active market may impair stockholders’ ability to sell their shares at the time or price they wish to sell them. In addition, as described further in these “Risk Factors,” a substantial percentage of our Class A common stock will continue to be held by our executive officers and pre-IPO investors. As a result of these and other factors, stockholders may be unable to resell their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16" w:lineRule="exact"/>
        <w:rPr>
          <w:sz w:val="20"/>
          <w:szCs w:val="20"/>
          <w:color w:val="auto"/>
        </w:rPr>
      </w:pPr>
    </w:p>
    <w:p>
      <w:pPr>
        <w:ind w:right="220" w:firstLine="1018"/>
        <w:spacing w:after="0" w:line="250"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Annual Report on Form 10-K, these factors including:</w:t>
      </w:r>
    </w:p>
    <w:p>
      <w:pPr>
        <w:spacing w:after="0" w:line="177" w:lineRule="exact"/>
        <w:rPr>
          <w:sz w:val="20"/>
          <w:szCs w:val="20"/>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current or any of our future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current or any of our future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any of our third-party collaborators and suppliers;</w:t>
      </w:r>
    </w:p>
    <w:p>
      <w:pPr>
        <w:spacing w:after="0" w:line="211" w:lineRule="exact"/>
        <w:rPr>
          <w:rFonts w:ascii="Times New Roman" w:cs="Times New Roman" w:eastAsia="Times New Roman" w:hAnsi="Times New Roman"/>
          <w:sz w:val="18"/>
          <w:szCs w:val="18"/>
          <w:color w:val="auto"/>
        </w:rPr>
      </w:pPr>
    </w:p>
    <w:p>
      <w:pPr>
        <w:ind w:left="1400" w:right="200" w:hanging="374"/>
        <w:spacing w:after="0" w:line="250"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physician and market adoption of our current or any of our future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diagnostic technologies, acquisitions, or new offerings;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issues related to our technology or our product candidates;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or other securities, by us or our stockholders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211" w:lineRule="exact"/>
        <w:rPr>
          <w:rFonts w:ascii="Times New Roman" w:cs="Times New Roman" w:eastAsia="Times New Roman" w:hAnsi="Times New Roman"/>
          <w:sz w:val="18"/>
          <w:szCs w:val="18"/>
          <w:color w:val="auto"/>
        </w:rPr>
      </w:pPr>
    </w:p>
    <w:p>
      <w:pPr>
        <w:ind w:left="1400" w:right="40" w:hanging="374"/>
        <w:spacing w:after="0" w:line="296" w:lineRule="auto"/>
        <w:tabs>
          <w:tab w:leader="none" w:pos="14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138" w:lineRule="exact"/>
        <w:rPr>
          <w:rFonts w:ascii="Times New Roman" w:cs="Times New Roman" w:eastAsia="Times New Roman" w:hAnsi="Times New Roman"/>
          <w:sz w:val="17"/>
          <w:szCs w:val="17"/>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 including economic recessions or slowdowns;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11" w:lineRule="exact"/>
        <w:rPr>
          <w:rFonts w:ascii="Times New Roman" w:cs="Times New Roman" w:eastAsia="Times New Roman" w:hAnsi="Times New Roman"/>
          <w:sz w:val="18"/>
          <w:szCs w:val="18"/>
          <w:color w:val="auto"/>
        </w:rPr>
      </w:pPr>
    </w:p>
    <w:p>
      <w:pPr>
        <w:ind w:left="1400" w:hanging="374"/>
        <w:spacing w:after="0" w:line="266"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results of operations, including as a result of anticipated or unanticipated demand based on seasonal factors;</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investors;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11" w:lineRule="exact"/>
        <w:rPr>
          <w:rFonts w:ascii="Times New Roman" w:cs="Times New Roman" w:eastAsia="Times New Roman" w:hAnsi="Times New Roman"/>
          <w:sz w:val="18"/>
          <w:szCs w:val="18"/>
          <w:color w:val="auto"/>
        </w:rPr>
      </w:pPr>
    </w:p>
    <w:p>
      <w:pPr>
        <w:ind w:left="1400" w:hanging="374"/>
        <w:spacing w:after="0" w:line="245" w:lineRule="auto"/>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including war, terrorism and other international conflicts, such as the recent Russian invasion of Ukraine as well as continued and any new sanctions against Russia by, among others, the European Union and the Unites States, which restrict a wide range of trade and financial dealings with Russia and Russian parties, public health issues including health epidemics or pandemics, such as COVID-19; and</w:t>
      </w:r>
    </w:p>
    <w:p>
      <w:pPr>
        <w:spacing w:after="0" w:line="180"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83" w:name="page84"/>
    <w:bookmarkEnd w:id="83"/>
    <w:p>
      <w:pPr>
        <w:ind w:firstLine="1018"/>
        <w:spacing w:after="0" w:line="24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pandemic, political, regulatory, and market conditions, may negatively impact the market price of our Class A common stock. In addition, given the relatively small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80" w:lineRule="exact"/>
        <w:rPr>
          <w:sz w:val="20"/>
          <w:szCs w:val="20"/>
          <w:color w:val="auto"/>
        </w:rPr>
      </w:pPr>
    </w:p>
    <w:p>
      <w:pPr>
        <w:ind w:right="48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76"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As of March 15, 2022, our executive Chairman, Mir Imran beneficially owned more than 80%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85" w:lineRule="exact"/>
        <w:rPr>
          <w:sz w:val="20"/>
          <w:szCs w:val="20"/>
          <w:color w:val="auto"/>
        </w:rPr>
      </w:pPr>
    </w:p>
    <w:p>
      <w:pPr>
        <w:ind w:left="1400" w:hanging="37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that is composed of a majority of “independent directors,” as defined under the Nasdaq rules;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compensation committee that is composed entirely of independent directors; and</w:t>
      </w:r>
    </w:p>
    <w:p>
      <w:pPr>
        <w:spacing w:after="0" w:line="211" w:lineRule="exact"/>
        <w:rPr>
          <w:rFonts w:ascii="Times New Roman" w:cs="Times New Roman" w:eastAsia="Times New Roman" w:hAnsi="Times New Roman"/>
          <w:sz w:val="18"/>
          <w:szCs w:val="18"/>
          <w:color w:val="auto"/>
        </w:rPr>
      </w:pPr>
    </w:p>
    <w:p>
      <w:pPr>
        <w:ind w:left="1400" w:right="1640" w:hanging="374"/>
        <w:spacing w:after="0" w:line="266" w:lineRule="auto"/>
        <w:tabs>
          <w:tab w:leader="none" w:pos="14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nominations be made, or recommended to the full board of directors, by its independent directors, or by a nominations/governance committee that is composed entirely of independent directors.</w:t>
      </w:r>
    </w:p>
    <w:p>
      <w:pPr>
        <w:spacing w:after="0" w:line="162"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1"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58" w:lineRule="exact"/>
        <w:rPr>
          <w:sz w:val="20"/>
          <w:szCs w:val="20"/>
          <w:color w:val="auto"/>
        </w:rPr>
      </w:pPr>
    </w:p>
    <w:p>
      <w:pPr>
        <w:ind w:right="560" w:firstLine="1018"/>
        <w:spacing w:after="0" w:line="250" w:lineRule="auto"/>
        <w:rPr>
          <w:sz w:val="20"/>
          <w:szCs w:val="20"/>
          <w:color w:val="auto"/>
        </w:rPr>
      </w:pPr>
      <w:r>
        <w:rPr>
          <w:rFonts w:ascii="Times New Roman" w:cs="Times New Roman" w:eastAsia="Times New Roman" w:hAnsi="Times New Roman"/>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177" w:lineRule="exact"/>
        <w:rPr>
          <w:sz w:val="20"/>
          <w:szCs w:val="20"/>
          <w:color w:val="auto"/>
        </w:rPr>
      </w:pPr>
    </w:p>
    <w:p>
      <w:pPr>
        <w:ind w:left="1400" w:hanging="374"/>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with respect to the financial reporting related to such arrangements;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indebtedness or contingent liabilities;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our equity securities which would result in dilution to our stockholders;</w:t>
      </w:r>
    </w:p>
    <w:p>
      <w:pPr>
        <w:spacing w:after="0" w:line="211" w:lineRule="exact"/>
        <w:rPr>
          <w:rFonts w:ascii="Times New Roman" w:cs="Times New Roman" w:eastAsia="Times New Roman" w:hAnsi="Times New Roman"/>
          <w:sz w:val="18"/>
          <w:szCs w:val="18"/>
          <w:color w:val="auto"/>
        </w:rPr>
      </w:pPr>
    </w:p>
    <w:p>
      <w:pPr>
        <w:ind w:left="1400" w:right="620" w:hanging="374"/>
        <w:spacing w:after="0" w:line="266" w:lineRule="auto"/>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products, and product candidates of an acquired company, including difficulties associated with integrating new personnel;</w:t>
      </w:r>
    </w:p>
    <w:p>
      <w:pPr>
        <w:spacing w:after="0" w:line="162" w:lineRule="exact"/>
        <w:rPr>
          <w:rFonts w:ascii="Times New Roman" w:cs="Times New Roman" w:eastAsia="Times New Roman" w:hAnsi="Times New Roman"/>
          <w:sz w:val="18"/>
          <w:szCs w:val="18"/>
          <w:color w:val="auto"/>
        </w:rPr>
      </w:pPr>
    </w:p>
    <w:p>
      <w:pPr>
        <w:ind w:left="1400" w:right="100" w:hanging="374"/>
        <w:spacing w:after="0" w:line="266" w:lineRule="auto"/>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attention from our existing product programs and initiatives in pursuing such an acquisition or strategic partnership;</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84" w:name="page85"/>
    <w:bookmarkEnd w:id="84"/>
    <w:p>
      <w:pPr>
        <w:ind w:left="1400" w:right="460" w:hanging="374"/>
        <w:spacing w:after="0" w:line="266" w:lineRule="auto"/>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62" w:lineRule="exact"/>
        <w:rPr>
          <w:rFonts w:ascii="Times New Roman" w:cs="Times New Roman" w:eastAsia="Times New Roman" w:hAnsi="Times New Roman"/>
          <w:sz w:val="18"/>
          <w:szCs w:val="18"/>
          <w:color w:val="auto"/>
        </w:rPr>
      </w:pPr>
    </w:p>
    <w:p>
      <w:pPr>
        <w:ind w:left="1400" w:right="260" w:hanging="374"/>
        <w:spacing w:after="0" w:line="266" w:lineRule="auto"/>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62" w:lineRule="exact"/>
        <w:rPr>
          <w:sz w:val="20"/>
          <w:szCs w:val="20"/>
          <w:color w:val="auto"/>
        </w:rPr>
      </w:pPr>
    </w:p>
    <w:p>
      <w:pPr>
        <w:ind w:right="500" w:firstLine="1018"/>
        <w:spacing w:after="0" w:line="266" w:lineRule="auto"/>
        <w:rPr>
          <w:sz w:val="20"/>
          <w:szCs w:val="20"/>
          <w:color w:val="auto"/>
        </w:rPr>
      </w:pPr>
      <w:r>
        <w:rPr>
          <w:rFonts w:ascii="Times New Roman" w:cs="Times New Roman" w:eastAsia="Times New Roman" w:hAnsi="Times New Roman"/>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in the public market could cause the market price of our Class A common stock to decline.</w:t>
      </w:r>
    </w:p>
    <w:p>
      <w:pPr>
        <w:spacing w:after="0" w:line="216"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Sales and issuances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77" w:lineRule="exact"/>
        <w:rPr>
          <w:sz w:val="20"/>
          <w:szCs w:val="20"/>
          <w:color w:val="auto"/>
        </w:rPr>
      </w:pPr>
    </w:p>
    <w:p>
      <w:pPr>
        <w:jc w:val="both"/>
        <w:ind w:firstLine="1018"/>
        <w:spacing w:after="0" w:line="245" w:lineRule="auto"/>
        <w:rPr>
          <w:sz w:val="20"/>
          <w:szCs w:val="20"/>
          <w:color w:val="auto"/>
        </w:rPr>
      </w:pPr>
      <w:r>
        <w:rPr>
          <w:rFonts w:ascii="Times New Roman" w:cs="Times New Roman" w:eastAsia="Times New Roman" w:hAnsi="Times New Roman"/>
          <w:sz w:val="18"/>
          <w:szCs w:val="18"/>
          <w:color w:val="auto"/>
        </w:rPr>
        <w:t>Following our IPO, all of our executive officers and directors and the holders of substantially all of our equity securities were subject to lock-up agreements that restricted their ability to transfer shares of our Class A common stock, stock options and other securities convertible into, exchangeable for, or exercisable for our Class A common stock during the period ending on, and including, the 180th day after our IPO, subject to specified exceptions. The lock-up period has expired, and as a result all such shares are eligible for sale.</w:t>
      </w:r>
    </w:p>
    <w:p>
      <w:pPr>
        <w:spacing w:after="0" w:line="181"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currently issuable upon exercise of outstanding stock options, and upon exercise or settlement of any options or other equity incentives and we intend to register all shares or such Class A common stock that we may grant in the future, for public resale under the Securities Act. Accordingly, these shares will be able to be freely sold in the public market upon issuance as permitted by any applicable vesting requirements.</w:t>
      </w:r>
    </w:p>
    <w:p>
      <w:pPr>
        <w:spacing w:after="0" w:line="181"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Continuing LLC Owners are entitled to rights with respect to the registration of their shares under the Securities Act. Registration of these shares under the Securities Act would result in the shares becoming freely tradable without restriction under the Securities Act.</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Any sales of securities by the foregoing stockholders could have a material adverse effect on the trading price of our Class A common stock.</w:t>
      </w:r>
    </w:p>
    <w:p>
      <w:pPr>
        <w:spacing w:after="0" w:line="20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 and may prevent other stockholders from influencing significant corporate decisions.</w:t>
      </w:r>
    </w:p>
    <w:p>
      <w:pPr>
        <w:spacing w:after="0" w:line="158"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As of March 15, 2022, our named executive officers, directors, holders of 5% or more of our capital stock and their respective affiliates beneficially held more than 60% of our outstanding stock, representing over 80% of our voting power. Therefore, these stockholders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184" w:lineRule="exact"/>
        <w:rPr>
          <w:sz w:val="20"/>
          <w:szCs w:val="20"/>
          <w:color w:val="auto"/>
        </w:rPr>
      </w:pPr>
    </w:p>
    <w:p>
      <w:pPr>
        <w:jc w:val="both"/>
        <w:ind w:right="140" w:firstLine="1018"/>
        <w:spacing w:after="0" w:line="250" w:lineRule="auto"/>
        <w:rPr>
          <w:sz w:val="20"/>
          <w:szCs w:val="20"/>
          <w:color w:val="auto"/>
        </w:rPr>
      </w:pPr>
      <w:r>
        <w:rPr>
          <w:rFonts w:ascii="Times New Roman" w:cs="Times New Roman" w:eastAsia="Times New Roman" w:hAnsi="Times New Roman"/>
          <w:sz w:val="18"/>
          <w:szCs w:val="18"/>
          <w:color w:val="auto"/>
        </w:rPr>
        <w:t>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73"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58" w:lineRule="exact"/>
        <w:rPr>
          <w:sz w:val="20"/>
          <w:szCs w:val="20"/>
          <w:color w:val="auto"/>
        </w:rPr>
      </w:pPr>
    </w:p>
    <w:p>
      <w:pPr>
        <w:jc w:val="both"/>
        <w:ind w:right="120" w:firstLine="1018"/>
        <w:spacing w:after="0" w:line="24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stockholders must rely on sales of their Class A common stock after price appreciation, which may never occur, as the only way to realize any future gains on their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5" w:name="page86"/>
    <w:bookmarkEnd w:id="85"/>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8" w:lineRule="exact"/>
        <w:rPr>
          <w:sz w:val="20"/>
          <w:szCs w:val="20"/>
          <w:color w:val="auto"/>
        </w:rPr>
      </w:pPr>
    </w:p>
    <w:p>
      <w:pPr>
        <w:ind w:right="200" w:firstLine="1018"/>
        <w:spacing w:after="0" w:line="238"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continue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6" w:lineRule="exact"/>
        <w:rPr>
          <w:sz w:val="20"/>
          <w:szCs w:val="20"/>
          <w:color w:val="auto"/>
        </w:rPr>
      </w:pPr>
    </w:p>
    <w:p>
      <w:pPr>
        <w:jc w:val="both"/>
        <w:ind w:right="40" w:firstLine="1018"/>
        <w:spacing w:after="0" w:line="256"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7"/>
          <w:szCs w:val="17"/>
          <w:color w:val="auto"/>
        </w:rPr>
        <w:t>Furthermore, the senior members of our management team do not have significant experience with operating a public company. As a result,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73"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58" w:lineRule="exact"/>
        <w:rPr>
          <w:sz w:val="20"/>
          <w:szCs w:val="20"/>
          <w:color w:val="auto"/>
        </w:rPr>
      </w:pPr>
    </w:p>
    <w:p>
      <w:pPr>
        <w:ind w:right="300" w:firstLine="1018"/>
        <w:spacing w:after="0" w:line="24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have elected not to be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w:t>
      </w:r>
    </w:p>
    <w:p>
      <w:pPr>
        <w:spacing w:after="0" w:line="181"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35"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85"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86" w:name="page87"/>
    <w:bookmarkEnd w:id="86"/>
    <w:p>
      <w:pPr>
        <w:ind w:right="40" w:firstLine="1018"/>
        <w:spacing w:after="0" w:line="250" w:lineRule="auto"/>
        <w:rPr>
          <w:sz w:val="20"/>
          <w:szCs w:val="20"/>
          <w:color w:val="auto"/>
        </w:rPr>
      </w:pPr>
      <w:r>
        <w:rPr>
          <w:rFonts w:ascii="Times New Roman" w:cs="Times New Roman" w:eastAsia="Times New Roman" w:hAnsi="Times New Roman"/>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58"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62" w:lineRule="exact"/>
        <w:rPr>
          <w:sz w:val="20"/>
          <w:szCs w:val="20"/>
          <w:color w:val="auto"/>
        </w:rPr>
      </w:pPr>
    </w:p>
    <w:p>
      <w:pPr>
        <w:ind w:left="1400" w:right="580" w:hanging="374"/>
        <w:spacing w:after="0" w:line="250" w:lineRule="auto"/>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211" w:lineRule="exact"/>
        <w:rPr>
          <w:rFonts w:ascii="Times New Roman" w:cs="Times New Roman" w:eastAsia="Times New Roman" w:hAnsi="Times New Roman"/>
          <w:sz w:val="18"/>
          <w:szCs w:val="18"/>
          <w:color w:val="auto"/>
        </w:rPr>
      </w:pPr>
    </w:p>
    <w:p>
      <w:pPr>
        <w:ind w:left="1400" w:right="260" w:hanging="374"/>
        <w:spacing w:after="0" w:line="250" w:lineRule="auto"/>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76" w:lineRule="exact"/>
        <w:rPr>
          <w:rFonts w:ascii="Times New Roman" w:cs="Times New Roman" w:eastAsia="Times New Roman" w:hAnsi="Times New Roman"/>
          <w:sz w:val="18"/>
          <w:szCs w:val="18"/>
          <w:color w:val="auto"/>
        </w:rPr>
      </w:pPr>
    </w:p>
    <w:p>
      <w:pPr>
        <w:ind w:left="1400" w:right="220" w:hanging="374"/>
        <w:spacing w:after="0" w:line="250" w:lineRule="auto"/>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176" w:lineRule="exact"/>
        <w:rPr>
          <w:rFonts w:ascii="Times New Roman" w:cs="Times New Roman" w:eastAsia="Times New Roman" w:hAnsi="Times New Roman"/>
          <w:sz w:val="18"/>
          <w:szCs w:val="18"/>
          <w:color w:val="auto"/>
        </w:rPr>
      </w:pPr>
    </w:p>
    <w:p>
      <w:pPr>
        <w:ind w:left="1400" w:right="560" w:hanging="374"/>
        <w:spacing w:after="0" w:line="266" w:lineRule="auto"/>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three classes of common stock as described above.</w:t>
      </w:r>
    </w:p>
    <w:p>
      <w:pPr>
        <w:spacing w:after="0" w:line="212"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76" w:lineRule="exact"/>
        <w:rPr>
          <w:sz w:val="20"/>
          <w:szCs w:val="20"/>
          <w:color w:val="auto"/>
        </w:rPr>
      </w:pPr>
    </w:p>
    <w:p>
      <w:pPr>
        <w:ind w:right="40" w:firstLine="1018"/>
        <w:spacing w:after="0" w:line="23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(1) any 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87" w:name="page88"/>
    <w:bookmarkEnd w:id="87"/>
    <w:p>
      <w:pPr>
        <w:ind w:firstLine="1018"/>
        <w:spacing w:after="0" w:line="237"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the federal district courts of the United States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193"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76" w:lineRule="exact"/>
        <w:rPr>
          <w:sz w:val="20"/>
          <w:szCs w:val="20"/>
          <w:color w:val="auto"/>
        </w:rPr>
      </w:pPr>
    </w:p>
    <w:p>
      <w:pPr>
        <w:ind w:right="100" w:firstLine="1018"/>
        <w:spacing w:after="0" w:line="241"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needs to include disclosure of any material weaknesses identified by our management in our internal control over financial reporting. In addition, we will be required to obtain attestation as to the effectiveness of our internal control over financial reporting by an independent registered public accounting firm in our first annual report required to be filed with the SEC following the date we are no longer an emerging growth company if we are not a non-accelerated filer at such time.</w:t>
      </w:r>
    </w:p>
    <w:p>
      <w:pPr>
        <w:spacing w:after="0" w:line="184"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we or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80"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75" w:lineRule="exact"/>
        <w:rPr>
          <w:sz w:val="20"/>
          <w:szCs w:val="20"/>
          <w:color w:val="auto"/>
        </w:rPr>
      </w:pPr>
    </w:p>
    <w:p>
      <w:pPr>
        <w:ind w:right="40" w:firstLine="1018"/>
        <w:spacing w:after="0"/>
        <w:rPr>
          <w:sz w:val="20"/>
          <w:szCs w:val="20"/>
          <w:color w:val="auto"/>
        </w:rPr>
      </w:pPr>
      <w:r>
        <w:rPr>
          <w:rFonts w:ascii="Times New Roman" w:cs="Times New Roman" w:eastAsia="Times New Roman" w:hAnsi="Times New Roman"/>
          <w:sz w:val="18"/>
          <w:szCs w:val="18"/>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business, financial condition, and results of operations.</w:t>
      </w:r>
    </w:p>
    <w:p>
      <w:pPr>
        <w:spacing w:after="0" w:line="216"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earthquakes, power shortages, telecommunications failures, water shortages, floods, hurricanes, typhoons, fires, extreme weather conditions, public health pandemics or epidemics (including, for example, the ongoing COVID-19 pandemic), geopolitical events, including civil or political unrest (such as the ongoing conflict between Ukraine and Russia), terrorism, insurrection or war,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84"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Our business and the business of our suppliers of APIs or drug substances and the raw materials or components for our RaniPill capsule could be materially and adversely affected by the risks, or the public perception of the risks, related to a pandemic or other health crisis, such as the recent outbreak of novel coronavirus (COVID-19). A significant outbreak of contagious diseases in the human population could result in a widespread health crisis that could adversely affect our planned operations. Such events could result in the complete or partial closure of one or more manufacturing facilities which could impact our supply of APIs, drug substances, and critical materials for manufacturing our RaniPill capsules. In addition, an outbreak or other business disruption near where our clinical trials occur, like the current Phase 1 clinical trial of RT-102 in Australia, could impact our ability to recruit subjects, delay our clinical trial, and could affect our ability to complete our clinical trials within the planned time periods. In addition, business disruptions of the kind noted above, including geopolitical events like the ongoing conflict between Ukraine and Russia, could impact economies and financial markets, resulting in an economic downturn and/or inflation that could impact our ability to raise capital, increase the costs of goods and services, cause us to have to de-prioritize or stop certain business activities, diminish potential partnering opportunities, and have an adverse effect on our results of operations.</w:t>
      </w:r>
    </w:p>
    <w:p>
      <w:pPr>
        <w:spacing w:after="0" w:line="18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58" w:lineRule="exact"/>
        <w:rPr>
          <w:sz w:val="20"/>
          <w:szCs w:val="20"/>
          <w:color w:val="auto"/>
        </w:rPr>
      </w:pPr>
    </w:p>
    <w:p>
      <w:pPr>
        <w:jc w:val="both"/>
        <w:ind w:right="300" w:firstLine="1018"/>
        <w:spacing w:after="0" w:line="250" w:lineRule="auto"/>
        <w:rPr>
          <w:sz w:val="20"/>
          <w:szCs w:val="20"/>
          <w:color w:val="auto"/>
        </w:rPr>
      </w:pPr>
      <w:r>
        <w:rPr>
          <w:rFonts w:ascii="Times New Roman" w:cs="Times New Roman" w:eastAsia="Times New Roman" w:hAnsi="Times New Roman"/>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77" w:lineRule="exact"/>
        <w:rPr>
          <w:sz w:val="20"/>
          <w:szCs w:val="20"/>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equity-based compensation;</w:t>
      </w:r>
    </w:p>
    <w:p>
      <w:pPr>
        <w:spacing w:after="0" w:line="211"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11" w:lineRule="exact"/>
        <w:rPr>
          <w:rFonts w:ascii="Times New Roman" w:cs="Times New Roman" w:eastAsia="Times New Roman" w:hAnsi="Times New Roman"/>
          <w:sz w:val="18"/>
          <w:szCs w:val="18"/>
          <w:color w:val="auto"/>
        </w:rPr>
      </w:pPr>
    </w:p>
    <w:p>
      <w:pPr>
        <w:ind w:left="1400" w:right="20" w:hanging="374"/>
        <w:spacing w:after="0" w:line="266" w:lineRule="auto"/>
        <w:tabs>
          <w:tab w:leader="none" w:pos="14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earnings being lower than anticipated in countries where we have lower statutory tax rates and higher than anticipated earnings in countries where we have higher statutory tax rates.</w:t>
      </w:r>
    </w:p>
    <w:p>
      <w:pPr>
        <w:spacing w:after="0" w:line="162" w:lineRule="exact"/>
        <w:rPr>
          <w:sz w:val="20"/>
          <w:szCs w:val="20"/>
          <w:color w:val="auto"/>
        </w:rPr>
      </w:pPr>
    </w:p>
    <w:p>
      <w:pPr>
        <w:ind w:right="500" w:firstLine="1018"/>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Nasdaq’s continued listing requirements could result in a delisting of our Class A common stock.</w:t>
      </w:r>
    </w:p>
    <w:p>
      <w:pPr>
        <w:spacing w:after="0" w:line="216"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a stockholder's ability to sell or purchase our Class A common stock when they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89" w:name="page90"/>
    <w:bookmarkEnd w:id="89"/>
    <w:p>
      <w:pPr>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58" w:lineRule="exact"/>
        <w:rPr>
          <w:sz w:val="20"/>
          <w:szCs w:val="20"/>
          <w:color w:val="auto"/>
        </w:rPr>
      </w:pPr>
    </w:p>
    <w:p>
      <w:pPr>
        <w:ind w:right="20" w:firstLine="1018"/>
        <w:spacing w:after="0" w:line="23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United States Export Administration Regulations, United States Customs regulations, and various economic and trade sanctions regulations administered by the United States Treasury Department’s Office of Foreign Assets Controls, and anti-corruption and anti-money laundering laws and regulations, including the Foreign Corrupt Practices Act, (“FCPA”), the United States domestic bribery statute contained in 18 U.S.C. § 201, the United States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 Responding to any enforcement action or related investigation may result in a significant diversion of management’s attention and resources and significant defense costs and other professional fees.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58"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77"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4"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6"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Our corporate headquarters are currently located in San Jose, California. We lease approximately 55,000 square feet of office, research and development, production and manufacturing, and laboratory space in San Jose and Milpitas, California and San Antonio, Texas, pursuant to service agreements with ICL, a related party. The lease for the San Jose facility has a twelve month term that renews automatically on January 1st of each year for a successive twelve month period, subject to termination by either party upon a six months notice. Our lease for the Milpitas facility expires in February 2023. We have the option to renew the lease for two additional terms of twelve months each, subject to approval by ICL upon a nine months’ notice of renewal prior to the end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90" w:name="page91"/>
    <w:bookmarkEnd w:id="90"/>
    <w:p>
      <w:pPr>
        <w:ind w:right="520"/>
        <w:spacing w:after="0" w:line="266" w:lineRule="auto"/>
        <w:rPr>
          <w:sz w:val="20"/>
          <w:szCs w:val="20"/>
          <w:color w:val="auto"/>
        </w:rPr>
      </w:pPr>
      <w:r>
        <w:rPr>
          <w:rFonts w:ascii="Times New Roman" w:cs="Times New Roman" w:eastAsia="Times New Roman" w:hAnsi="Times New Roman"/>
          <w:sz w:val="18"/>
          <w:szCs w:val="18"/>
          <w:color w:val="auto"/>
        </w:rPr>
        <w:t>term. Our San Antonio lease will continue until terminated by either party upon six months notice. If required, we believe that suitable additional or alternative space would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6"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91" w:name="page92"/>
    <w:bookmarkEnd w:id="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980"/>
        <w:spacing w:after="0" w:line="48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Class A common stock is traded on the Nasdaq Stock Market LLC under the symbol “RANI.”</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6"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 Any future determination to declare or pay dividends will be made at the discretion of our board of directors, subject to applicable laws, and will depend upon, among other factors, our results of operations, financial condition, contractual restrictions, capital requirements general business conditions and other factors that our board of directors may deem relevant. Our future ability to pay cash dividends on our capital stock may be limited by the terms of any future debt or preferred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16"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As of March 28, 2022, we had 230 holders of record of our Class A common stock and 26 holders of record of our Class B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Shares of our Class B common stock are paired with LLC Units of Rani LLC and are held by Continuing LLC Owners. Shares of Class B common stock are not transferable independent of the LLC Units. Upon exchange of the LLC Units for Class A common stock, the corresponding shares of Class B common stock paired with such LLC Units are cancelled.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 on Form 10-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16" w:lineRule="exact"/>
        <w:rPr>
          <w:sz w:val="20"/>
          <w:szCs w:val="20"/>
          <w:color w:val="auto"/>
        </w:rPr>
      </w:pPr>
    </w:p>
    <w:p>
      <w:pPr>
        <w:ind w:right="560" w:firstLine="101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did not issue or sell any unregistered securities other than as disclosed in our Quarterly Reports on Form 10-Q for the quarter ended June 30, 2021 and September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16" w:lineRule="exact"/>
        <w:rPr>
          <w:sz w:val="20"/>
          <w:szCs w:val="20"/>
          <w:color w:val="auto"/>
        </w:rPr>
      </w:pPr>
    </w:p>
    <w:p>
      <w:pPr>
        <w:ind w:right="820" w:firstLine="1018"/>
        <w:spacing w:after="0" w:line="266" w:lineRule="auto"/>
        <w:rPr>
          <w:sz w:val="20"/>
          <w:szCs w:val="20"/>
          <w:color w:val="auto"/>
        </w:rPr>
      </w:pPr>
      <w:r>
        <w:rPr>
          <w:rFonts w:ascii="Times New Roman" w:cs="Times New Roman" w:eastAsia="Times New Roman" w:hAnsi="Times New Roman"/>
          <w:sz w:val="18"/>
          <w:szCs w:val="18"/>
          <w:color w:val="auto"/>
        </w:rPr>
        <w:t>On July 29, 2021, the SEC declared effective our Registration Statement on Form S-1 (File No. 333-257809), as amended, filed in connection with our IPO.</w:t>
      </w:r>
    </w:p>
    <w:p>
      <w:pPr>
        <w:spacing w:after="0" w:line="162" w:lineRule="exact"/>
        <w:rPr>
          <w:sz w:val="20"/>
          <w:szCs w:val="20"/>
          <w:color w:val="auto"/>
        </w:rPr>
      </w:pPr>
    </w:p>
    <w:p>
      <w:pPr>
        <w:ind w:right="260" w:firstLine="1018"/>
        <w:spacing w:after="0" w:line="245" w:lineRule="auto"/>
        <w:rPr>
          <w:sz w:val="20"/>
          <w:szCs w:val="20"/>
          <w:color w:val="auto"/>
        </w:rPr>
      </w:pPr>
      <w:r>
        <w:rPr>
          <w:rFonts w:ascii="Times New Roman" w:cs="Times New Roman" w:eastAsia="Times New Roman" w:hAnsi="Times New Roman"/>
          <w:sz w:val="18"/>
          <w:szCs w:val="18"/>
          <w:color w:val="auto"/>
        </w:rPr>
        <w:t>Our planned use of proceeds to advance our internal pipeline has changed from a range of approximately $45.0 million to $55.0 million to approximately $30.0 million to $40.0 million, and our planned use of proceeds to advance manufacturing scale-up and automation has changed from a range of approximately $25.0 million to $35.0 million to approximately $15.0 million to $25.0 million. Except as described, there has been no material change in the planned use of proceeds from our IPO as described in the Registration Statement.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our consolidated financial condition and results of operations should be read in conjunction with, and is qualified in its entirety by reference to, our consolidated financial statements and the related notes and other information included elsewhere in this Annual Report on Form 10-K.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“Special Note Regarding Forward-Looking Statements,” “Risk Factors” and in Part I and elsewhere in this Annual Report on Form 10-K.</w:t>
      </w:r>
    </w:p>
    <w:p>
      <w:pPr>
        <w:spacing w:after="0" w:line="184" w:lineRule="exact"/>
        <w:rPr>
          <w:sz w:val="20"/>
          <w:szCs w:val="20"/>
          <w:color w:val="auto"/>
        </w:rPr>
      </w:pPr>
    </w:p>
    <w:p>
      <w:pPr>
        <w:ind w:right="180" w:firstLine="1018"/>
        <w:spacing w:after="0" w:line="268" w:lineRule="auto"/>
        <w:rPr>
          <w:sz w:val="20"/>
          <w:szCs w:val="20"/>
          <w:color w:val="auto"/>
        </w:rPr>
      </w:pPr>
      <w:r>
        <w:rPr>
          <w:rFonts w:ascii="Times New Roman" w:cs="Times New Roman" w:eastAsia="Times New Roman" w:hAnsi="Times New Roman"/>
          <w:sz w:val="18"/>
          <w:szCs w:val="18"/>
          <w:i w:val="1"/>
          <w:iCs w:val="1"/>
          <w:color w:val="auto"/>
        </w:rPr>
        <w:t>Unless we state otherwise or the context otherwise requires, the terms “we,” “us,” “our,” and “Rani” and similar references refer to Rani Therapeutics Holdings, Inc. and its consolidated subsidiaries.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ind w:right="460" w:firstLine="1018"/>
        <w:spacing w:after="0" w:line="250"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77"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 Together, we believe that the current RaniPill capsule and RaniPill HC could enable us to deliver most biologics currently on the market via a convenient, oral daily dose.</w:t>
      </w:r>
    </w:p>
    <w:p>
      <w:pPr>
        <w:spacing w:after="0" w:line="184"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the initial public offering ("IPO"), private placements of preferred units, issuance of convertible promissory notes, and contract revenue generated from the evaluation agreements.</w:t>
      </w:r>
    </w:p>
    <w:p>
      <w:pPr>
        <w:spacing w:after="0" w:line="177"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7"/>
          <w:szCs w:val="17"/>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70"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for inclusion in the current RaniPill capsule and RaniPill HC. Design work, prototyping and pilot manufacturing are performed in-house,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Business Impact</w:t>
      </w:r>
    </w:p>
    <w:p>
      <w:pPr>
        <w:spacing w:after="0" w:line="216"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We are subject to risks and uncertainties as a result of the ongoing COVID-19 pandemic. We are continuing to closely monitor the impact of the COVID-19 pandemic on our business and have taken and continue to take proactive efforts to protect the health and safety of our patients, study investigators, clinical research staff and employees, and to maintain business continuity. The extent of the impact of the COVID-19 pandemic on our activities is highly uncertain and difficult to predict, as the response to the pandemic is ongoing and information continues to evolve. Capital markets and economies worldwide have been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93" w:name="page94"/>
    <w:bookmarkEnd w:id="93"/>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impacted by the COVID-19 pandemic and may be further impacted in the future. Such economic disruption could have a material adverse effect on our business. Policymakers around the globe have responded with fiscal policy actions to support the biotherapeutics industry and economy as a whole. The magnitude and overall effectiveness of these actions remains uncertain.</w:t>
      </w:r>
    </w:p>
    <w:p>
      <w:pPr>
        <w:spacing w:after="0" w:line="177"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To date, we have not incurred impairment losses in the carrying values of our assets as a result of the pandemic; however, we have experienced delays and impacts to various parts of our business, including delays due to the unavailability of vendors or delays in their availability with respect to research and development activities due to high demand or disruption to their business, delays in certain shipments of materials for our manufacturing, increases in prices charged by third parties for goods and services due to additional processes or costs resulting from COVID-19 procedures, disruption to travel which affects our ability to establish and maintain business relationships, and disruption to employee work schedules due to direct and indirect effects of COVID-19 such as government shelter-in-place mandates. What may have once been considered short-term impacts of COVID-19 may now reflect permanent costs of doing business.</w:t>
      </w:r>
    </w:p>
    <w:p>
      <w:pPr>
        <w:spacing w:after="0" w:line="185"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84"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The severity of the impact of the COVID-19 pandemic on our activities will depend on a number of factors, including, but not limited to, the duration and severity of the pandemic, including the severity of any additional periods of increases or spikes in the number of cases in the areas we operate and areas where our clinical trial sites are located; the development and spread of COVID-19 variants; the timing, extent, effectiveness and durability of COVID-19 vaccine programs or other treatments; and new or continuing travel and other restrictions and public health measures, such as social distancing, business closures or disruptions. Accordingly, the extent and severity of the impact on our existing and planned clinical trials and operations is uncertain and cannot be fully predicted. Our future results of operations and liquidity could be adversely impacted by delays in existing and planned clinical trials and difficulties in recruiting patients for these clinical trials, the ongoing impact on our operating activities and employees, and the ongoing impact of any initiatives or programs that we may undertake to address financial and operational challenges. As of the date of issuance of this Annual Report on Form 10-K, the extent to which the COVID-19 pandemic may materially impact our future financial condition, liquidity or results of operations is uncertain.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Transactions</w:t>
      </w:r>
    </w:p>
    <w:p>
      <w:pPr>
        <w:spacing w:after="0" w:line="216"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Rani Therapeutics Holdings, Inc. (“Rani Holdings”) was incorporated in April 2021 and formed for the purpose of facilitating an IPO of its Class A common stock, and to facilitate certain organizational transactions (“Organizational Transactions”) and to operate the business of Rani Therapeutics, LLC (“Rani LLC”) and its consolidated subsidiary. In connection with the IPO, we established a holding company structure with Rani Holdings as the holding company and its principal asset being the Class A common units (“Class A Units”) of Rani LLC that it owns. As the sole managing member of Rani LLC, Rani Holdings operates and controls all of Rani LLC’s operations, and through Rani LLC and its subsidiary, conducts all of Rani LLC’s business and the financial results of Rani LLC and its consolidated subsidiary are included in the consolidated financial statements of Rani Holdings.</w:t>
      </w:r>
    </w:p>
    <w:p>
      <w:pPr>
        <w:spacing w:after="0" w:line="185"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Rani LLC has been, and after the IPO continues to be, treated as a pass-through entity for U.S. federal and state income tax purposes and accordingly has not been subject to U.S. federal or state income tax. The wholly owned subsidiary of Rani LLC, Rani Management Services, Inc. (“RMS”), which was incorporated in 2019, is taxed as a corporation for U.S. federal and most applicable state, local income tax and foreign tax purposes. As a result of its ownership of interests in Rani LLC ("LLC Interests"), Rani Holdings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Rani Holdings would otherwise be required to pay in the future. This tax basis may also decrease the gains (or increase the losses) on future dispositions of certain assets to the extent tax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4" w:name="page95"/>
    <w:bookmarkEnd w:id="94"/>
    <w:p>
      <w:pPr>
        <w:ind w:right="40"/>
        <w:spacing w:after="0" w:line="250" w:lineRule="auto"/>
        <w:rPr>
          <w:sz w:val="20"/>
          <w:szCs w:val="20"/>
          <w:color w:val="auto"/>
        </w:rPr>
      </w:pPr>
      <w:r>
        <w:rPr>
          <w:rFonts w:ascii="Times New Roman" w:cs="Times New Roman" w:eastAsia="Times New Roman" w:hAnsi="Times New Roman"/>
          <w:sz w:val="18"/>
          <w:szCs w:val="18"/>
          <w:color w:val="auto"/>
        </w:rPr>
        <w:t>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w:t>
      </w:r>
    </w:p>
    <w:p>
      <w:pPr>
        <w:spacing w:after="0" w:line="216"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To date, we have not generated any revenue from commercial product sales and do not expect to generate any revenue from the sale of commercial products in the foreseeable future. Our only revenue has been derived from evaluation agreements, which are recorded as contract revenue. As of December 31, 2021, we had no active evaluation agreements, and therefore we expect that our revenue for the next several years will be derived from any new agreements that we may enter into in the future.</w:t>
      </w:r>
    </w:p>
    <w:p>
      <w:pPr>
        <w:spacing w:after="0" w:line="181"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Our ability to generate commercial product revenue and to become profitable will depend upon our ability to successfully develop, obtain regulatory approval for and commercialize the RaniPill capsule and RaniPill HC. Because of the numerous risks and uncertainties associated with product development, regulatory approval and commercialization, we are unable to predict the amount, timing or whether we will be able to obtain commercial product revenue.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operating expenses consisted of research and development and general and administrative activities.</w:t>
      </w:r>
    </w:p>
    <w:p>
      <w:pPr>
        <w:spacing w:after="0" w:line="2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14"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direct and indirect costs incurred in connection with our research and development activities to develop the RaniPill capsule and RaniPill HC. These expenses include:</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External expenses, consisting of:</w:t>
      </w:r>
    </w:p>
    <w:p>
      <w:pPr>
        <w:spacing w:after="0" w:line="212" w:lineRule="exact"/>
        <w:rPr>
          <w:sz w:val="20"/>
          <w:szCs w:val="20"/>
          <w:color w:val="auto"/>
        </w:rPr>
      </w:pPr>
    </w:p>
    <w:p>
      <w:pPr>
        <w:ind w:left="1660" w:hanging="514"/>
        <w:spacing w:after="0"/>
        <w:tabs>
          <w:tab w:leader="none" w:pos="1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contract research organizations ("CROs"), for managing and conducting clinical trials;</w:t>
      </w:r>
    </w:p>
    <w:p>
      <w:pPr>
        <w:spacing w:after="0" w:line="211" w:lineRule="exact"/>
        <w:rPr>
          <w:rFonts w:ascii="Times New Roman" w:cs="Times New Roman" w:eastAsia="Times New Roman" w:hAnsi="Times New Roman"/>
          <w:sz w:val="18"/>
          <w:szCs w:val="18"/>
          <w:color w:val="auto"/>
        </w:rPr>
      </w:pPr>
    </w:p>
    <w:p>
      <w:pPr>
        <w:ind w:left="1660" w:right="20" w:hanging="514"/>
        <w:spacing w:after="0" w:line="266" w:lineRule="auto"/>
        <w:tabs>
          <w:tab w:leader="none" w:pos="1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laboratory supplies, drug material for clinical trials, developing and manufacturing of the RaniPill capsule, RaniPill HC and other materials;</w:t>
      </w:r>
    </w:p>
    <w:p>
      <w:pPr>
        <w:spacing w:after="0" w:line="162" w:lineRule="exact"/>
        <w:rPr>
          <w:rFonts w:ascii="Times New Roman" w:cs="Times New Roman" w:eastAsia="Times New Roman" w:hAnsi="Times New Roman"/>
          <w:sz w:val="18"/>
          <w:szCs w:val="18"/>
          <w:color w:val="auto"/>
        </w:rPr>
      </w:pPr>
    </w:p>
    <w:p>
      <w:pPr>
        <w:ind w:left="1660" w:hanging="514"/>
        <w:spacing w:after="0"/>
        <w:tabs>
          <w:tab w:leader="none" w:pos="1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preclinical studies performed by third parties; and</w:t>
      </w:r>
    </w:p>
    <w:p>
      <w:pPr>
        <w:spacing w:after="0" w:line="211" w:lineRule="exact"/>
        <w:rPr>
          <w:rFonts w:ascii="Times New Roman" w:cs="Times New Roman" w:eastAsia="Times New Roman" w:hAnsi="Times New Roman"/>
          <w:sz w:val="18"/>
          <w:szCs w:val="18"/>
          <w:color w:val="auto"/>
        </w:rPr>
      </w:pPr>
    </w:p>
    <w:p>
      <w:pPr>
        <w:ind w:left="1660" w:hanging="514"/>
        <w:spacing w:after="0"/>
        <w:tabs>
          <w:tab w:leader="none" w:pos="1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consulting, legal fees for patent matters, advisors, and other external services.</w:t>
      </w:r>
    </w:p>
    <w:p>
      <w:pPr>
        <w:spacing w:after="0" w:line="21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Internal expenses, consisting of:</w:t>
      </w:r>
    </w:p>
    <w:p>
      <w:pPr>
        <w:spacing w:after="0" w:line="212" w:lineRule="exact"/>
        <w:rPr>
          <w:sz w:val="20"/>
          <w:szCs w:val="20"/>
          <w:color w:val="auto"/>
        </w:rPr>
      </w:pPr>
    </w:p>
    <w:p>
      <w:pPr>
        <w:ind w:left="1660" w:right="900" w:hanging="514"/>
        <w:spacing w:after="0" w:line="266" w:lineRule="auto"/>
        <w:tabs>
          <w:tab w:leader="none" w:pos="1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bonuses, equity-based compensation and benefits for personnel engaged in the research and development functions;</w:t>
      </w:r>
    </w:p>
    <w:p>
      <w:pPr>
        <w:spacing w:after="0" w:line="162" w:lineRule="exact"/>
        <w:rPr>
          <w:rFonts w:ascii="Times New Roman" w:cs="Times New Roman" w:eastAsia="Times New Roman" w:hAnsi="Times New Roman"/>
          <w:sz w:val="18"/>
          <w:szCs w:val="18"/>
          <w:color w:val="auto"/>
        </w:rPr>
      </w:pPr>
    </w:p>
    <w:p>
      <w:pPr>
        <w:ind w:left="1660" w:right="440" w:hanging="514"/>
        <w:spacing w:after="0" w:line="266" w:lineRule="auto"/>
        <w:tabs>
          <w:tab w:leader="none" w:pos="1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service and repair of equipment, equipment depreciation, and allocated facility costs for research and development; and</w:t>
      </w:r>
    </w:p>
    <w:p>
      <w:pPr>
        <w:spacing w:after="0" w:line="162" w:lineRule="exact"/>
        <w:rPr>
          <w:rFonts w:ascii="Times New Roman" w:cs="Times New Roman" w:eastAsia="Times New Roman" w:hAnsi="Times New Roman"/>
          <w:sz w:val="18"/>
          <w:szCs w:val="18"/>
          <w:color w:val="auto"/>
        </w:rPr>
      </w:pPr>
    </w:p>
    <w:p>
      <w:pPr>
        <w:ind w:left="1660" w:hanging="514"/>
        <w:spacing w:after="0"/>
        <w:tabs>
          <w:tab w:leader="none" w:pos="1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costs related to compliance with quality and regulatory requirements.</w:t>
      </w:r>
    </w:p>
    <w:p>
      <w:pPr>
        <w:spacing w:after="0" w:line="212"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85" w:lineRule="exact"/>
        <w:rPr>
          <w:sz w:val="20"/>
          <w:szCs w:val="20"/>
          <w:color w:val="auto"/>
        </w:rPr>
      </w:pPr>
    </w:p>
    <w:p>
      <w:pPr>
        <w:ind w:right="320" w:firstLine="1018"/>
        <w:spacing w:after="0" w:line="266" w:lineRule="auto"/>
        <w:rPr>
          <w:sz w:val="20"/>
          <w:szCs w:val="20"/>
          <w:color w:val="auto"/>
        </w:rPr>
      </w:pPr>
      <w:r>
        <w:rPr>
          <w:rFonts w:ascii="Times New Roman" w:cs="Times New Roman" w:eastAsia="Times New Roman" w:hAnsi="Times New Roman"/>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95" w:name="page96"/>
    <w:bookmarkEnd w:id="95"/>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historical focus of our research and development has been on the RaniPill delivery platform and not tracked costs on a project-by-project basis associated with different drug compounds.</w:t>
      </w:r>
    </w:p>
    <w:p>
      <w:pPr>
        <w:spacing w:after="0" w:line="162" w:lineRule="exact"/>
        <w:rPr>
          <w:sz w:val="20"/>
          <w:szCs w:val="20"/>
          <w:color w:val="auto"/>
        </w:rPr>
      </w:pPr>
    </w:p>
    <w:p>
      <w:pPr>
        <w:ind w:right="20" w:firstLine="1018"/>
        <w:spacing w:after="0" w:line="239"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and obtain regulatory approval for, the RaniPill capsule and RaniPill HC. We expect our research and development expenses to increase significantly in the foreseeable future as we continue to invest in activities related to testing and developing the RaniPill capsule and RaniPill HC, as our product candidates advance into later stages of development, as we begin to conduct larger clinical trials, as we seek regulatory approvals for the RaniPill capsule and RaniPill HC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capsule and RaniPill HC is highly uncertain, and we may never succeed in achieving regulatory approval for the RaniPill capsule and RaniPill HC.</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220" w:firstLine="1018"/>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equity-based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85" w:lineRule="exact"/>
        <w:rPr>
          <w:sz w:val="20"/>
          <w:szCs w:val="20"/>
          <w:color w:val="auto"/>
        </w:rPr>
      </w:pPr>
    </w:p>
    <w:p>
      <w:pPr>
        <w:ind w:right="20" w:firstLine="1018"/>
        <w:spacing w:after="0" w:line="264"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significantly in the foreseeable future as additional administrative personnel and services are required to manage and support the development of the RaniPill capsule and RaniPill HC.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6"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Other income (expense), net primarily consists of interest income on our cash and cash equivalents and income (expense) associated with re-measurements of the estimated fair value of preferred unit warrants and loss on the extinguishment of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16"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Non-controlling interest ("NCI") represents the portion of income or loss, net assets and comprehensive loss of our consolidated subsidiary that is not allocable to Rani Holdings based on its percentage of ownership of Rani LLC.</w:t>
      </w:r>
    </w:p>
    <w:p>
      <w:pPr>
        <w:spacing w:after="0" w:line="162"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In August 2021, based on the Organizational Transactions, Rani Holdings became the sole managing member of Rani LLC. As of December 31, 2021, Rani Holdings held approximately 39% of the Class A Units of Rani LLC, and approximately 61% of the outstanding Class A Units of Rani LLC are held by the Continuing LLC Owners. Therefore, we report NCI based on the Class A Units of Rani LLC held by the Continuing LLC Owners on our consolidated balance sheet as of December 31, 2021. Income or loss attributed to the NCI in Rani LLC is based on the Class A Units outstanding during the period for which the income or loss is generated and is presented on the consolidated statements of operations and comprehensive income or loss.</w:t>
      </w:r>
    </w:p>
    <w:p>
      <w:pPr>
        <w:spacing w:after="0" w:line="185"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Future exchanges of Paired Interests will result in a change in ownership and reduce or increase the amount recorded as NCI and increase or decrease additional paid-in-capital when Rani LLC has positive or negative net assets, respectively. From the date of the Organizational Transactions to December 31, 2021, there were no exchanges of Paired Interests.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16" w:lineRule="exact"/>
        <w:rPr>
          <w:sz w:val="20"/>
          <w:szCs w:val="20"/>
          <w:color w:val="auto"/>
        </w:rPr>
      </w:pPr>
    </w:p>
    <w:p>
      <w:pPr>
        <w:ind w:right="340" w:firstLine="1018"/>
        <w:spacing w:after="0" w:line="242" w:lineRule="auto"/>
        <w:rPr>
          <w:sz w:val="20"/>
          <w:szCs w:val="20"/>
          <w:color w:val="auto"/>
        </w:rPr>
      </w:pPr>
      <w:r>
        <w:rPr>
          <w:rFonts w:ascii="Times New Roman" w:cs="Times New Roman" w:eastAsia="Times New Roman" w:hAnsi="Times New Roman"/>
          <w:sz w:val="18"/>
          <w:szCs w:val="18"/>
          <w:color w:val="auto"/>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and (b) payments under the TRA and (ii) certain other benefits arising from payments under the TRA (collectively the “Tax Attributes”).</w:t>
      </w:r>
    </w:p>
    <w:p>
      <w:pPr>
        <w:spacing w:after="0" w:line="185"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A liability for the payable to parties subject to the TRA, and a reduction to stockholders’ equity, is accrued when (i) an exchange of a Paired Interest has occurred and (ii) when it is deemed probable that the Tax Attributes associated with the exchange will be used to reduce our taxable income based on the contractual percentage of the benefit of Tax Attributes that we expect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p>
      <w:pPr>
        <w:spacing w:after="0" w:line="266" w:lineRule="auto"/>
        <w:rPr>
          <w:sz w:val="20"/>
          <w:szCs w:val="20"/>
          <w:color w:val="auto"/>
        </w:rPr>
      </w:pPr>
      <w:r>
        <w:rPr>
          <w:rFonts w:ascii="Times New Roman" w:cs="Times New Roman" w:eastAsia="Times New Roman" w:hAnsi="Times New Roman"/>
          <w:sz w:val="18"/>
          <w:szCs w:val="18"/>
          <w:color w:val="auto"/>
        </w:rPr>
        <w:t>receive over a period of time. No exchanges of Paired Interests had occurred through December 31, 2021 and therefore no liability had been accrued for the TRA.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InCube Labs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Agreements</w:t>
      </w:r>
    </w:p>
    <w:p>
      <w:pPr>
        <w:spacing w:after="0" w:line="216"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In January 2019, Rani LLC entered into a one year service agreement with InCube Labs, LLC (“ICL”). This service agreement was amended in January 2020 to extend the period for an additional year and expired in December 2020. 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 month term and will automatically renew for a successive twelve month periods unless terminated; except that the Occupancy Services in Milpitas, California have a term until February 2023, with the potential for two annual renewals, subject to approval by ICL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93" w:lineRule="exact"/>
        <w:rPr>
          <w:sz w:val="20"/>
          <w:szCs w:val="20"/>
          <w:color w:val="auto"/>
        </w:rPr>
      </w:pPr>
    </w:p>
    <w:p>
      <w:pPr>
        <w:ind w:right="100" w:firstLine="1018"/>
        <w:spacing w:after="0"/>
        <w:rPr>
          <w:sz w:val="20"/>
          <w:szCs w:val="20"/>
          <w:color w:val="auto"/>
        </w:rPr>
      </w:pPr>
      <w:r>
        <w:rPr>
          <w:rFonts w:ascii="Times New Roman" w:cs="Times New Roman" w:eastAsia="Times New Roman" w:hAnsi="Times New Roman"/>
          <w:sz w:val="18"/>
          <w:szCs w:val="18"/>
          <w:color w:val="auto"/>
        </w:rPr>
        <w:t>In June 2021, RMS entered into a Service Agreement with ICL (the “RMS-ICL Service Agreement”) effective retrospectively to January 1, 2021, pursuant to which ICL agreed to rent a specified portion of its facility to RMS. Additionally, RMS and ICL agreed to provide personnel services to the other upon requests based on rates specified in the RMS-ICL Service Agreement. The RMS-ICL Service Agreement has a twelve month term and will automatically renew for successive twelve month periods unless terminated. RMS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RMS, respectively, as well as allocations of expenses based upon RMS’s utilization of ICL’s facilities and equipment.</w:t>
      </w:r>
    </w:p>
    <w:p>
      <w:pPr>
        <w:spacing w:after="0" w:line="185"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Our eligible employees are permitted to participate in ICL’s 401(k) Plan (“401(k) Plan”). Participation in the 401(k) Plan is offered for the benefit of our employees, including our named executive officers, who satisfy certain eligibility requirements.</w:t>
      </w:r>
    </w:p>
    <w:p>
      <w:pPr>
        <w:spacing w:after="0" w:line="162"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2021, all of our facilities are owned or leased by an entity affiliated with one of our directors, who is also the owner of ICL. We pay for the use of these facilities through the RMS-ICL Service Agreement.</w:t>
      </w:r>
    </w:p>
    <w:p>
      <w:pPr>
        <w:spacing w:after="0" w:line="162" w:lineRule="exact"/>
        <w:rPr>
          <w:sz w:val="20"/>
          <w:szCs w:val="20"/>
          <w:color w:val="auto"/>
        </w:rPr>
      </w:pPr>
    </w:p>
    <w:p>
      <w:pPr>
        <w:jc w:val="both"/>
        <w:ind w:right="100" w:firstLine="1018"/>
        <w:spacing w:after="0" w:line="250"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RMS charged ICL of $0.6 million and $0.4 million for the years ended December 31, 2021 and 2020, respectively, which is included in the consolidated statements of operations and comprehensive loss (in thousands):</w:t>
      </w:r>
    </w:p>
    <w:p>
      <w:pPr>
        <w:spacing w:after="0" w:line="211"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1,115</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60" w:type="dxa"/>
            <w:vAlign w:val="bottom"/>
            <w:shd w:val="clear" w:color="auto" w:fill="CFF0FC"/>
          </w:tcPr>
          <w:p>
            <w:pPr>
              <w:spacing w:after="0"/>
              <w:rPr>
                <w:sz w:val="17"/>
                <w:szCs w:val="17"/>
                <w:color w:val="auto"/>
              </w:rPr>
            </w:pPr>
          </w:p>
        </w:tc>
      </w:tr>
      <w:tr>
        <w:trPr>
          <w:trHeight w:val="202"/>
        </w:trPr>
        <w:tc>
          <w:tcPr>
            <w:tcW w:w="5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1,826</w:t>
            </w:r>
          </w:p>
        </w:tc>
        <w:tc>
          <w:tcPr>
            <w:tcW w:w="6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1,850</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2,361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16"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In connection with the IPO and Organizational Transactions, we effectuated an exchange of all outstanding Profits Interests into Class A Units including certain Profits Interests related to ICL and its affiliates ("ICL Holders"). Upon the IPO and Organizational Transactions, the performance condition was met for all Profits Interest no longer subject to a service based vesting condition resulting in the recognition of compensation cost associated with these awards. ICL Holders of 919,282 Class A Units exchanged 854,807 such units for our Class A common stock, the remaining 64,475 Class A Units of Rani LLC continue to be outstanding and are exchangeable for our Class A common stock at the option of the ICL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7" w:name="page98"/>
    <w:bookmarkEnd w:id="97"/>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components of equity-based compensation expense recorded in the consolidated statement of operations and comprehensive loss related to awards granted to employees of ICL and its affiliates by Rani Holdings (in thousands):</w:t>
      </w:r>
    </w:p>
    <w:p>
      <w:pPr>
        <w:spacing w:after="0" w:line="19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ind w:left="11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2,999</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12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3,643</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ind w:left="11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43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activity</w:t>
      </w:r>
    </w:p>
    <w:p>
      <w:pPr>
        <w:spacing w:after="0" w:line="216"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From inception to December 31, 2017, we advanced funds to ICL, and ICL made payments directly to certain vendors on behalf of us. We have reimbursed ICL for all such payments at cost on a monthly basis. In June 2017, we converted the outstanding advances of $6.6 million to ICL into three notes receivable. The notes provided for interest at 1.97% compounded annually, loan fees of 2.75% and were payable upon demand to us any time after January 1, 2024. During the year ended December 31, 2021 and 2020, we received $1.7 million and $0.2 million, respectively, for interest and principal on the remaining ICL note receivable, respectively. As of December 31, 2020, $1.7 million of the note was outstanding. The outstanding balance, including all accrued interest, was fully repaid in March 2021.</w:t>
      </w:r>
    </w:p>
    <w:p>
      <w:pPr>
        <w:spacing w:after="0" w:line="184"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In December 2020, we amended the terms of certain expired warrants to purchase Series B units (the "Series B Warrants"), issued to InCube Ventures II, LP ("ICV II"), a related party and entity affiliated with ICL, by extending its exercise period for an additional two years. In December 2020, ICV II elected to cashless exercise all of their Series B Warrants and Rani LLC issued 51,341 Series B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w:t>
      </w:r>
    </w:p>
    <w:p>
      <w:pPr>
        <w:spacing w:after="0" w:line="216"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Non-Exclusive License Agreement between Rani and ICL (“Non-Exclusive License Agreement”)</w:t>
      </w:r>
    </w:p>
    <w:p>
      <w:pPr>
        <w:spacing w:after="0" w:line="216"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Agreement with Mir Imran (the “Mir Agreement”)</w:t>
      </w:r>
    </w:p>
    <w:p>
      <w:pPr>
        <w:spacing w:after="0" w:line="216"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In June 2021, we entered into the Mir Agreement, pursuant to which we and Mir Imran agreed that we would own all intellectual property conceived (a) using any of our people, equipment, or facilities or (b)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ICL is party to the TRA, entered into in August 2021 pursuant to the IPO and Organizational Transactions. The TRA provides that we pay to such entities and individuals 85% of the amount of tax benefits, if any, it is deemed to realize from exchanges of Paired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16" w:lineRule="exact"/>
        <w:rPr>
          <w:sz w:val="20"/>
          <w:szCs w:val="20"/>
          <w:color w:val="auto"/>
        </w:rPr>
      </w:pPr>
    </w:p>
    <w:p>
      <w:pPr>
        <w:ind w:right="80" w:firstLine="1018"/>
        <w:spacing w:after="0" w:line="242"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Rani LLC Agreement</w:t>
      </w:r>
    </w:p>
    <w:p>
      <w:pPr>
        <w:spacing w:after="0" w:line="216"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We operate our business through Rani LLC and its subsidiary.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 No exchanges by ICL of Paired Interests occurred during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Expenses</w:t>
      </w:r>
    </w:p>
    <w:p>
      <w:pPr>
        <w:spacing w:after="0" w:line="216" w:lineRule="exact"/>
        <w:rPr>
          <w:sz w:val="20"/>
          <w:szCs w:val="20"/>
          <w:color w:val="auto"/>
        </w:rPr>
      </w:pPr>
    </w:p>
    <w:p>
      <w:pPr>
        <w:ind w:right="120" w:firstLine="1018"/>
        <w:spacing w:after="0" w:line="242" w:lineRule="auto"/>
        <w:rPr>
          <w:sz w:val="20"/>
          <w:szCs w:val="20"/>
          <w:color w:val="auto"/>
        </w:rPr>
      </w:pPr>
      <w:r>
        <w:rPr>
          <w:rFonts w:ascii="Times New Roman" w:cs="Times New Roman" w:eastAsia="Times New Roman" w:hAnsi="Times New Roman"/>
          <w:sz w:val="18"/>
          <w:szCs w:val="18"/>
          <w:color w:val="auto"/>
        </w:rPr>
        <w:t>As a result of the IPO, we expect our operating expenses to increase.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32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63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Contract revenue</w:t>
            </w:r>
          </w:p>
        </w:tc>
        <w:tc>
          <w:tcPr>
            <w:tcW w:w="860" w:type="dxa"/>
            <w:vAlign w:val="bottom"/>
            <w:shd w:val="clear" w:color="auto" w:fill="CFF0FC"/>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2,717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26,482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12,044</w:t>
            </w: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27,834</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4,962</w:t>
            </w:r>
          </w:p>
        </w:tc>
        <w:tc>
          <w:tcPr>
            <w:tcW w:w="100" w:type="dxa"/>
            <w:vAlign w:val="bottom"/>
          </w:tcPr>
          <w:p>
            <w:pPr>
              <w:spacing w:after="0"/>
              <w:rPr>
                <w:sz w:val="17"/>
                <w:szCs w:val="17"/>
                <w:color w:val="auto"/>
              </w:rPr>
            </w:pPr>
          </w:p>
        </w:tc>
      </w:tr>
      <w:tr>
        <w:trPr>
          <w:trHeight w:val="196"/>
        </w:trPr>
        <w:tc>
          <w:tcPr>
            <w:tcW w:w="6340" w:type="dxa"/>
            <w:vAlign w:val="bottom"/>
            <w:tcBorders>
              <w:bottom w:val="single" w:sz="8" w:color="CFF0FC"/>
            </w:tcBorders>
            <w:shd w:val="clear" w:color="auto" w:fill="CFF0FC"/>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shd w:val="clear" w:color="auto" w:fill="CFF0FC"/>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54,316</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tcPr>
          <w:p>
            <w:pPr>
              <w:spacing w:after="0"/>
              <w:rPr>
                <w:sz w:val="17"/>
                <w:szCs w:val="17"/>
                <w:color w:val="auto"/>
              </w:rPr>
            </w:pPr>
          </w:p>
        </w:tc>
        <w:tc>
          <w:tcPr>
            <w:tcW w:w="8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w w:val="96"/>
              </w:rPr>
              <w:t>(51,599 )</w:t>
            </w:r>
          </w:p>
        </w:tc>
        <w:tc>
          <w:tcPr>
            <w:tcW w:w="320" w:type="dxa"/>
            <w:vAlign w:val="bottom"/>
          </w:tcPr>
          <w:p>
            <w:pPr>
              <w:spacing w:after="0"/>
              <w:rPr>
                <w:sz w:val="17"/>
                <w:szCs w:val="17"/>
                <w:color w:val="auto"/>
              </w:rPr>
            </w:pPr>
          </w:p>
        </w:tc>
        <w:tc>
          <w:tcPr>
            <w:tcW w:w="1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(16,544 )</w:t>
            </w:r>
          </w:p>
        </w:tc>
      </w:tr>
      <w:tr>
        <w:trPr>
          <w:trHeight w:val="203"/>
        </w:trPr>
        <w:tc>
          <w:tcPr>
            <w:tcW w:w="634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7"/>
                <w:szCs w:val="17"/>
                <w:color w:val="auto"/>
              </w:rPr>
            </w:pPr>
          </w:p>
        </w:tc>
      </w:tr>
      <w:tr>
        <w:trPr>
          <w:trHeight w:val="203"/>
        </w:trPr>
        <w:tc>
          <w:tcPr>
            <w:tcW w:w="634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Loss on extinguishment of debt</w:t>
            </w:r>
          </w:p>
        </w:tc>
        <w:tc>
          <w:tcPr>
            <w:tcW w:w="8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(700 )</w:t>
            </w: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3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Interest expense and other, net</w:t>
            </w:r>
          </w:p>
        </w:tc>
        <w:tc>
          <w:tcPr>
            <w:tcW w:w="86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(466 )</w:t>
            </w:r>
          </w:p>
        </w:tc>
        <w:tc>
          <w:tcPr>
            <w:tcW w:w="320" w:type="dxa"/>
            <w:vAlign w:val="bottom"/>
          </w:tcPr>
          <w:p>
            <w:pPr>
              <w:spacing w:after="0"/>
              <w:rPr>
                <w:sz w:val="17"/>
                <w:szCs w:val="17"/>
                <w:color w:val="auto"/>
              </w:rPr>
            </w:pPr>
          </w:p>
        </w:tc>
        <w:tc>
          <w:tcPr>
            <w:tcW w:w="11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(124 )</w:t>
            </w:r>
          </w:p>
        </w:tc>
      </w:tr>
      <w:tr>
        <w:trPr>
          <w:trHeight w:val="203"/>
        </w:trPr>
        <w:tc>
          <w:tcPr>
            <w:tcW w:w="634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Change in estimated fair value of preferred unit warrant</w:t>
            </w:r>
          </w:p>
        </w:tc>
        <w:tc>
          <w:tcPr>
            <w:tcW w:w="8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(371 )</w:t>
            </w: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(63 )</w:t>
            </w:r>
          </w:p>
        </w:tc>
      </w:tr>
      <w:tr>
        <w:trPr>
          <w:trHeight w:val="20"/>
        </w:trPr>
        <w:tc>
          <w:tcPr>
            <w:tcW w:w="6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Loss before income taxes</w:t>
            </w:r>
          </w:p>
        </w:tc>
        <w:tc>
          <w:tcPr>
            <w:tcW w:w="860" w:type="dxa"/>
            <w:vAlign w:val="bottom"/>
          </w:tcPr>
          <w:p>
            <w:pPr>
              <w:spacing w:after="0"/>
              <w:rPr>
                <w:sz w:val="17"/>
                <w:szCs w:val="17"/>
                <w:color w:val="auto"/>
              </w:rPr>
            </w:pPr>
          </w:p>
        </w:tc>
        <w:tc>
          <w:tcPr>
            <w:tcW w:w="8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w w:val="96"/>
              </w:rPr>
              <w:t>(53,047 )</w:t>
            </w:r>
          </w:p>
        </w:tc>
        <w:tc>
          <w:tcPr>
            <w:tcW w:w="320" w:type="dxa"/>
            <w:vAlign w:val="bottom"/>
          </w:tcPr>
          <w:p>
            <w:pPr>
              <w:spacing w:after="0"/>
              <w:rPr>
                <w:sz w:val="17"/>
                <w:szCs w:val="17"/>
                <w:color w:val="auto"/>
              </w:rPr>
            </w:pPr>
          </w:p>
        </w:tc>
        <w:tc>
          <w:tcPr>
            <w:tcW w:w="1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(16,668 )</w:t>
            </w:r>
          </w:p>
        </w:tc>
      </w:tr>
      <w:tr>
        <w:trPr>
          <w:trHeight w:val="203"/>
        </w:trPr>
        <w:tc>
          <w:tcPr>
            <w:tcW w:w="634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8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(41 )</w:t>
            </w: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(35 )</w:t>
            </w:r>
          </w:p>
        </w:tc>
      </w:tr>
      <w:tr>
        <w:trPr>
          <w:trHeight w:val="20"/>
        </w:trPr>
        <w:tc>
          <w:tcPr>
            <w:tcW w:w="6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860" w:type="dxa"/>
            <w:vAlign w:val="bottom"/>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w w:val="96"/>
              </w:rPr>
              <w:t>(53,088 )</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(16,703 )</w:t>
            </w:r>
          </w:p>
        </w:tc>
      </w:tr>
      <w:tr>
        <w:trPr>
          <w:trHeight w:val="203"/>
        </w:trPr>
        <w:tc>
          <w:tcPr>
            <w:tcW w:w="6340" w:type="dxa"/>
            <w:vAlign w:val="bottom"/>
            <w:shd w:val="clear" w:color="auto" w:fill="CFF0FC"/>
          </w:tcPr>
          <w:p>
            <w:pPr>
              <w:ind w:left="100"/>
              <w:spacing w:after="0" w:line="202" w:lineRule="exact"/>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8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w w:val="96"/>
              </w:rPr>
              <w:t>(44,757 )</w:t>
            </w:r>
          </w:p>
        </w:tc>
        <w:tc>
          <w:tcPr>
            <w:tcW w:w="3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(16,703 )</w:t>
            </w:r>
          </w:p>
        </w:tc>
      </w:tr>
      <w:tr>
        <w:trPr>
          <w:trHeight w:val="20"/>
        </w:trPr>
        <w:tc>
          <w:tcPr>
            <w:tcW w:w="63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860" w:type="dxa"/>
            <w:vAlign w:val="bottom"/>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(8,331 )</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-1470660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-1470660</wp:posOffset>
            </wp:positionV>
            <wp:extent cx="6032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-690880</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-690880</wp:posOffset>
            </wp:positionV>
            <wp:extent cx="6032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-424815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-424815</wp:posOffset>
            </wp:positionV>
            <wp:extent cx="603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-159385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-159385</wp:posOffset>
            </wp:positionV>
            <wp:extent cx="6032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14"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Contract revenue was $2.7 million and $0.5 million for the years ended December 31, 2021 and 2020, respectively, which was attributable to the evaluation agreement with Takeda. In 2021, $0.7 million of revenue related to the timing of work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99" w:name="page100"/>
    <w:bookmarkEnd w:id="99"/>
    <w:p>
      <w:pPr>
        <w:ind w:right="200"/>
        <w:spacing w:after="0" w:line="266" w:lineRule="auto"/>
        <w:rPr>
          <w:sz w:val="20"/>
          <w:szCs w:val="20"/>
          <w:color w:val="auto"/>
        </w:rPr>
      </w:pPr>
      <w:r>
        <w:rPr>
          <w:rFonts w:ascii="Times New Roman" w:cs="Times New Roman" w:eastAsia="Times New Roman" w:hAnsi="Times New Roman"/>
          <w:sz w:val="18"/>
          <w:szCs w:val="18"/>
          <w:color w:val="auto"/>
        </w:rPr>
        <w:t>under the agreement and remaining $2.0 million of deferred revenue, as a result of the termination of the agreement. The termination of the contract was considered a modification of the arrangement, and the deferred revenue under this agreement was fully recognized in the second quarter of 2021.</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reflects our research and development costs by nature of expense (in thousands):</w:t>
      </w:r>
    </w:p>
    <w:p>
      <w:pPr>
        <w:spacing w:after="0" w:line="24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9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9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Payroll, equity-based compensation and related benefits</w:t>
            </w:r>
          </w:p>
        </w:tc>
        <w:tc>
          <w:tcPr>
            <w:tcW w:w="880" w:type="dxa"/>
            <w:vAlign w:val="bottom"/>
            <w:shd w:val="clear" w:color="auto" w:fill="CFF0FC"/>
          </w:tcPr>
          <w:p>
            <w:pPr>
              <w:jc w:val="right"/>
              <w:ind w:right="6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20,120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6,794</w:t>
            </w:r>
          </w:p>
        </w:tc>
        <w:tc>
          <w:tcPr>
            <w:tcW w:w="6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Facilities, materials and supplies</w:t>
            </w:r>
          </w:p>
        </w:tc>
        <w:tc>
          <w:tcPr>
            <w:tcW w:w="8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3,595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2,449</w:t>
            </w:r>
          </w:p>
        </w:tc>
        <w:tc>
          <w:tcPr>
            <w:tcW w:w="60" w:type="dxa"/>
            <w:vAlign w:val="bottom"/>
          </w:tcPr>
          <w:p>
            <w:pPr>
              <w:spacing w:after="0"/>
              <w:rPr>
                <w:sz w:val="17"/>
                <w:szCs w:val="17"/>
                <w:color w:val="auto"/>
              </w:rPr>
            </w:pPr>
          </w:p>
        </w:tc>
      </w:tr>
      <w:tr>
        <w:trPr>
          <w:trHeight w:val="203"/>
        </w:trPr>
        <w:tc>
          <w:tcPr>
            <w:tcW w:w="59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Third-party services</w:t>
            </w: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2,429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2,690</w:t>
            </w:r>
          </w:p>
        </w:tc>
        <w:tc>
          <w:tcPr>
            <w:tcW w:w="60" w:type="dxa"/>
            <w:vAlign w:val="bottom"/>
            <w:shd w:val="clear" w:color="auto" w:fill="CFF0FC"/>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338</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7"/>
                <w:szCs w:val="17"/>
                <w:color w:val="auto"/>
              </w:rPr>
            </w:pPr>
          </w:p>
        </w:tc>
      </w:tr>
      <w:tr>
        <w:trPr>
          <w:trHeight w:val="236"/>
        </w:trPr>
        <w:tc>
          <w:tcPr>
            <w:tcW w:w="596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0FC"/>
          </w:tcPr>
          <w:p>
            <w:pPr>
              <w:jc w:val="right"/>
              <w:ind w:right="6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26,482</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12,044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Research and development expenses were $26.5 million for the year ended December 31, 2021, compared to $12.0 million for the year ended December 31, 2020. The change in research and development expense was attributed to an increase of $13.3 million in salaries and related benefit costs due to higher headcount, which includes $8.2 million of equity-based compensation, of which $6.2 million was attributed to the vesting and recognition of the Profits Interests expense in connection with the IPO and Organizational Transactions, plus additional expense as a result of a modification of certain Profits Interests, and an increase in laboratory supplies of $1.1 million, partially offset by a reduction in third-party services of $0.3 million for the development of our manufacturing processes that occurred in 2020 and did not recur in 2021.</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General and administrative expenses were $27.8 million for the year ended December 31, 2021, compared to $5.0 million for the year ended December 31, 2020. During the year ended December 31, 2021, our equity-based compensation expense increased by $14.4 million, of which $10.7 million was attributed to the vesting and recognition of the Profits Interests expense in connection with the IPO and Organizational Transactions, plus additional expense as a result of a modification of certain Profits Interests. Additionally, professional and consulting services expense increased by $3.8 million primarily due to the costs associated with preparing to operate as a public company, payroll and related benefits increased by $2.5 million due to higher headcount, facility costs increased $1.7 million to support the higher headcount, and travel costs increased $0.4 million.</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Other expense, net, was $1.4 million for the year ended December 31, 2021, which primarily related to $0.7 million of loss on the extinguishment of debt in July 2021, $0.5 million of interest expense on the debt, and $0.4 million due to the increase in the estimated fair value of the Series E preferred unit warrants prior to their conversion. Other expense, net, was $0.1 million for the year ended December 31, 2020, which was primarily due to the interest expense on the debt.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 of Liquidity</w:t>
      </w:r>
    </w:p>
    <w:p>
      <w:pPr>
        <w:spacing w:after="0" w:line="216"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and the issuance of convertible promissory notes, with aggregate gross proceeds of $282.4 million, as well as revenue generated from evaluation agreements. In August 2021, we raised net proceeds of $73.6 million from the IPO. As of December 31, 2021, we had cash and cash equivalents of $117.5 million.</w:t>
      </w:r>
    </w:p>
    <w:p>
      <w:pPr>
        <w:spacing w:after="0" w:line="191"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In April 2020, we received loan proceeds in the amount of approximately $1.3 million under the Paycheck Protection Program, established pursuant to the Coronavirus Aid, Relief and Economic Security Act (the "CARES Act"), with Comerica Bank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0" w:name="page101"/>
    <w:bookmarkEnd w:id="100"/>
    <w:p>
      <w:pPr>
        <w:ind w:right="540"/>
        <w:spacing w:after="0" w:line="266" w:lineRule="auto"/>
        <w:rPr>
          <w:sz w:val="20"/>
          <w:szCs w:val="20"/>
          <w:color w:val="auto"/>
        </w:rPr>
      </w:pPr>
      <w:r>
        <w:rPr>
          <w:rFonts w:ascii="Times New Roman" w:cs="Times New Roman" w:eastAsia="Times New Roman" w:hAnsi="Times New Roman"/>
          <w:sz w:val="18"/>
          <w:szCs w:val="18"/>
          <w:color w:val="auto"/>
        </w:rPr>
        <w:t>the lender (the “PPP Loan”). We used this loan for eligible purposes, including payroll, benefits, rent and utilities. The loan bore interest at 1.0% per annum. In September 2021, we repaid in full the $1.3 million of principal and interest related to the PPP Loan.</w:t>
      </w:r>
    </w:p>
    <w:p>
      <w:pPr>
        <w:spacing w:after="0" w:line="162" w:lineRule="exact"/>
        <w:rPr>
          <w:sz w:val="20"/>
          <w:szCs w:val="20"/>
          <w:color w:val="auto"/>
        </w:rPr>
      </w:pPr>
    </w:p>
    <w:p>
      <w:pPr>
        <w:ind w:right="80" w:firstLine="1018"/>
        <w:spacing w:after="0" w:line="238" w:lineRule="auto"/>
        <w:rPr>
          <w:sz w:val="20"/>
          <w:szCs w:val="20"/>
          <w:color w:val="auto"/>
        </w:rPr>
      </w:pPr>
      <w:r>
        <w:rPr>
          <w:rFonts w:ascii="Times New Roman" w:cs="Times New Roman" w:eastAsia="Times New Roman" w:hAnsi="Times New Roman"/>
          <w:sz w:val="18"/>
          <w:szCs w:val="18"/>
          <w:color w:val="auto"/>
        </w:rPr>
        <w:t>In September 2020, we entered into a secured convertible loan agreement (the “Avenue Loan Agreement”) with Avenue Venture Opportunities Fund, L.P., for loan proceeds of up to $10.0 million. As of December 31, 2021, we had drawn down $3.0 million under the Avenue Loan Agreement. The Loan bore interest at a variable rate per annum equal to the sum of (i) the greater of (A) the Prime Rate and (B) three and one-quarter percent (3.25%), plus (ii) eight percent (8.00%), compounded monthly until its maturity date of September 1, 2023, at which time all outstanding principal and interest would become due and payable in cash if not already converted. Our obligations under the Avenue Loan Agreement were secured by a first priority security interest in substantially all of our assets. In connection with the Avenue Loan Agreement, we issued warrants of 118,929 units of Series E preferred units (the “Series E Warrants”). The Series E Warrants were exercisable for a period of seven years from the date of grant at an exercise price of $7.1471 per unit. The loan was convertible at the option of the holder into our Series E convertible preferred units. In July 2021, we repaid in full the $3.0 million of principal and approximately $0.5 million of final payment and fees under the Avenue Loan Agreement.</w:t>
      </w:r>
    </w:p>
    <w:p>
      <w:pPr>
        <w:spacing w:after="0" w:line="191"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In October 2020, we entered into the Fourth Amended and Restated Limited Liability Company Agreement, which authorized the sale and issuance of up to 10,493,767 Series E Preferred Units. As of December 31, 2021, we had issued the total authorized amount at a price of $7.1471 for gross proceeds of $75.0 million. In conjunction with the IPO and Organizational Transactions, the Series E warrants were settled with 62,877 shares of our Class A common stock.</w:t>
      </w:r>
    </w:p>
    <w:p>
      <w:pPr>
        <w:spacing w:after="0" w:line="181"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After completion of the IPO, Rani Holdings became a holding company and has no material assets other than its ownership of LLC Interests. We have no independent means of generating revenue. The Rani LLC Agreement that went into effect at the closing the IPO provides that certain distributions will be made to cover the taxes of the owners of LLC Interests and our obligations under the Tax Receivable Agreement which was entered into with certain of the Continuing LLC Owners.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Since our inception, we have incurred significant losses and negative cash flows from operations. Our net losses were $53.1 million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$16.7 million for the years ended December 31, 2021 and 2020, respectively. As of December 31, 2021, we had an accumulated deficit of $8.3 million. We</w:t>
      </w:r>
    </w:p>
    <w:p>
      <w:pPr>
        <w:spacing w:after="0" w:line="234" w:lineRule="auto"/>
        <w:rPr>
          <w:sz w:val="20"/>
          <w:szCs w:val="20"/>
          <w:color w:val="auto"/>
        </w:rPr>
      </w:pPr>
      <w:r>
        <w:rPr>
          <w:rFonts w:ascii="Times New Roman" w:cs="Times New Roman" w:eastAsia="Times New Roman" w:hAnsi="Times New Roman"/>
          <w:sz w:val="18"/>
          <w:szCs w:val="18"/>
          <w:color w:val="auto"/>
        </w:rPr>
        <w:t>expect to continue to incur significant losses for the foreseeable future, and our net losses may fluctuate significantly from period to period, depending on</w:t>
      </w:r>
    </w:p>
    <w:p>
      <w:pPr>
        <w:spacing w:after="0" w:line="235" w:lineRule="auto"/>
        <w:rPr>
          <w:sz w:val="20"/>
          <w:szCs w:val="20"/>
          <w:color w:val="auto"/>
        </w:rPr>
      </w:pPr>
      <w:r>
        <w:rPr>
          <w:rFonts w:ascii="Times New Roman" w:cs="Times New Roman" w:eastAsia="Times New Roman" w:hAnsi="Times New Roman"/>
          <w:sz w:val="18"/>
          <w:szCs w:val="18"/>
          <w:color w:val="auto"/>
        </w:rPr>
        <w:t>the timing of and expenditures on our planned research and development activities. Until such time as we can generate sufficient revenue from commercial</w:t>
      </w:r>
    </w:p>
    <w:p>
      <w:pPr>
        <w:spacing w:after="0" w:line="235" w:lineRule="auto"/>
        <w:rPr>
          <w:sz w:val="20"/>
          <w:szCs w:val="20"/>
          <w:color w:val="auto"/>
        </w:rPr>
      </w:pPr>
      <w:r>
        <w:rPr>
          <w:rFonts w:ascii="Times New Roman" w:cs="Times New Roman" w:eastAsia="Times New Roman" w:hAnsi="Times New Roman"/>
          <w:sz w:val="18"/>
          <w:szCs w:val="18"/>
          <w:color w:val="auto"/>
        </w:rPr>
        <w:t>product sales, if ever, we expect to finance our operations through a combination of equity offerings and debt financings, or other capital sources, which</w:t>
      </w:r>
    </w:p>
    <w:p>
      <w:pPr>
        <w:spacing w:after="0" w:line="235" w:lineRule="auto"/>
        <w:rPr>
          <w:sz w:val="20"/>
          <w:szCs w:val="20"/>
          <w:color w:val="auto"/>
        </w:rPr>
      </w:pPr>
      <w:r>
        <w:rPr>
          <w:rFonts w:ascii="Times New Roman" w:cs="Times New Roman" w:eastAsia="Times New Roman" w:hAnsi="Times New Roman"/>
          <w:sz w:val="18"/>
          <w:szCs w:val="18"/>
          <w:color w:val="auto"/>
        </w:rPr>
        <w:t>may include strategic collaborations or other arrangements with third parties. We may be unable to raise additional funds or to enter into such agreements</w:t>
      </w:r>
    </w:p>
    <w:p>
      <w:pPr>
        <w:spacing w:after="0" w:line="235" w:lineRule="auto"/>
        <w:rPr>
          <w:sz w:val="20"/>
          <w:szCs w:val="20"/>
          <w:color w:val="auto"/>
        </w:rPr>
      </w:pPr>
      <w:r>
        <w:rPr>
          <w:rFonts w:ascii="Times New Roman" w:cs="Times New Roman" w:eastAsia="Times New Roman" w:hAnsi="Times New Roman"/>
          <w:sz w:val="18"/>
          <w:szCs w:val="18"/>
          <w:color w:val="auto"/>
        </w:rPr>
        <w:t>or arrangements on favorable terms, or at all. If we are unable to raise capital or enter into such agreements as and when needed, we may have to</w:t>
      </w:r>
    </w:p>
    <w:p>
      <w:pPr>
        <w:spacing w:after="0" w:line="234" w:lineRule="auto"/>
        <w:rPr>
          <w:sz w:val="20"/>
          <w:szCs w:val="20"/>
          <w:color w:val="auto"/>
        </w:rPr>
      </w:pPr>
      <w:r>
        <w:rPr>
          <w:rFonts w:ascii="Times New Roman" w:cs="Times New Roman" w:eastAsia="Times New Roman" w:hAnsi="Times New Roman"/>
          <w:sz w:val="18"/>
          <w:szCs w:val="18"/>
          <w:color w:val="auto"/>
        </w:rPr>
        <w:t>significantly delay, scale back or discontinue the development or commercialization of one or more of our product candidates. Insufficient liquidity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require us to relinquish rights to product candidates at an earlier stage of development or on less favorable terms than we would otherwise choose.</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Rani Holdings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 Due to the uncertainty of various factors, we cannot precisely quantify the tax benefits we may realize as a result of LLC Interest exchanges and the resulting amounts we may need to pay out to certain of the Continuing LLC Owners pursuant to the Tax Receivable Agreement; however, we estimate that such payments may be substantial.</w:t>
      </w:r>
    </w:p>
    <w:p>
      <w:pPr>
        <w:spacing w:after="0" w:line="186"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As there have been no transactions which have occurred which would trigger a liability under this agreement, we have not recognized any deferred tax assets or liabilities related to this agreement as of December 31, 2021.</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jc w:val="both"/>
        <w:ind w:right="20" w:firstLine="1018"/>
        <w:spacing w:after="0" w:line="250"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1" w:name="page102"/>
    <w:bookmarkEnd w:id="101"/>
    <w:p>
      <w:pPr>
        <w:ind w:right="40"/>
        <w:spacing w:after="0" w:line="245" w:lineRule="auto"/>
        <w:rPr>
          <w:sz w:val="20"/>
          <w:szCs w:val="20"/>
          <w:color w:val="auto"/>
        </w:rPr>
      </w:pPr>
      <w:r>
        <w:rPr>
          <w:rFonts w:ascii="Times New Roman" w:cs="Times New Roman" w:eastAsia="Times New Roman" w:hAnsi="Times New Roman"/>
          <w:sz w:val="18"/>
          <w:szCs w:val="18"/>
          <w:color w:val="auto"/>
        </w:rPr>
        <w:t>numerous risks and uncertainties associated with the development of the RaniPill capsule and RaniPill HC and because the extent to which we may enter into strategic collaborations or other arrangements with third parties for development of the RaniPill capsule and RaniPill HC is unknown, we are unable to estimate the timing and amounts of increased capital outlays and operating expenses associated with completing the research and development of our product candidates.</w:t>
      </w:r>
    </w:p>
    <w:p>
      <w:pPr>
        <w:spacing w:after="0" w:line="181"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and RaniPill HC. In addition, we expect to incur additional costs operating as a public company.</w:t>
      </w:r>
    </w:p>
    <w:p>
      <w:pPr>
        <w:spacing w:after="0" w:line="184"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181" w:lineRule="exact"/>
        <w:rPr>
          <w:sz w:val="20"/>
          <w:szCs w:val="20"/>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preclinical studies and clinical trials;</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research pipeline;</w:t>
      </w:r>
    </w:p>
    <w:p>
      <w:pPr>
        <w:spacing w:after="0" w:line="211" w:lineRule="exact"/>
        <w:rPr>
          <w:rFonts w:ascii="Times New Roman" w:cs="Times New Roman" w:eastAsia="Times New Roman" w:hAnsi="Times New Roman"/>
          <w:sz w:val="18"/>
          <w:szCs w:val="18"/>
          <w:color w:val="auto"/>
        </w:rPr>
      </w:pPr>
    </w:p>
    <w:p>
      <w:pPr>
        <w:ind w:left="1540" w:right="40" w:hanging="514"/>
        <w:spacing w:after="0" w:line="250"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U.S. Food and Drug Administration (“FDA”), or other regulatory authorities to accept data from our clinical trials, as well as data from our completed and planned clinical trials and preclinical studies and other work, as the basis for review and approval of the RaniPill capsule and RaniPill HC for various indications;</w:t>
      </w:r>
    </w:p>
    <w:p>
      <w:pPr>
        <w:spacing w:after="0" w:line="17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the RaniPill capsules;</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211" w:lineRule="exact"/>
        <w:rPr>
          <w:rFonts w:ascii="Times New Roman" w:cs="Times New Roman" w:eastAsia="Times New Roman" w:hAnsi="Times New Roman"/>
          <w:sz w:val="18"/>
          <w:szCs w:val="18"/>
          <w:color w:val="auto"/>
        </w:rPr>
      </w:pPr>
    </w:p>
    <w:p>
      <w:pPr>
        <w:ind w:left="1540" w:right="80" w:hanging="514"/>
        <w:spacing w:after="0" w:line="266"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including establishing commercial supplies and sales, marketing, and distribution capabilities;</w:t>
      </w:r>
    </w:p>
    <w:p>
      <w:pPr>
        <w:spacing w:after="0" w:line="162"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commercial infrastructure;</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211" w:lineRule="exact"/>
        <w:rPr>
          <w:rFonts w:ascii="Times New Roman" w:cs="Times New Roman" w:eastAsia="Times New Roman" w:hAnsi="Times New Roman"/>
          <w:sz w:val="18"/>
          <w:szCs w:val="18"/>
          <w:color w:val="auto"/>
        </w:rPr>
      </w:pPr>
    </w:p>
    <w:p>
      <w:pPr>
        <w:ind w:left="1540" w:right="300" w:hanging="514"/>
        <w:spacing w:after="0" w:line="250" w:lineRule="auto"/>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76"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engineering personnel;</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drugs and product candidates and other market developments;</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 if approved;</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21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data losses or other disruptions affecting our information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2" w:name="page103"/>
    <w:bookmarkEnd w:id="102"/>
    <w:p>
      <w:pPr>
        <w:ind w:left="1540" w:right="40" w:hanging="514"/>
        <w:spacing w:after="0" w:line="266"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162"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disruptions to and volatility in the credit and financial markets in the United States and worldwide from the COVID-19 pandemic.</w:t>
      </w:r>
    </w:p>
    <w:p>
      <w:pPr>
        <w:spacing w:after="0" w:line="162" w:lineRule="exact"/>
        <w:rPr>
          <w:sz w:val="20"/>
          <w:szCs w:val="20"/>
          <w:color w:val="auto"/>
        </w:rPr>
      </w:pPr>
    </w:p>
    <w:p>
      <w:pPr>
        <w:ind w:right="40" w:firstLine="1018"/>
        <w:spacing w:after="0" w:line="239" w:lineRule="auto"/>
        <w:rPr>
          <w:sz w:val="20"/>
          <w:szCs w:val="20"/>
          <w:color w:val="auto"/>
        </w:rPr>
      </w:pPr>
      <w:r>
        <w:rPr>
          <w:rFonts w:ascii="Times New Roman" w:cs="Times New Roman" w:eastAsia="Times New Roman" w:hAnsi="Times New Roman"/>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6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FF0FC"/>
          </w:tcPr>
          <w:p>
            <w:pPr>
              <w:jc w:val="right"/>
              <w:ind w:right="69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(32,245</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(14,960</w:t>
            </w: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203"/>
        </w:trPr>
        <w:tc>
          <w:tcPr>
            <w:tcW w:w="6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7"/>
                <w:szCs w:val="17"/>
                <w:color w:val="auto"/>
              </w:rPr>
            </w:pPr>
          </w:p>
        </w:tc>
        <w:tc>
          <w:tcPr>
            <w:tcW w:w="840" w:type="dxa"/>
            <w:vAlign w:val="bottom"/>
            <w:gridSpan w:val="2"/>
          </w:tcPr>
          <w:p>
            <w:pPr>
              <w:jc w:val="right"/>
              <w:ind w:right="121"/>
              <w:spacing w:after="0" w:line="202" w:lineRule="exact"/>
              <w:rPr>
                <w:sz w:val="20"/>
                <w:szCs w:val="20"/>
                <w:color w:val="auto"/>
              </w:rPr>
            </w:pPr>
            <w:r>
              <w:rPr>
                <w:rFonts w:ascii="Times New Roman" w:cs="Times New Roman" w:eastAsia="Times New Roman" w:hAnsi="Times New Roman"/>
                <w:sz w:val="18"/>
                <w:szCs w:val="18"/>
                <w:color w:val="auto"/>
              </w:rPr>
              <w:t>(506 )</w:t>
            </w:r>
          </w:p>
        </w:tc>
        <w:tc>
          <w:tcPr>
            <w:tcW w:w="86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(1,200 )</w:t>
            </w:r>
          </w:p>
        </w:tc>
      </w:tr>
      <w:tr>
        <w:trPr>
          <w:trHeight w:val="203"/>
        </w:trPr>
        <w:tc>
          <w:tcPr>
            <w:tcW w:w="6300" w:type="dxa"/>
            <w:vAlign w:val="bottom"/>
            <w:tcBorders>
              <w:bottom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77,146</w:t>
            </w:r>
          </w:p>
        </w:tc>
        <w:tc>
          <w:tcPr>
            <w:tcW w:w="2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72,682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880" w:type="dxa"/>
            <w:vAlign w:val="bottom"/>
            <w:tcBorders>
              <w:bottom w:val="single" w:sz="8" w:color="auto"/>
            </w:tcBorders>
          </w:tcPr>
          <w:p>
            <w:pPr>
              <w:jc w:val="right"/>
              <w:ind w:right="69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44,395</w:t>
            </w:r>
          </w:p>
        </w:tc>
        <w:tc>
          <w:tcPr>
            <w:tcW w:w="260" w:type="dxa"/>
            <w:vAlign w:val="bottom"/>
          </w:tcPr>
          <w:p>
            <w:pPr>
              <w:spacing w:after="0"/>
              <w:rPr>
                <w:sz w:val="17"/>
                <w:szCs w:val="17"/>
                <w:color w:val="auto"/>
              </w:rPr>
            </w:pPr>
          </w:p>
        </w:tc>
        <w:tc>
          <w:tcPr>
            <w:tcW w:w="860" w:type="dxa"/>
            <w:vAlign w:val="bottom"/>
            <w:tcBorders>
              <w:bottom w:val="single" w:sz="8" w:color="auto"/>
            </w:tcBorders>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56,522</w:t>
            </w:r>
          </w:p>
        </w:tc>
        <w:tc>
          <w:tcPr>
            <w:tcW w:w="100" w:type="dxa"/>
            <w:vAlign w:val="bottom"/>
          </w:tcPr>
          <w:p>
            <w:pPr>
              <w:spacing w:after="0"/>
              <w:rPr>
                <w:sz w:val="17"/>
                <w:szCs w:val="17"/>
                <w:color w:val="auto"/>
              </w:rPr>
            </w:pPr>
          </w:p>
        </w:tc>
      </w:tr>
      <w:tr>
        <w:trPr>
          <w:trHeight w:val="20"/>
        </w:trPr>
        <w:tc>
          <w:tcPr>
            <w:tcW w:w="6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-159385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-159385</wp:posOffset>
            </wp:positionV>
            <wp:extent cx="603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6" w:lineRule="exact"/>
        <w:rPr>
          <w:sz w:val="20"/>
          <w:szCs w:val="20"/>
          <w:color w:val="auto"/>
        </w:rPr>
      </w:pPr>
    </w:p>
    <w:p>
      <w:pPr>
        <w:jc w:val="both"/>
        <w:ind w:right="60" w:firstLine="1018"/>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$32.2 million, which was primarily attributable to a net loss of $53.1 million, partially offset by the equity-based compensation expense of $22.6 million, a loss on the extinguishment of the debt of $0.7 million, non-cash depreciation and amortization of $0.5 million, and the change in the estimated fair value of our preferred unit warrant liability of $0.4 million.</w:t>
      </w:r>
    </w:p>
    <w:p>
      <w:pPr>
        <w:spacing w:after="0" w:line="177"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Additionally there was an increase of $2.0 million in prepaid expenses and other assets due to director and officer insurance as a result of becoming a publicly traded company, an increase in accrued expenses of $0.7 million, and a decrease in deferred revenue of $2.7 million.</w:t>
      </w:r>
    </w:p>
    <w:p>
      <w:pPr>
        <w:spacing w:after="0" w:line="162"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2020 was $15.0 million, which was primarily attributable to a net loss of $16.7 million, partially offset by non-cash depreciation and amortization of $0.6 million, an increase in accounts payable of $0.9 million, the payment of the related party payable balance of $1.8 million, and an increase in deferred revenue of $2.5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ind w:right="480" w:firstLine="101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2021 and 2020, net cash used in investing activities was $0.5 million and $1.2 million, respectively, consisting solely of purchases of property and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For the year ended December 31, 2021, cash provided by financing activities was approximately $77.1 million, consisting of the proceeds from the issuance of Class A common stock sold in the IPO for net proceeds of $73.6 million, the sale and issuance of our Series E Preferred Units for net proceeds of $6.3 million, and $1.7 million of principal payments received from our related party note receivable, partially offset by repayments of the PPP Loan of $1.3 million and convertible loan of $3.3 million.</w:t>
      </w:r>
    </w:p>
    <w:p>
      <w:pPr>
        <w:spacing w:after="0" w:line="181" w:lineRule="exact"/>
        <w:rPr>
          <w:sz w:val="20"/>
          <w:szCs w:val="20"/>
          <w:color w:val="auto"/>
        </w:rPr>
      </w:pPr>
    </w:p>
    <w:p>
      <w:pPr>
        <w:ind w:right="240" w:firstLine="101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2020, cash provided by financing activities was approximately $72.7 million, consisting of net proceeds from the sale and issuance of preferred units of $68.5 million, proceeds from the PPP Loan of $1.3 million, and net proceeds from the issuance of the convertible loan for net proceeds of $2.8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16" w:lineRule="exact"/>
        <w:rPr>
          <w:sz w:val="20"/>
          <w:szCs w:val="20"/>
          <w:color w:val="auto"/>
        </w:rPr>
      </w:pPr>
    </w:p>
    <w:p>
      <w:pPr>
        <w:ind w:right="20" w:firstLine="1018"/>
        <w:spacing w:after="0" w:line="239" w:lineRule="auto"/>
        <w:rPr>
          <w:sz w:val="20"/>
          <w:szCs w:val="20"/>
          <w:color w:val="auto"/>
        </w:rPr>
      </w:pPr>
      <w:r>
        <w:rPr>
          <w:rFonts w:ascii="Times New Roman" w:cs="Times New Roman" w:eastAsia="Times New Roman" w:hAnsi="Times New Roman"/>
          <w:sz w:val="18"/>
          <w:szCs w:val="18"/>
          <w:color w:val="auto"/>
        </w:rPr>
        <w:t>Rani LLC pays for the use of its office, laboratory and manufacturing facility in San Jose, California as part of the RMS-ICL Service Agreement, which is accounted for as an operating lease. The lease requires for certain payments of real estate taxes, insurance and certain common area maintenance costs in addition to future minimum lease payments. The RMS-ICL Service Agreement has a twelve month term and will automatically renew for successive twelve month periods unless RMS or ICL terminate occupancy under the RMS-ICL Service Agreement upon six months notice. As of December 31, 2021, no renewal option periods were included in the estimated minimum lease terms as the options were not deemed to be reasonably assured to be exercised. Total operating lease expense incurred with ICL was and $0.8 million for each of the years ended December 31, 2021 and 2020. Subsequently, pursuant to the Rani LLC-ICL Service Agreement, as amended in March 2022, the future aggregate minimum lease payments associated with the Occupancy Services total $0.4 million.</w:t>
      </w:r>
    </w:p>
    <w:p>
      <w:pPr>
        <w:spacing w:after="0" w:line="187"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right="40" w:firstLine="1018"/>
        <w:spacing w:after="0"/>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 is based on our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right="240" w:firstLine="1018"/>
        <w:spacing w:after="0" w:line="250"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16" w:lineRule="exact"/>
        <w:rPr>
          <w:sz w:val="20"/>
          <w:szCs w:val="20"/>
          <w:color w:val="auto"/>
        </w:rPr>
      </w:pPr>
    </w:p>
    <w:p>
      <w:pPr>
        <w:ind w:right="60" w:firstLine="1018"/>
        <w:spacing w:after="0"/>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we do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85"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Clinical and preclinical costs are a component of research and development expense. We accrue and expense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14" w:lineRule="exact"/>
        <w:rPr>
          <w:sz w:val="20"/>
          <w:szCs w:val="20"/>
          <w:color w:val="auto"/>
        </w:rPr>
      </w:pPr>
    </w:p>
    <w:p>
      <w:pPr>
        <w:ind w:right="20" w:firstLine="1018"/>
        <w:spacing w:after="0" w:line="239" w:lineRule="auto"/>
        <w:rPr>
          <w:sz w:val="20"/>
          <w:szCs w:val="20"/>
          <w:color w:val="auto"/>
        </w:rPr>
      </w:pPr>
      <w:r>
        <w:rPr>
          <w:rFonts w:ascii="Times New Roman" w:cs="Times New Roman" w:eastAsia="Times New Roman" w:hAnsi="Times New Roman"/>
          <w:sz w:val="18"/>
          <w:szCs w:val="18"/>
          <w:color w:val="auto"/>
        </w:rPr>
        <w:t>In July 2021, we adopted and our stockholders approved, the Rani Therapeutics Holdings, Inc. 2021 Equity Incentive Plan (the “2021 Plan”). We have subsequently granted stock options to purchase shares of our Class A common stock as well as restricted stock units (“RSUs”) and restricted stock awards ("RSAs") from the 2021 Plan to both employees and non-employees. We measure stock-based compensation at fair value on the grant date of the award. The fair value of employee and nonemployee RSUs is determined based on the number of shares granted and the closing market price of our Class A common stock on the date of grant. The fair value of employee RSAs is determined based on the estimated fair value of our Class A common stock on the grant date and is subject to our reacquisition right which is accounted for as a forfeiture provision. For awards that vest subject to the satisfaction of service requirements, compensation expense is measured based on the fair value of the award on the date of grant and expense is recognized on a straight-line basis over the requisite service period. We account for forfeitures as they occur.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ind w:right="200"/>
        <w:spacing w:after="0" w:line="266" w:lineRule="auto"/>
        <w:rPr>
          <w:sz w:val="20"/>
          <w:szCs w:val="20"/>
          <w:color w:val="auto"/>
        </w:rPr>
      </w:pPr>
      <w:r>
        <w:rPr>
          <w:rFonts w:ascii="Times New Roman" w:cs="Times New Roman" w:eastAsia="Times New Roman" w:hAnsi="Times New Roman"/>
          <w:sz w:val="18"/>
          <w:szCs w:val="18"/>
          <w:color w:val="auto"/>
        </w:rPr>
        <w:t>compensation is classified in the accompanying consolidated statements of operations and comprehensive loss based on the function to which the related services are provided.</w:t>
      </w:r>
    </w:p>
    <w:p>
      <w:pPr>
        <w:spacing w:after="0" w:line="162"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each stock option award on the date of grant. The assumptions and estimates are as follows:</w:t>
      </w:r>
    </w:p>
    <w:p>
      <w:pPr>
        <w:spacing w:after="0" w:line="160" w:lineRule="exact"/>
        <w:rPr>
          <w:sz w:val="20"/>
          <w:szCs w:val="20"/>
          <w:color w:val="auto"/>
        </w:rPr>
      </w:pPr>
    </w:p>
    <w:p>
      <w:pPr>
        <w:ind w:left="1020" w:right="100" w:hanging="503"/>
        <w:spacing w:after="0" w:line="268"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of time that stock option awards are expected to remain outstanding.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expected term as the midpoint between actual or expected vesting date and the contractual term.</w:t>
      </w:r>
    </w:p>
    <w:p>
      <w:pPr>
        <w:spacing w:after="0" w:line="158" w:lineRule="exact"/>
        <w:rPr>
          <w:rFonts w:ascii="Times New Roman" w:cs="Times New Roman" w:eastAsia="Times New Roman" w:hAnsi="Times New Roman"/>
          <w:sz w:val="18"/>
          <w:szCs w:val="18"/>
          <w:color w:val="auto"/>
        </w:rPr>
      </w:pPr>
    </w:p>
    <w:p>
      <w:pPr>
        <w:jc w:val="both"/>
        <w:ind w:left="1020" w:hanging="503"/>
        <w:spacing w:after="0" w:line="251"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volatility was derived from the historical stock volatilities of peer public companies within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that are considered to be comparable businesses over a period equivalent to the expected term of the stock option awards, since there has been limited trading history of the Company's stock.</w:t>
      </w:r>
    </w:p>
    <w:p>
      <w:pPr>
        <w:spacing w:after="0" w:line="174"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curve in effect at the date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approximately equal to the stock option awards’ expected term.</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expected dividend yield is zero as the Company has no plans to make dividend payments.</w:t>
      </w:r>
    </w:p>
    <w:p>
      <w:pPr>
        <w:spacing w:after="0" w:line="214"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Such assumptions represent management’s best estimates and involve inherent uncertainties and the application of management’s judgment. If actual results are not consistent with our assumptions and judgments used in making these estimates, we may be required to increase or decrease compensation expense, which could be material to our consolidated results of operations and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Unit-Based Compensation</w:t>
      </w:r>
    </w:p>
    <w:p>
      <w:pPr>
        <w:spacing w:after="0" w:line="214" w:lineRule="exact"/>
        <w:rPr>
          <w:sz w:val="20"/>
          <w:szCs w:val="20"/>
          <w:color w:val="auto"/>
        </w:rPr>
      </w:pPr>
    </w:p>
    <w:p>
      <w:pPr>
        <w:ind w:right="20" w:firstLine="1018"/>
        <w:spacing w:after="0" w:line="239" w:lineRule="auto"/>
        <w:rPr>
          <w:sz w:val="20"/>
          <w:szCs w:val="20"/>
          <w:color w:val="auto"/>
        </w:rPr>
      </w:pPr>
      <w:r>
        <w:rPr>
          <w:rFonts w:ascii="Times New Roman" w:cs="Times New Roman" w:eastAsia="Times New Roman" w:hAnsi="Times New Roman"/>
          <w:sz w:val="18"/>
          <w:szCs w:val="18"/>
          <w:color w:val="auto"/>
        </w:rPr>
        <w:t>Prior to the IPO, Rani LLC had granted equity-based awards to employees, members of the Board of Managers and nonemployees, including ICL employees and consultants, in the form of non-vested incentive units (“Profits Interests”) and/or options to purchase common units. All awards of Profits Interests and options to purchase common units were measured based on the estimated fair value of the award on the date of grant. Forfeitures were recognized when they occurred. All of the Profits Interests were subject to service and performance-based conditions and we evaluate the probability of achieving each performance-based condition at each reporting date and recognized equity-based compensation expense for employee and consultant awards and distributions of equity for ICL employee awards in the consolidated financial statements when it was deemed probable that the performance-based condition would be met using the accelerated attribution method over the requisite service period. The options to purchase common units were subject to service conditions and generally vested over three or four years.</w:t>
      </w:r>
    </w:p>
    <w:p>
      <w:pPr>
        <w:spacing w:after="0" w:line="187" w:lineRule="exact"/>
        <w:rPr>
          <w:sz w:val="20"/>
          <w:szCs w:val="20"/>
          <w:color w:val="auto"/>
        </w:rPr>
      </w:pPr>
    </w:p>
    <w:p>
      <w:pPr>
        <w:ind w:right="120" w:firstLine="1018"/>
        <w:spacing w:after="0"/>
        <w:rPr>
          <w:sz w:val="20"/>
          <w:szCs w:val="20"/>
          <w:color w:val="auto"/>
        </w:rPr>
      </w:pPr>
      <w:r>
        <w:rPr>
          <w:rFonts w:ascii="Times New Roman" w:cs="Times New Roman" w:eastAsia="Times New Roman" w:hAnsi="Times New Roman"/>
          <w:sz w:val="18"/>
          <w:szCs w:val="18"/>
          <w:color w:val="auto"/>
        </w:rPr>
        <w:t xml:space="preserve">As there has been no public market for the fair value of our units, the fair value of our preferred units, which is an input into the estimated fair value of our preferred unit warrants, and Profits Interests has been determined by our board of directors with the assistance of management and an independent third-party valuation specialist. We believe our board of directors has the relevant experience and expertise to determine the fair value of our preferred units and Profits Interests. In determining the fair value of the preferred units and Profits Interests, the methodologies used to estimate the enterprise values were performed using methodologies, approaches, and assumptions consistent with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xml:space="preserve"> (“AICPA Accounting and Valuation Guide”). In accordance with the AICPA Accounting and Valuation Guide, our board of directors considered the following methods:</w:t>
      </w:r>
    </w:p>
    <w:p>
      <w:pPr>
        <w:spacing w:after="0" w:line="183" w:lineRule="exact"/>
        <w:rPr>
          <w:sz w:val="20"/>
          <w:szCs w:val="20"/>
          <w:color w:val="auto"/>
        </w:rPr>
      </w:pPr>
    </w:p>
    <w:p>
      <w:pPr>
        <w:ind w:left="1020" w:right="300" w:hanging="503"/>
        <w:spacing w:after="0" w:line="25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Current value method </w:t>
      </w:r>
      <w:r>
        <w:rPr>
          <w:rFonts w:ascii="Times New Roman" w:cs="Times New Roman" w:eastAsia="Times New Roman" w:hAnsi="Times New Roman"/>
          <w:sz w:val="18"/>
          <w:szCs w:val="18"/>
          <w:color w:val="auto"/>
        </w:rPr>
        <w:t>- Under the Current Value Method, our value is determined based on our balance sheet. This value is then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allocated based on the liquidation preference associated with preferred units issued as of the valuation date, and then any residual value is assigned to the common units and Profits Interests.</w:t>
      </w:r>
    </w:p>
    <w:p>
      <w:pPr>
        <w:spacing w:after="0" w:line="174" w:lineRule="exact"/>
        <w:rPr>
          <w:rFonts w:ascii="Times New Roman" w:cs="Times New Roman" w:eastAsia="Times New Roman" w:hAnsi="Times New Roman"/>
          <w:sz w:val="18"/>
          <w:szCs w:val="18"/>
          <w:color w:val="auto"/>
        </w:rPr>
      </w:pPr>
    </w:p>
    <w:p>
      <w:pPr>
        <w:ind w:left="1020" w:right="40" w:hanging="503"/>
        <w:spacing w:after="0" w:line="25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Option-pricing method </w:t>
      </w:r>
      <w:r>
        <w:rPr>
          <w:rFonts w:ascii="Times New Roman" w:cs="Times New Roman" w:eastAsia="Times New Roman" w:hAnsi="Times New Roman"/>
          <w:sz w:val="18"/>
          <w:szCs w:val="18"/>
          <w:color w:val="auto"/>
        </w:rPr>
        <w:t>- Under the option-pricing method, shares are valued by creating a series of call options with exercise prices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liquidation preferences and conversion terms of each equity class. The estimated fair values of the preferred units, common units and Profits Interests are inferred by analyzing these options.</w:t>
      </w:r>
    </w:p>
    <w:p>
      <w:pPr>
        <w:spacing w:after="0" w:line="174" w:lineRule="exact"/>
        <w:rPr>
          <w:rFonts w:ascii="Times New Roman" w:cs="Times New Roman" w:eastAsia="Times New Roman" w:hAnsi="Times New Roman"/>
          <w:sz w:val="18"/>
          <w:szCs w:val="18"/>
          <w:color w:val="auto"/>
        </w:rPr>
      </w:pPr>
    </w:p>
    <w:p>
      <w:pPr>
        <w:ind w:left="1020" w:right="100" w:hanging="503"/>
        <w:spacing w:after="0" w:line="251"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Probability-weighted expected return method </w:t>
      </w:r>
      <w:r>
        <w:rPr>
          <w:rFonts w:ascii="Times New Roman" w:cs="Times New Roman" w:eastAsia="Times New Roman" w:hAnsi="Times New Roman"/>
          <w:sz w:val="18"/>
          <w:szCs w:val="18"/>
          <w:color w:val="auto"/>
        </w:rPr>
        <w:t>- The probability-weighted expected return method, is a scenario-based analysis that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per share based on the probability-weighted present value of expected future investment returns, considering each of the possible outcomes available to us, as well as the economic and control rights of each unit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5" w:name="page106"/>
    <w:bookmarkEnd w:id="105"/>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The assumptions we use in the valuation model are based on future expectations combined with management’s judgment. In the absence of a public trading market, our board of directors, with input from management, exercised significant judgment and considered numerous objective and subjective factors to determine the fair value of the preferred units and Incentive Units as of the date of reporting period or each award, including the following factors:</w:t>
      </w:r>
    </w:p>
    <w:p>
      <w:pPr>
        <w:spacing w:after="0" w:line="181"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valuations performed at periodic intervals by an independent third-party valuation firm;</w:t>
      </w:r>
    </w:p>
    <w:p>
      <w:pPr>
        <w:spacing w:after="0" w:line="211"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preferred units and the superior rights and preferences of the preferred units relative to our common units at the time of each grant;</w:t>
      </w:r>
    </w:p>
    <w:p>
      <w:pPr>
        <w:spacing w:after="0" w:line="162"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and results of preclinical studies for our product candidates; • our stage of development and commercialization and our business strategy;</w:t>
      </w:r>
    </w:p>
    <w:p>
      <w:pPr>
        <w:spacing w:after="0" w:line="1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 trends within the biopharmaceutical industry;</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units, preferred units or preferred unit warrants;</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IPO, or sale of our company in light of prevailing market conditions; and</w:t>
      </w:r>
    </w:p>
    <w:p>
      <w:pPr>
        <w:spacing w:after="0" w:line="21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212"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16"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For a description of the expected impact of recent accounting pronouncements, see “Note 2. Summary of Significant Accounting Policies” in the “</w:t>
      </w:r>
      <w:r>
        <w:rPr>
          <w:rFonts w:ascii="Times New Roman" w:cs="Times New Roman" w:eastAsia="Times New Roman" w:hAnsi="Times New Roman"/>
          <w:sz w:val="18"/>
          <w:szCs w:val="18"/>
          <w:i w:val="1"/>
          <w:iCs w:val="1"/>
          <w:color w:val="auto"/>
        </w:rPr>
        <w:t>Notes to the Consolidated Financial Statements</w:t>
      </w:r>
      <w:r>
        <w:rPr>
          <w:rFonts w:ascii="Times New Roman" w:cs="Times New Roman" w:eastAsia="Times New Roman" w:hAnsi="Times New Roman"/>
          <w:sz w:val="18"/>
          <w:szCs w:val="18"/>
          <w:color w:val="auto"/>
        </w:rPr>
        <w:t>” contained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JOBS Act Accounting Election</w:t>
      </w:r>
    </w:p>
    <w:p>
      <w:pPr>
        <w:spacing w:after="0" w:line="214"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 (1) December 31, 2026 (the last day of the fiscal year following the fifth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our initial public offering), (2) the last day of the fiscal year in which we have total annual gross revenue of at least $1.07</w:t>
      </w:r>
    </w:p>
    <w:p>
      <w:pPr>
        <w:spacing w:after="0" w:line="234" w:lineRule="auto"/>
        <w:rPr>
          <w:sz w:val="20"/>
          <w:szCs w:val="20"/>
          <w:color w:val="auto"/>
        </w:rPr>
      </w:pPr>
      <w:r>
        <w:rPr>
          <w:rFonts w:ascii="Times New Roman" w:cs="Times New Roman" w:eastAsia="Times New Roman" w:hAnsi="Times New Roman"/>
          <w:sz w:val="18"/>
          <w:szCs w:val="18"/>
          <w:color w:val="auto"/>
        </w:rPr>
        <w:t>billion, (3) the last day of the fiscal year in which we are deemed to be a “large accelerated filer” as defined in Rule 12b-2 under the Securities Exchange</w:t>
      </w:r>
    </w:p>
    <w:p>
      <w:pPr>
        <w:spacing w:after="0" w:line="235" w:lineRule="auto"/>
        <w:rPr>
          <w:sz w:val="20"/>
          <w:szCs w:val="20"/>
          <w:color w:val="auto"/>
        </w:rPr>
      </w:pPr>
      <w:r>
        <w:rPr>
          <w:rFonts w:ascii="Times New Roman" w:cs="Times New Roman" w:eastAsia="Times New Roman" w:hAnsi="Times New Roman"/>
          <w:sz w:val="18"/>
          <w:szCs w:val="18"/>
          <w:color w:val="auto"/>
        </w:rPr>
        <w:t>Act of 1934, as amended (the “Exchange Act”), which would occur if the market value of our Class A common stock held by non-affiliates exceeded</w:t>
      </w:r>
    </w:p>
    <w:p>
      <w:pPr>
        <w:spacing w:after="0" w:line="235" w:lineRule="auto"/>
        <w:rPr>
          <w:sz w:val="20"/>
          <w:szCs w:val="20"/>
          <w:color w:val="auto"/>
        </w:rPr>
      </w:pPr>
      <w:r>
        <w:rPr>
          <w:rFonts w:ascii="Times New Roman" w:cs="Times New Roman" w:eastAsia="Times New Roman" w:hAnsi="Times New Roman"/>
          <w:sz w:val="18"/>
          <w:szCs w:val="18"/>
          <w:color w:val="auto"/>
        </w:rPr>
        <w:t>$700.0 million as of the last business day of the second fiscal quarter of such year or (4) the date on which we have issued more than $1.0 billion in non-</w:t>
      </w:r>
    </w:p>
    <w:p>
      <w:pPr>
        <w:spacing w:after="0"/>
        <w:rPr>
          <w:sz w:val="20"/>
          <w:szCs w:val="20"/>
          <w:color w:val="auto"/>
        </w:rPr>
      </w:pPr>
      <w:r>
        <w:rPr>
          <w:rFonts w:ascii="Times New Roman" w:cs="Times New Roman" w:eastAsia="Times New Roman" w:hAnsi="Times New Roman"/>
          <w:sz w:val="18"/>
          <w:szCs w:val="18"/>
          <w:color w:val="auto"/>
        </w:rPr>
        <w:t>convertible debt securities during the prior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6"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36" w:right="499" w:bottom="1440" w:gutter="0" w:footer="0" w:header="0"/>
        </w:sectPr>
      </w:pPr>
    </w:p>
    <w:bookmarkStart w:id="107" w:name="page108"/>
    <w:bookmarkEnd w:id="107"/>
    <w:tbl>
      <w:tblPr>
        <w:tblLayout w:type="fixed"/>
        <w:tblInd w:w="10" w:type="dxa"/>
        <w:tblCellMar>
          <w:top w:w="0" w:type="dxa"/>
          <w:left w:w="0" w:type="dxa"/>
          <w:bottom w:w="0" w:type="dxa"/>
          <w:right w:w="0" w:type="dxa"/>
        </w:tblCellMar>
      </w:tblPr>
      <w:tr>
        <w:trPr>
          <w:trHeight w:val="238"/>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340" w:type="dxa"/>
            <w:vAlign w:val="bottom"/>
            <w:gridSpan w:val="8"/>
          </w:tcPr>
          <w:p>
            <w:pPr>
              <w:ind w:left="20"/>
              <w:spacing w:after="0"/>
              <w:rPr>
                <w:rFonts w:ascii="Times New Roman" w:cs="Times New Roman" w:eastAsia="Times New Roman" w:hAnsi="Times New Roman"/>
                <w:sz w:val="18"/>
                <w:szCs w:val="18"/>
                <w:color w:val="0000FF"/>
              </w:rPr>
            </w:pPr>
            <w:hyperlink w:anchor="page109">
              <w:r>
                <w:rPr>
                  <w:rFonts w:ascii="Times New Roman" w:cs="Times New Roman" w:eastAsia="Times New Roman" w:hAnsi="Times New Roman"/>
                  <w:sz w:val="18"/>
                  <w:szCs w:val="18"/>
                  <w:color w:val="0000FF"/>
                </w:rPr>
                <w:t xml:space="preserve">Report of Independent Registered Public Accounting Firm </w:t>
              </w:r>
            </w:hyperlink>
            <w:r>
              <w:rPr>
                <w:rFonts w:ascii="Times New Roman" w:cs="Times New Roman" w:eastAsia="Times New Roman" w:hAnsi="Times New Roman"/>
                <w:sz w:val="18"/>
                <w:szCs w:val="18"/>
                <w:color w:val="000000"/>
              </w:rPr>
              <w:t>(PCAOB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ID:42)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69"/>
        </w:trPr>
        <w:tc>
          <w:tcPr>
            <w:tcW w:w="4240" w:type="dxa"/>
            <w:vAlign w:val="bottom"/>
            <w:tcBorders>
              <w:top w:val="single" w:sz="8" w:color="0000FF"/>
              <w:bottom w:val="single" w:sz="8" w:color="0000FF"/>
            </w:tcBorders>
            <w:gridSpan w:val="3"/>
          </w:tcPr>
          <w:p>
            <w:pPr>
              <w:ind w:left="20"/>
              <w:spacing w:after="0" w:line="169" w:lineRule="exact"/>
              <w:rPr>
                <w:rFonts w:ascii="Times New Roman" w:cs="Times New Roman" w:eastAsia="Times New Roman" w:hAnsi="Times New Roman"/>
                <w:sz w:val="18"/>
                <w:szCs w:val="18"/>
                <w:color w:val="0000FF"/>
                <w:w w:val="98"/>
              </w:rPr>
            </w:pPr>
            <w:hyperlink w:anchor="page110">
              <w:r>
                <w:rPr>
                  <w:rFonts w:ascii="Times New Roman" w:cs="Times New Roman" w:eastAsia="Times New Roman" w:hAnsi="Times New Roman"/>
                  <w:sz w:val="18"/>
                  <w:szCs w:val="18"/>
                  <w:color w:val="0000FF"/>
                  <w:w w:val="98"/>
                </w:rPr>
                <w:t>Consolidated Balance Sheets as of December 31, 2021 and</w:t>
              </w:r>
            </w:hyperlink>
          </w:p>
        </w:tc>
        <w:tc>
          <w:tcPr>
            <w:tcW w:w="20" w:type="dxa"/>
            <w:vAlign w:val="bottom"/>
            <w:tcBorders>
              <w:top w:val="single" w:sz="8" w:color="0000EE"/>
              <w:bottom w:val="single" w:sz="8" w:color="0000FF"/>
            </w:tcBorders>
          </w:tcPr>
          <w:p>
            <w:pPr>
              <w:spacing w:after="0"/>
              <w:rPr>
                <w:sz w:val="14"/>
                <w:szCs w:val="14"/>
                <w:color w:val="auto"/>
              </w:rPr>
            </w:pPr>
          </w:p>
        </w:tc>
        <w:tc>
          <w:tcPr>
            <w:tcW w:w="400" w:type="dxa"/>
            <w:vAlign w:val="bottom"/>
            <w:tcBorders>
              <w:bottom w:val="single" w:sz="8" w:color="0000FF"/>
            </w:tcBorders>
          </w:tcPr>
          <w:p>
            <w:pPr>
              <w:jc w:val="right"/>
              <w:spacing w:after="0" w:line="169" w:lineRule="exact"/>
              <w:rPr>
                <w:rFonts w:ascii="Times New Roman" w:cs="Times New Roman" w:eastAsia="Times New Roman" w:hAnsi="Times New Roman"/>
                <w:sz w:val="18"/>
                <w:szCs w:val="18"/>
                <w:color w:val="0000FF"/>
              </w:rPr>
            </w:pPr>
            <w:hyperlink w:anchor="page110">
              <w:r>
                <w:rPr>
                  <w:rFonts w:ascii="Times New Roman" w:cs="Times New Roman" w:eastAsia="Times New Roman" w:hAnsi="Times New Roman"/>
                  <w:sz w:val="18"/>
                  <w:szCs w:val="18"/>
                  <w:color w:val="0000FF"/>
                </w:rPr>
                <w:t>2020</w:t>
              </w:r>
            </w:hyperlink>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69"/>
        </w:trPr>
        <w:tc>
          <w:tcPr>
            <w:tcW w:w="4660" w:type="dxa"/>
            <w:vAlign w:val="bottom"/>
            <w:gridSpan w:val="5"/>
          </w:tcPr>
          <w:p>
            <w:pPr>
              <w:ind w:left="20"/>
              <w:spacing w:after="0" w:line="169" w:lineRule="exact"/>
              <w:rPr>
                <w:rFonts w:ascii="Times New Roman" w:cs="Times New Roman" w:eastAsia="Times New Roman" w:hAnsi="Times New Roman"/>
                <w:sz w:val="18"/>
                <w:szCs w:val="18"/>
                <w:color w:val="0000FF"/>
                <w:w w:val="98"/>
              </w:rPr>
            </w:pPr>
            <w:hyperlink w:anchor="page111">
              <w:r>
                <w:rPr>
                  <w:rFonts w:ascii="Times New Roman" w:cs="Times New Roman" w:eastAsia="Times New Roman" w:hAnsi="Times New Roman"/>
                  <w:sz w:val="18"/>
                  <w:szCs w:val="18"/>
                  <w:color w:val="0000FF"/>
                  <w:w w:val="98"/>
                </w:rPr>
                <w:t>Consolidated Statements of Operations and Comprehensive Loss</w:t>
              </w:r>
            </w:hyperlink>
          </w:p>
        </w:tc>
        <w:tc>
          <w:tcPr>
            <w:tcW w:w="5680" w:type="dxa"/>
            <w:vAlign w:val="bottom"/>
            <w:gridSpan w:val="3"/>
          </w:tcPr>
          <w:p>
            <w:pPr>
              <w:ind w:left="80"/>
              <w:spacing w:after="0" w:line="169" w:lineRule="exact"/>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for the Years Ended December 31, 2021 and 2020</w:t>
              </w:r>
            </w:hyperlink>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69"/>
        </w:trPr>
        <w:tc>
          <w:tcPr>
            <w:tcW w:w="8340" w:type="dxa"/>
            <w:vAlign w:val="bottom"/>
            <w:tcBorders>
              <w:top w:val="single" w:sz="8" w:color="0000FF"/>
              <w:bottom w:val="single" w:sz="8" w:color="0000FF"/>
            </w:tcBorders>
            <w:gridSpan w:val="7"/>
          </w:tcPr>
          <w:p>
            <w:pPr>
              <w:ind w:left="20"/>
              <w:spacing w:after="0" w:line="169" w:lineRule="exact"/>
              <w:rPr>
                <w:rFonts w:ascii="Times New Roman" w:cs="Times New Roman" w:eastAsia="Times New Roman" w:hAnsi="Times New Roman"/>
                <w:sz w:val="18"/>
                <w:szCs w:val="18"/>
                <w:color w:val="0000FF"/>
                <w:w w:val="99"/>
              </w:rPr>
            </w:pPr>
            <w:hyperlink w:anchor="page112">
              <w:r>
                <w:rPr>
                  <w:rFonts w:ascii="Times New Roman" w:cs="Times New Roman" w:eastAsia="Times New Roman" w:hAnsi="Times New Roman"/>
                  <w:sz w:val="18"/>
                  <w:szCs w:val="18"/>
                  <w:color w:val="0000FF"/>
                  <w:w w:val="99"/>
                </w:rPr>
                <w:t>Consolidated Statements of Changes in Stockholders’ Equity/Convertible Preferred Units and Members' Deficit for</w:t>
              </w:r>
            </w:hyperlink>
          </w:p>
        </w:tc>
        <w:tc>
          <w:tcPr>
            <w:tcW w:w="2000" w:type="dxa"/>
            <w:vAlign w:val="bottom"/>
            <w:tcBorders>
              <w:bottom w:val="single" w:sz="8" w:color="0000FF"/>
            </w:tcBorders>
          </w:tcPr>
          <w:p>
            <w:pPr>
              <w:ind w:left="40"/>
              <w:spacing w:after="0" w:line="169" w:lineRule="exact"/>
              <w:rPr>
                <w:rFonts w:ascii="Times New Roman" w:cs="Times New Roman" w:eastAsia="Times New Roman" w:hAnsi="Times New Roman"/>
                <w:sz w:val="18"/>
                <w:szCs w:val="18"/>
                <w:color w:val="0000FF"/>
                <w:w w:val="99"/>
              </w:rPr>
            </w:pPr>
            <w:hyperlink w:anchor="page112">
              <w:r>
                <w:rPr>
                  <w:rFonts w:ascii="Times New Roman" w:cs="Times New Roman" w:eastAsia="Times New Roman" w:hAnsi="Times New Roman"/>
                  <w:sz w:val="18"/>
                  <w:szCs w:val="18"/>
                  <w:color w:val="0000FF"/>
                  <w:w w:val="99"/>
                </w:rPr>
                <w:t>the Years ended December</w:t>
              </w:r>
            </w:hyperlink>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55"/>
        </w:trPr>
        <w:tc>
          <w:tcPr>
            <w:tcW w:w="10340" w:type="dxa"/>
            <w:vAlign w:val="bottom"/>
            <w:gridSpan w:val="8"/>
          </w:tcPr>
          <w:p>
            <w:pPr>
              <w:ind w:left="20"/>
              <w:spacing w:after="0" w:line="156" w:lineRule="exact"/>
              <w:rPr>
                <w:rFonts w:ascii="Times New Roman" w:cs="Times New Roman" w:eastAsia="Times New Roman" w:hAnsi="Times New Roman"/>
                <w:sz w:val="18"/>
                <w:szCs w:val="18"/>
                <w:color w:val="0000FF"/>
              </w:rPr>
            </w:pPr>
            <w:hyperlink w:anchor="page112">
              <w:r>
                <w:rPr>
                  <w:rFonts w:ascii="Times New Roman" w:cs="Times New Roman" w:eastAsia="Times New Roman" w:hAnsi="Times New Roman"/>
                  <w:sz w:val="18"/>
                  <w:szCs w:val="18"/>
                  <w:color w:val="0000FF"/>
                </w:rPr>
                <w:t>31, 2021 and 2020</w:t>
              </w:r>
            </w:hyperlink>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90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line="20" w:lineRule="exact"/>
              <w:rPr>
                <w:sz w:val="1"/>
                <w:szCs w:val="1"/>
                <w:color w:val="auto"/>
              </w:rPr>
            </w:pPr>
          </w:p>
        </w:tc>
      </w:tr>
      <w:tr>
        <w:trPr>
          <w:trHeight w:val="169"/>
        </w:trPr>
        <w:tc>
          <w:tcPr>
            <w:tcW w:w="10340" w:type="dxa"/>
            <w:vAlign w:val="bottom"/>
            <w:gridSpan w:val="8"/>
          </w:tcPr>
          <w:p>
            <w:pPr>
              <w:ind w:left="20"/>
              <w:spacing w:after="0" w:line="169" w:lineRule="exact"/>
              <w:rPr>
                <w:rFonts w:ascii="Times New Roman" w:cs="Times New Roman" w:eastAsia="Times New Roman" w:hAnsi="Times New Roman"/>
                <w:sz w:val="18"/>
                <w:szCs w:val="18"/>
                <w:color w:val="0000FF"/>
              </w:rPr>
            </w:pPr>
            <w:hyperlink w:anchor="page113">
              <w:r>
                <w:rPr>
                  <w:rFonts w:ascii="Times New Roman" w:cs="Times New Roman" w:eastAsia="Times New Roman" w:hAnsi="Times New Roman"/>
                  <w:sz w:val="18"/>
                  <w:szCs w:val="18"/>
                  <w:color w:val="0000FF"/>
                </w:rPr>
                <w:t>Consolidated Statements of Cash Flows for the Years Ended December 31, 2021 and 2020</w:t>
              </w:r>
            </w:hyperlink>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20" w:type="dxa"/>
            <w:vAlign w:val="bottom"/>
            <w:tcBorders>
              <w:top w:val="single" w:sz="8" w:color="0000FF"/>
            </w:tcBorders>
            <w:gridSpan w:val="6"/>
          </w:tcPr>
          <w:p>
            <w:pPr>
              <w:ind w:left="20"/>
              <w:spacing w:after="0" w:line="169" w:lineRule="exact"/>
              <w:rPr>
                <w:rFonts w:ascii="Times New Roman" w:cs="Times New Roman" w:eastAsia="Times New Roman" w:hAnsi="Times New Roman"/>
                <w:sz w:val="18"/>
                <w:szCs w:val="18"/>
                <w:color w:val="0000FF"/>
              </w:rPr>
            </w:pPr>
            <w:hyperlink w:anchor="page114">
              <w:r>
                <w:rPr>
                  <w:rFonts w:ascii="Times New Roman" w:cs="Times New Roman" w:eastAsia="Times New Roman" w:hAnsi="Times New Roman"/>
                  <w:sz w:val="18"/>
                  <w:szCs w:val="18"/>
                  <w:color w:val="0000FF"/>
                </w:rPr>
                <w:t>Notes to the Consolidated Financial Statements</w:t>
              </w:r>
            </w:hyperlink>
          </w:p>
        </w:tc>
        <w:tc>
          <w:tcPr>
            <w:tcW w:w="3820" w:type="dxa"/>
            <w:vAlign w:val="bottom"/>
            <w:gridSpan w:val="2"/>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527"/>
        </w:trPr>
        <w:tc>
          <w:tcPr>
            <w:tcW w:w="1380" w:type="dxa"/>
            <w:vAlign w:val="bottom"/>
            <w:tcBorders>
              <w:top w:val="single" w:sz="8" w:color="0000FF"/>
              <w:bottom w:val="single" w:sz="8" w:color="9A9A9A"/>
            </w:tcBorders>
          </w:tcPr>
          <w:p>
            <w:pPr>
              <w:spacing w:after="0"/>
              <w:rPr>
                <w:sz w:val="24"/>
                <w:szCs w:val="24"/>
                <w:color w:val="auto"/>
              </w:rPr>
            </w:pPr>
          </w:p>
        </w:tc>
        <w:tc>
          <w:tcPr>
            <w:tcW w:w="206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8" w:name="page109"/>
    <w:bookmarkEnd w:id="10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Rani Therapeutics Holdings,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0" w:lineRule="exact"/>
        <w:rPr>
          <w:sz w:val="20"/>
          <w:szCs w:val="20"/>
          <w:color w:val="auto"/>
        </w:rPr>
      </w:pPr>
    </w:p>
    <w:p>
      <w:pPr>
        <w:spacing w:after="0" w:line="21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Rani Therapeutics Holdings, Inc. (the Company) as of December 31, 2021 and 2020, the related consolidated statements of operations and comprehensive loss, changes in stockholders’ equity / convertible preferred units and members' deficit and cash flows for each of the two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two years in the period ended December 31, 2021, in conformity with U.S. generally accepted accounting principles.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ind w:right="320" w:firstLine="1018"/>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right="20" w:firstLine="1018"/>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FF0FC"/>
          </w:tcPr>
          <w:p>
            <w:pPr>
              <w:jc w:val="right"/>
              <w:ind w:right="794"/>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117,453</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73,058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Related party note receivable</w:t>
            </w:r>
          </w:p>
        </w:tc>
        <w:tc>
          <w:tcPr>
            <w:tcW w:w="10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Prepaid expenses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2,142</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119,595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74,945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4,612</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4,470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auto"/>
            </w:tcBorders>
          </w:tcPr>
          <w:p>
            <w:pPr>
              <w:jc w:val="right"/>
              <w:ind w:right="794"/>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124,207</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79,415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Liabilities, Convertible Preferred Units and Stockholders' Equity / Members’ Deficit</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jc w:val="right"/>
              <w:ind w:right="794"/>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1,080</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Related party payable</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1,434</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Current portion of long-term debt</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Borders>
              <w:top w:val="single" w:sz="8" w:color="CFF0FC"/>
            </w:tcBorders>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2,640</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5,308</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Preferred unit warrant liability</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Long-term debt, less current portion</w:t>
            </w:r>
          </w:p>
        </w:tc>
        <w:tc>
          <w:tcPr>
            <w:tcW w:w="10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2,640</w:t>
            </w:r>
          </w:p>
        </w:tc>
        <w:tc>
          <w:tcPr>
            <w:tcW w:w="26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Commitments and contingencies (Note 10)</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Convertible preferred units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184,714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Stockholders' equity / (members’ deficit):</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Common units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w:t>
            </w:r>
          </w:p>
        </w:tc>
        <w:tc>
          <w:tcPr>
            <w:tcW w:w="1000" w:type="dxa"/>
            <w:vAlign w:val="bottom"/>
          </w:tcPr>
          <w:p>
            <w:pPr>
              <w:spacing w:after="0"/>
              <w:rPr>
                <w:sz w:val="14"/>
                <w:szCs w:val="14"/>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4"/>
                <w:szCs w:val="14"/>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19,712 issued and outstanding</w:t>
            </w:r>
          </w:p>
        </w:tc>
        <w:tc>
          <w:tcPr>
            <w:tcW w:w="100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100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29,290 issued and outstanding as</w:t>
            </w:r>
          </w:p>
        </w:tc>
        <w:tc>
          <w:tcPr>
            <w:tcW w:w="10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December 31, 2021</w:t>
            </w:r>
          </w:p>
        </w:tc>
        <w:tc>
          <w:tcPr>
            <w:tcW w:w="10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w:t>
            </w:r>
          </w:p>
        </w:tc>
        <w:tc>
          <w:tcPr>
            <w:tcW w:w="1000" w:type="dxa"/>
            <w:vAlign w:val="bottom"/>
            <w:shd w:val="clear" w:color="auto" w:fill="CFF0FC"/>
          </w:tcPr>
          <w:p>
            <w:pPr>
              <w:spacing w:after="0"/>
              <w:rPr>
                <w:sz w:val="14"/>
                <w:szCs w:val="14"/>
                <w:color w:val="auto"/>
              </w:rPr>
            </w:pPr>
          </w:p>
        </w:tc>
        <w:tc>
          <w:tcPr>
            <w:tcW w:w="88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December 31, 2021</w:t>
            </w:r>
          </w:p>
        </w:tc>
        <w:tc>
          <w:tcPr>
            <w:tcW w:w="1000" w:type="dxa"/>
            <w:vAlign w:val="bottom"/>
            <w:shd w:val="clear" w:color="auto" w:fill="CFF0FC"/>
          </w:tcPr>
          <w:p>
            <w:pPr>
              <w:spacing w:after="0"/>
              <w:rPr>
                <w:sz w:val="18"/>
                <w:szCs w:val="18"/>
                <w:color w:val="auto"/>
              </w:rPr>
            </w:pPr>
          </w:p>
        </w:tc>
        <w:tc>
          <w:tcPr>
            <w:tcW w:w="880" w:type="dxa"/>
            <w:vAlign w:val="bottom"/>
            <w:gridSpan w:val="2"/>
            <w:vMerge w:val="continue"/>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55,737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(8,331 )</w:t>
            </w:r>
          </w:p>
        </w:tc>
        <w:tc>
          <w:tcPr>
            <w:tcW w:w="4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(114,003 )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Total stockholders' equity attributable to Rani Therapeutics Holdings, Inc. / (members' deficit)</w:t>
            </w: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47,411</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(113,339 )</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74,156</w:t>
            </w:r>
          </w:p>
        </w:tc>
        <w:tc>
          <w:tcPr>
            <w:tcW w:w="2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stockholders' equity / (members' deficit)</w:t>
            </w: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121,567</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(113,339 )</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liabilities, convertible preferred units and stockholders' equity / (members' deficit)</w:t>
            </w:r>
          </w:p>
        </w:tc>
        <w:tc>
          <w:tcPr>
            <w:tcW w:w="1000" w:type="dxa"/>
            <w:vAlign w:val="bottom"/>
            <w:tcBorders>
              <w:top w:val="single" w:sz="8" w:color="auto"/>
              <w:bottom w:val="single" w:sz="8" w:color="auto"/>
            </w:tcBorders>
            <w:shd w:val="clear" w:color="auto" w:fill="CFF0FC"/>
          </w:tcPr>
          <w:p>
            <w:pPr>
              <w:jc w:val="right"/>
              <w:ind w:right="794"/>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124,207</w:t>
            </w:r>
          </w:p>
        </w:tc>
        <w:tc>
          <w:tcPr>
            <w:tcW w:w="2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79,415</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-4154170</wp:posOffset>
            </wp:positionV>
            <wp:extent cx="514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-4154170</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-3888105</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-3888105</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-2825115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-2825115</wp:posOffset>
            </wp:positionV>
            <wp:extent cx="5143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-561975</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-561975</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-296545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0" w:name="page111"/>
    <w:bookmarkEnd w:id="110"/>
    <w:p>
      <w:pPr>
        <w:jc w:val="center"/>
        <w:ind w:right="40"/>
        <w:spacing w:after="0" w:line="252" w:lineRule="auto"/>
        <w:rPr>
          <w:sz w:val="20"/>
          <w:szCs w:val="20"/>
          <w:color w:val="auto"/>
        </w:rPr>
      </w:pPr>
      <w:r>
        <w:rPr>
          <w:rFonts w:ascii="Times New Roman" w:cs="Times New Roman" w:eastAsia="Times New Roman" w:hAnsi="Times New Roman"/>
          <w:sz w:val="18"/>
          <w:szCs w:val="18"/>
          <w:b w:val="1"/>
          <w:bCs w:val="1"/>
          <w:color w:val="auto"/>
        </w:rPr>
        <w:t>RANI THERAPEUTICS HOLDINGS, INC. CONSOLIDATED STATEMENTS OF OPERATIONS AND COMPREHENSIVE LOSS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Contract revenue</w:t>
            </w:r>
          </w:p>
        </w:tc>
        <w:tc>
          <w:tcPr>
            <w:tcW w:w="1000" w:type="dxa"/>
            <w:vAlign w:val="bottom"/>
            <w:shd w:val="clear" w:color="auto" w:fill="CFF0FC"/>
          </w:tcPr>
          <w:p>
            <w:pPr>
              <w:jc w:val="right"/>
              <w:ind w:right="8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2,717</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462</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26,482</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12,044</w:t>
            </w: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27,834</w:t>
            </w:r>
          </w:p>
        </w:tc>
        <w:tc>
          <w:tcPr>
            <w:tcW w:w="2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4,962</w:t>
            </w:r>
          </w:p>
        </w:tc>
        <w:tc>
          <w:tcPr>
            <w:tcW w:w="80" w:type="dxa"/>
            <w:vAlign w:val="bottom"/>
          </w:tcPr>
          <w:p>
            <w:pPr>
              <w:spacing w:after="0"/>
              <w:rPr>
                <w:sz w:val="17"/>
                <w:szCs w:val="17"/>
                <w:color w:val="auto"/>
              </w:rPr>
            </w:pPr>
          </w:p>
        </w:tc>
      </w:tr>
      <w:tr>
        <w:trPr>
          <w:trHeight w:val="196"/>
        </w:trPr>
        <w:tc>
          <w:tcPr>
            <w:tcW w:w="7700" w:type="dxa"/>
            <w:vAlign w:val="bottom"/>
            <w:tcBorders>
              <w:bottom w:val="single" w:sz="8" w:color="CFF0FC"/>
            </w:tcBorders>
            <w:shd w:val="clear" w:color="auto" w:fill="CFF0FC"/>
          </w:tcPr>
          <w:p>
            <w:pPr>
              <w:ind w:left="38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FF0FC"/>
          </w:tcPr>
          <w:p>
            <w:pPr>
              <w:jc w:val="right"/>
              <w:ind w:right="8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54,316</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7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70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Pr>
          <w:p>
            <w:pPr>
              <w:spacing w:after="0"/>
              <w:rPr>
                <w:sz w:val="17"/>
                <w:szCs w:val="17"/>
                <w:color w:val="auto"/>
              </w:rPr>
            </w:pPr>
          </w:p>
        </w:tc>
        <w:tc>
          <w:tcPr>
            <w:tcW w:w="8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(51,599 )</w:t>
            </w:r>
          </w:p>
        </w:tc>
        <w:tc>
          <w:tcPr>
            <w:tcW w:w="9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(16,544 )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Loss on extinguishment of debt</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(700 )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770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Interest expense and other, net</w:t>
            </w:r>
          </w:p>
        </w:tc>
        <w:tc>
          <w:tcPr>
            <w:tcW w:w="1000" w:type="dxa"/>
            <w:vAlign w:val="bottom"/>
          </w:tcPr>
          <w:p>
            <w:pPr>
              <w:spacing w:after="0"/>
              <w:rPr>
                <w:sz w:val="17"/>
                <w:szCs w:val="17"/>
                <w:color w:val="auto"/>
              </w:rPr>
            </w:pPr>
          </w:p>
        </w:tc>
        <w:tc>
          <w:tcPr>
            <w:tcW w:w="86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(466 )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(124 )</w:t>
            </w: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Change in estimated fair value of preferred unit warrant</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(371 )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(63 )</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tcPr>
          <w:p>
            <w:pPr>
              <w:spacing w:after="0"/>
              <w:rPr>
                <w:sz w:val="17"/>
                <w:szCs w:val="17"/>
                <w:color w:val="auto"/>
              </w:rPr>
            </w:pPr>
          </w:p>
        </w:tc>
        <w:tc>
          <w:tcPr>
            <w:tcW w:w="8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(53,047 )</w:t>
            </w:r>
          </w:p>
        </w:tc>
        <w:tc>
          <w:tcPr>
            <w:tcW w:w="9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(16,668 )</w:t>
            </w: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(41 )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(35 )</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and comprehensive loss</w:t>
            </w:r>
          </w:p>
        </w:tc>
        <w:tc>
          <w:tcPr>
            <w:tcW w:w="1000" w:type="dxa"/>
            <w:vAlign w:val="bottom"/>
          </w:tcPr>
          <w:p>
            <w:pPr>
              <w:jc w:val="right"/>
              <w:ind w:right="8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(53,088 )</w:t>
            </w:r>
          </w:p>
        </w:tc>
        <w:tc>
          <w:tcPr>
            <w:tcW w:w="980" w:type="dxa"/>
            <w:vAlign w:val="bottom"/>
          </w:tcPr>
          <w:p>
            <w:pPr>
              <w:jc w:val="right"/>
              <w:ind w:right="7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(16,703 )</w:t>
            </w: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(44,757 )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(16,703 )</w:t>
            </w:r>
          </w:p>
        </w:tc>
      </w:tr>
      <w:tr>
        <w:trPr>
          <w:trHeight w:val="20"/>
        </w:trPr>
        <w:tc>
          <w:tcPr>
            <w:tcW w:w="77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1000" w:type="dxa"/>
            <w:vAlign w:val="bottom"/>
          </w:tcPr>
          <w:p>
            <w:pPr>
              <w:jc w:val="right"/>
              <w:ind w:right="81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(8,331 )</w:t>
            </w:r>
          </w:p>
        </w:tc>
        <w:tc>
          <w:tcPr>
            <w:tcW w:w="980" w:type="dxa"/>
            <w:vAlign w:val="bottom"/>
          </w:tcPr>
          <w:p>
            <w:pPr>
              <w:jc w:val="right"/>
              <w:ind w:right="79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700" w:type="dxa"/>
            <w:vAlign w:val="bottom"/>
            <w:tcBorders>
              <w:bottom w:val="single" w:sz="8" w:color="CFF0FC"/>
            </w:tcBorders>
            <w:shd w:val="clear" w:color="auto" w:fill="CFF0FC"/>
          </w:tcPr>
          <w:p>
            <w:pPr>
              <w:ind w:left="120"/>
              <w:spacing w:after="0" w:line="183"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 basic and diluted</w:t>
            </w:r>
          </w:p>
        </w:tc>
        <w:tc>
          <w:tcPr>
            <w:tcW w:w="1000" w:type="dxa"/>
            <w:vAlign w:val="bottom"/>
            <w:tcBorders>
              <w:bottom w:val="single" w:sz="8" w:color="auto"/>
            </w:tcBorders>
            <w:shd w:val="clear" w:color="auto" w:fill="CFF0FC"/>
          </w:tcPr>
          <w:p>
            <w:pPr>
              <w:jc w:val="right"/>
              <w:ind w:right="815"/>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(0.43</w:t>
            </w:r>
          </w:p>
        </w:tc>
        <w:tc>
          <w:tcPr>
            <w:tcW w:w="240" w:type="dxa"/>
            <w:vAlign w:val="bottom"/>
            <w:tcBorders>
              <w:bottom w:val="single" w:sz="8" w:color="CFF0FC"/>
            </w:tcBorders>
            <w:shd w:val="clear" w:color="auto" w:fill="CFF0FC"/>
          </w:tcPr>
          <w:p>
            <w:pPr>
              <w:jc w:val="right"/>
              <w:ind w:right="70"/>
              <w:spacing w:after="0" w:line="183" w:lineRule="exact"/>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77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19,534</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-1779270</wp:posOffset>
            </wp:positionV>
            <wp:extent cx="5143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-1779270</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-999490</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-999490</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-733425</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-733425</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-467995</wp:posOffset>
            </wp:positionV>
            <wp:extent cx="5143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-467995</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-179070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-162560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EQUITY/CONVERTIBLE PREFERRED UNITS AND MEMBERS'</w:t>
      </w:r>
    </w:p>
    <w:p>
      <w:pPr>
        <w:ind w:left="5220"/>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20" w:type="dxa"/>
            <w:vAlign w:val="bottom"/>
          </w:tcPr>
          <w:p>
            <w:pPr>
              <w:spacing w:after="0"/>
              <w:rPr>
                <w:sz w:val="14"/>
                <w:szCs w:val="14"/>
                <w:color w:val="auto"/>
              </w:rPr>
            </w:pP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2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00" w:type="dxa"/>
            <w:vAlign w:val="bottom"/>
          </w:tcPr>
          <w:p>
            <w:pPr>
              <w:spacing w:after="0"/>
              <w:rPr>
                <w:sz w:val="14"/>
                <w:szCs w:val="14"/>
                <w:color w:val="auto"/>
              </w:rPr>
            </w:pPr>
          </w:p>
        </w:tc>
        <w:tc>
          <w:tcPr>
            <w:tcW w:w="8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w:t>
            </w:r>
          </w:p>
        </w:tc>
        <w:tc>
          <w:tcPr>
            <w:tcW w:w="0" w:type="dxa"/>
            <w:vAlign w:val="bottom"/>
          </w:tcPr>
          <w:p>
            <w:pPr>
              <w:spacing w:after="0"/>
              <w:rPr>
                <w:sz w:val="1"/>
                <w:szCs w:val="1"/>
                <w:color w:val="auto"/>
              </w:rPr>
            </w:pPr>
          </w:p>
        </w:tc>
      </w:tr>
      <w:tr>
        <w:trPr>
          <w:trHeight w:val="104"/>
        </w:trPr>
        <w:tc>
          <w:tcPr>
            <w:tcW w:w="23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76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4"/>
              </w:rPr>
              <w:t>Members’</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0" w:type="dxa"/>
            <w:vAlign w:val="bottom"/>
            <w:tcBorders>
              <w:left w:val="single" w:sz="8" w:color="auto"/>
            </w:tcBorders>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0"/>
                <w:szCs w:val="10"/>
                <w:color w:val="auto"/>
              </w:rPr>
            </w:pPr>
          </w:p>
        </w:tc>
        <w:tc>
          <w:tcPr>
            <w:tcW w:w="6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0"/>
                <w:szCs w:val="10"/>
                <w:color w:val="auto"/>
              </w:rPr>
            </w:pPr>
          </w:p>
        </w:tc>
        <w:tc>
          <w:tcPr>
            <w:tcW w:w="80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0"/>
                <w:szCs w:val="10"/>
                <w:color w:val="auto"/>
              </w:rPr>
            </w:pPr>
          </w:p>
        </w:tc>
        <w:tc>
          <w:tcPr>
            <w:tcW w:w="60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1000" w:type="dxa"/>
            <w:vAlign w:val="bottom"/>
            <w:gridSpan w:val="3"/>
            <w:vMerge w:val="continue"/>
          </w:tcPr>
          <w:p>
            <w:pPr>
              <w:spacing w:after="0"/>
              <w:rPr>
                <w:sz w:val="10"/>
                <w:szCs w:val="10"/>
                <w:color w:val="auto"/>
              </w:rPr>
            </w:pPr>
          </w:p>
        </w:tc>
        <w:tc>
          <w:tcPr>
            <w:tcW w:w="92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180" w:type="dxa"/>
            <w:vAlign w:val="bottom"/>
            <w:gridSpan w:val="3"/>
          </w:tcPr>
          <w:p>
            <w:pPr>
              <w:jc w:val="right"/>
              <w:ind w:right="77"/>
              <w:spacing w:after="0" w:line="122" w:lineRule="exact"/>
              <w:rPr>
                <w:sz w:val="20"/>
                <w:szCs w:val="20"/>
                <w:color w:val="auto"/>
              </w:rPr>
            </w:pPr>
            <w:r>
              <w:rPr>
                <w:rFonts w:ascii="Times New Roman" w:cs="Times New Roman" w:eastAsia="Times New Roman" w:hAnsi="Times New Roman"/>
                <w:sz w:val="13"/>
                <w:szCs w:val="13"/>
                <w:b w:val="1"/>
                <w:bCs w:val="1"/>
                <w:color w:val="auto"/>
              </w:rPr>
              <w:t>Equity/(Members'</w:t>
            </w: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Borders>
              <w:left w:val="single" w:sz="8" w:color="auto"/>
            </w:tcBorders>
          </w:tcPr>
          <w:p>
            <w:pPr>
              <w:spacing w:after="0"/>
              <w:rPr>
                <w:sz w:val="14"/>
                <w:szCs w:val="14"/>
                <w:color w:val="auto"/>
              </w:rPr>
            </w:pPr>
          </w:p>
        </w:tc>
        <w:tc>
          <w:tcPr>
            <w:tcW w:w="76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20" w:type="dxa"/>
            <w:vAlign w:val="bottom"/>
          </w:tcPr>
          <w:p>
            <w:pPr>
              <w:spacing w:after="0"/>
              <w:rPr>
                <w:sz w:val="14"/>
                <w:szCs w:val="14"/>
                <w:color w:val="auto"/>
              </w:rPr>
            </w:pPr>
          </w:p>
        </w:tc>
        <w:tc>
          <w:tcPr>
            <w:tcW w:w="96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42"/>
        </w:trPr>
        <w:tc>
          <w:tcPr>
            <w:tcW w:w="23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2019</w:t>
            </w: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115,505</w:t>
            </w: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left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(96,636</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(96,636</w:t>
            </w:r>
          </w:p>
        </w:tc>
        <w:tc>
          <w:tcPr>
            <w:tcW w:w="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Cashless exercise of Series B Preferred</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80" w:type="dxa"/>
            <w:vAlign w:val="bottom"/>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76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Series E Preferred Units, net</w:t>
            </w:r>
          </w:p>
        </w:tc>
        <w:tc>
          <w:tcPr>
            <w:tcW w:w="10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68,491</w:t>
            </w:r>
          </w:p>
        </w:tc>
        <w:tc>
          <w:tcPr>
            <w:tcW w:w="80" w:type="dxa"/>
            <w:vAlign w:val="bottom"/>
            <w:shd w:val="clear" w:color="auto" w:fill="CFF0FC"/>
          </w:tcPr>
          <w:p>
            <w:pPr>
              <w:spacing w:after="0"/>
              <w:rPr>
                <w:sz w:val="9"/>
                <w:szCs w:val="9"/>
                <w:color w:val="auto"/>
              </w:rPr>
            </w:pPr>
          </w:p>
        </w:tc>
        <w:tc>
          <w:tcPr>
            <w:tcW w:w="80" w:type="dxa"/>
            <w:vAlign w:val="bottom"/>
            <w:tcBorders>
              <w:left w:val="single" w:sz="8" w:color="auto"/>
            </w:tcBorders>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of issuance costs of $190</w:t>
            </w: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left w:val="single" w:sz="8" w:color="auto"/>
            </w:tcBorders>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880" w:type="dxa"/>
            <w:vAlign w:val="bottom"/>
            <w:gridSpan w:val="3"/>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(16,703 )</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(16,703 )</w:t>
            </w:r>
          </w:p>
        </w:tc>
        <w:tc>
          <w:tcPr>
            <w:tcW w:w="0" w:type="dxa"/>
            <w:vAlign w:val="bottom"/>
          </w:tcPr>
          <w:p>
            <w:pPr>
              <w:spacing w:after="0"/>
              <w:rPr>
                <w:sz w:val="1"/>
                <w:szCs w:val="1"/>
                <w:color w:val="auto"/>
              </w:rPr>
            </w:pPr>
          </w:p>
        </w:tc>
      </w:tr>
      <w:tr>
        <w:trPr>
          <w:trHeight w:val="142"/>
        </w:trPr>
        <w:tc>
          <w:tcPr>
            <w:tcW w:w="232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2020</w:t>
            </w:r>
          </w:p>
        </w:tc>
        <w:tc>
          <w:tcPr>
            <w:tcW w:w="1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184,714</w:t>
            </w:r>
          </w:p>
        </w:tc>
        <w:tc>
          <w:tcPr>
            <w:tcW w:w="80" w:type="dxa"/>
            <w:vAlign w:val="bottom"/>
            <w:shd w:val="clear" w:color="auto" w:fill="CFF0FC"/>
          </w:tcPr>
          <w:p>
            <w:pPr>
              <w:spacing w:after="0"/>
              <w:rPr>
                <w:sz w:val="12"/>
                <w:szCs w:val="12"/>
                <w:color w:val="auto"/>
              </w:rPr>
            </w:pPr>
          </w:p>
        </w:tc>
        <w:tc>
          <w:tcPr>
            <w:tcW w:w="80" w:type="dxa"/>
            <w:vAlign w:val="bottom"/>
            <w:tcBorders>
              <w:top w:val="single" w:sz="8" w:color="auto"/>
              <w:left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(113,339</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tcBorders>
            <w:gridSpan w:val="2"/>
            <w:shd w:val="clear" w:color="auto" w:fill="CFF0FC"/>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(113,339</w:t>
            </w:r>
          </w:p>
        </w:tc>
        <w:tc>
          <w:tcPr>
            <w:tcW w:w="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08"/>
        </w:trPr>
        <w:tc>
          <w:tcPr>
            <w:tcW w:w="23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b w:val="1"/>
                <w:bCs w:val="1"/>
                <w:i w:val="1"/>
                <w:iCs w:val="1"/>
                <w:color w:val="auto"/>
              </w:rPr>
              <w:t>Activity prior to initial public offering</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i w:val="1"/>
                <w:iCs w:val="1"/>
                <w:color w:val="auto"/>
              </w:rPr>
              <w:t>("IPO") and related Organizational</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Transactions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Series E preferred units</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6,320</w:t>
            </w:r>
          </w:p>
        </w:tc>
        <w:tc>
          <w:tcPr>
            <w:tcW w:w="80" w:type="dxa"/>
            <w:vAlign w:val="bottom"/>
            <w:shd w:val="clear" w:color="auto" w:fill="CFF0FC"/>
          </w:tcPr>
          <w:p>
            <w:pPr>
              <w:spacing w:after="0"/>
              <w:rPr>
                <w:sz w:val="12"/>
                <w:szCs w:val="12"/>
                <w:color w:val="auto"/>
              </w:rPr>
            </w:pPr>
          </w:p>
        </w:tc>
        <w:tc>
          <w:tcPr>
            <w:tcW w:w="80" w:type="dxa"/>
            <w:vAlign w:val="bottom"/>
            <w:tcBorders>
              <w:left w:val="single" w:sz="8" w:color="auto"/>
            </w:tcBorders>
            <w:shd w:val="clear" w:color="auto" w:fill="CFF0FC"/>
          </w:tcPr>
          <w:p>
            <w:pPr>
              <w:spacing w:after="0"/>
              <w:rPr>
                <w:sz w:val="12"/>
                <w:szCs w:val="12"/>
                <w:color w:val="auto"/>
              </w:rPr>
            </w:pPr>
          </w:p>
        </w:tc>
        <w:tc>
          <w:tcPr>
            <w:tcW w:w="7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Equity-based compensation from</w:t>
            </w:r>
          </w:p>
        </w:tc>
        <w:tc>
          <w:tcPr>
            <w:tcW w:w="100" w:type="dxa"/>
            <w:vAlign w:val="bottom"/>
          </w:tcPr>
          <w:p>
            <w:pPr>
              <w:spacing w:after="0"/>
              <w:rPr>
                <w:sz w:val="9"/>
                <w:szCs w:val="9"/>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20" w:type="dxa"/>
            <w:vAlign w:val="bottom"/>
          </w:tcPr>
          <w:p>
            <w:pPr>
              <w:spacing w:after="0"/>
              <w:rPr>
                <w:sz w:val="9"/>
                <w:szCs w:val="9"/>
                <w:color w:val="auto"/>
              </w:rPr>
            </w:pP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secondary sales transactions</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Exercise of warrant for common</w:t>
            </w:r>
          </w:p>
        </w:tc>
        <w:tc>
          <w:tcPr>
            <w:tcW w:w="10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FF0FC"/>
          </w:tcPr>
          <w:p>
            <w:pPr>
              <w:spacing w:after="0"/>
              <w:rPr>
                <w:sz w:val="9"/>
                <w:szCs w:val="9"/>
                <w:color w:val="auto"/>
              </w:rPr>
            </w:pPr>
          </w:p>
        </w:tc>
        <w:tc>
          <w:tcPr>
            <w:tcW w:w="880" w:type="dxa"/>
            <w:vAlign w:val="bottom"/>
            <w:gridSpan w:val="3"/>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9"/>
                <w:szCs w:val="9"/>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units</w:t>
            </w: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0" w:type="dxa"/>
            <w:vAlign w:val="bottom"/>
            <w:tcBorders>
              <w:left w:val="single" w:sz="8" w:color="auto"/>
            </w:tcBorders>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3"/>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Settlement of preferred unit warrant</w:t>
            </w:r>
          </w:p>
        </w:tc>
        <w:tc>
          <w:tcPr>
            <w:tcW w:w="10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80" w:type="dxa"/>
            <w:vAlign w:val="bottom"/>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76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liability</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17,324</w:t>
            </w:r>
          </w:p>
        </w:tc>
        <w:tc>
          <w:tcPr>
            <w:tcW w:w="12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17,324</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(31,727 )</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(31,727 )</w:t>
            </w:r>
          </w:p>
        </w:tc>
        <w:tc>
          <w:tcPr>
            <w:tcW w:w="0" w:type="dxa"/>
            <w:vAlign w:val="bottom"/>
          </w:tcPr>
          <w:p>
            <w:pPr>
              <w:spacing w:after="0"/>
              <w:rPr>
                <w:sz w:val="1"/>
                <w:szCs w:val="1"/>
                <w:color w:val="auto"/>
              </w:rPr>
            </w:pPr>
          </w:p>
        </w:tc>
      </w:tr>
      <w:tr>
        <w:trPr>
          <w:trHeight w:val="108"/>
        </w:trPr>
        <w:tc>
          <w:tcPr>
            <w:tcW w:w="232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b w:val="1"/>
                <w:bCs w:val="1"/>
                <w:i w:val="1"/>
                <w:iCs w:val="1"/>
                <w:color w:val="auto"/>
              </w:rPr>
              <w:t>Effects of the IPO and related</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left w:val="single" w:sz="8" w:color="auto"/>
            </w:tcBorders>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Organizational Transactions</w:t>
            </w: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Borders>
              <w:left w:val="single" w:sz="8" w:color="auto"/>
            </w:tcBorders>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Effects of Organizational Transactions</w:t>
            </w:r>
          </w:p>
        </w:tc>
        <w:tc>
          <w:tcPr>
            <w:tcW w:w="10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(191,725 )</w:t>
            </w:r>
          </w:p>
        </w:tc>
        <w:tc>
          <w:tcPr>
            <w:tcW w:w="80" w:type="dxa"/>
            <w:vAlign w:val="bottom"/>
            <w:tcBorders>
              <w:left w:val="single" w:sz="8" w:color="auto"/>
            </w:tcBorders>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127,263</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29,290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46,352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Issuance of Class A common stock in</w:t>
            </w: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tcBorders>
              <w:left w:val="single" w:sz="8" w:color="auto"/>
            </w:tcBorders>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2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connection with the IPO, net of issuance</w:t>
            </w:r>
          </w:p>
        </w:tc>
        <w:tc>
          <w:tcPr>
            <w:tcW w:w="100" w:type="dxa"/>
            <w:vAlign w:val="bottom"/>
            <w:shd w:val="clear" w:color="auto" w:fill="CFF0FC"/>
          </w:tcPr>
          <w:p>
            <w:pPr>
              <w:spacing w:after="0"/>
              <w:rPr>
                <w:sz w:val="10"/>
                <w:szCs w:val="10"/>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7,667</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0"/>
                <w:szCs w:val="10"/>
                <w:color w:val="auto"/>
              </w:rPr>
            </w:pPr>
          </w:p>
        </w:tc>
        <w:tc>
          <w:tcPr>
            <w:tcW w:w="80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73,647</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73,648</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costs of $10,686</w:t>
            </w:r>
          </w:p>
        </w:tc>
        <w:tc>
          <w:tcPr>
            <w:tcW w:w="10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80" w:type="dxa"/>
            <w:vAlign w:val="bottom"/>
            <w:tcBorders>
              <w:left w:val="single" w:sz="8" w:color="auto"/>
            </w:tcBorders>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tcBorders>
              <w:right w:val="single" w:sz="8" w:color="CFF0FC"/>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Non-controlling interest adjustment for</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purchase of newly issued Class A units of</w:t>
            </w:r>
          </w:p>
        </w:tc>
        <w:tc>
          <w:tcPr>
            <w:tcW w:w="10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0"/>
                <w:szCs w:val="10"/>
                <w:color w:val="auto"/>
              </w:rPr>
            </w:pPr>
          </w:p>
        </w:tc>
        <w:tc>
          <w:tcPr>
            <w:tcW w:w="76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(37,895 )</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37,895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Rani LLC with proceeds from the IPO</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FF0FC"/>
          </w:tcPr>
          <w:p>
            <w:pPr>
              <w:spacing w:after="0"/>
              <w:rPr>
                <w:sz w:val="12"/>
                <w:szCs w:val="12"/>
                <w:color w:val="auto"/>
              </w:rPr>
            </w:pPr>
          </w:p>
        </w:tc>
        <w:tc>
          <w:tcPr>
            <w:tcW w:w="7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(149 )</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(233 )</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(382 )</w:t>
            </w:r>
          </w:p>
        </w:tc>
        <w:tc>
          <w:tcPr>
            <w:tcW w:w="0" w:type="dxa"/>
            <w:vAlign w:val="bottom"/>
          </w:tcPr>
          <w:p>
            <w:pPr>
              <w:spacing w:after="0"/>
              <w:rPr>
                <w:sz w:val="1"/>
                <w:szCs w:val="1"/>
                <w:color w:val="auto"/>
              </w:rPr>
            </w:pPr>
          </w:p>
        </w:tc>
      </w:tr>
      <w:tr>
        <w:trPr>
          <w:trHeight w:val="108"/>
        </w:trPr>
        <w:tc>
          <w:tcPr>
            <w:tcW w:w="232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b w:val="1"/>
                <w:bCs w:val="1"/>
                <w:i w:val="1"/>
                <w:iCs w:val="1"/>
                <w:color w:val="auto"/>
              </w:rPr>
              <w:t>Activity subsequent to the IPO and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related Organizational Transactions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shd w:val="clear" w:color="auto" w:fill="CFF0FC"/>
          </w:tcPr>
          <w:p>
            <w:pPr>
              <w:spacing w:after="0"/>
              <w:rPr>
                <w:sz w:val="12"/>
                <w:szCs w:val="12"/>
                <w:color w:val="auto"/>
              </w:rPr>
            </w:pPr>
          </w:p>
        </w:tc>
        <w:tc>
          <w:tcPr>
            <w:tcW w:w="76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2,940</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Forfeiture of restricted stock awards</w:t>
            </w:r>
          </w:p>
        </w:tc>
        <w:tc>
          <w:tcPr>
            <w:tcW w:w="10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(1 )</w:t>
            </w:r>
          </w:p>
        </w:tc>
        <w:tc>
          <w:tcPr>
            <w:tcW w:w="16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(1 )</w:t>
            </w:r>
          </w:p>
        </w:tc>
        <w:tc>
          <w:tcPr>
            <w:tcW w:w="22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49"/>
        </w:trPr>
        <w:tc>
          <w:tcPr>
            <w:tcW w:w="2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tcBorders>
              <w:left w:val="single" w:sz="8" w:color="auto"/>
            </w:tcBorders>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(8,182 )</w:t>
            </w: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(12,797 )</w:t>
            </w:r>
          </w:p>
        </w:tc>
        <w:tc>
          <w:tcPr>
            <w:tcW w:w="2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(20,979 )</w:t>
            </w: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at December 31, 2021</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Borders>
              <w:left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19,712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29,290</w:t>
            </w:r>
          </w:p>
        </w:tc>
        <w:tc>
          <w:tcPr>
            <w:tcW w:w="100" w:type="dxa"/>
            <w:vAlign w:val="bottom"/>
          </w:tcPr>
          <w:p>
            <w:pPr>
              <w:spacing w:after="0"/>
              <w:rPr>
                <w:sz w:val="12"/>
                <w:szCs w:val="12"/>
                <w:color w:val="auto"/>
              </w:rPr>
            </w:pPr>
          </w:p>
        </w:tc>
        <w:tc>
          <w:tcPr>
            <w:tcW w:w="24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55,737</w:t>
            </w:r>
          </w:p>
        </w:tc>
        <w:tc>
          <w:tcPr>
            <w:tcW w:w="100" w:type="dxa"/>
            <w:vAlign w:val="bottom"/>
          </w:tcPr>
          <w:p>
            <w:pPr>
              <w:spacing w:after="0"/>
              <w:rPr>
                <w:sz w:val="12"/>
                <w:szCs w:val="12"/>
                <w:color w:val="auto"/>
              </w:rPr>
            </w:pPr>
          </w:p>
        </w:tc>
        <w:tc>
          <w:tcPr>
            <w:tcW w:w="16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(8,331 )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74,156</w:t>
            </w:r>
          </w:p>
        </w:tc>
        <w:tc>
          <w:tcPr>
            <w:tcW w:w="12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121,567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-125095</wp:posOffset>
            </wp:positionV>
            <wp:extent cx="431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-125095</wp:posOffset>
            </wp:positionV>
            <wp:extent cx="7747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-125095</wp:posOffset>
            </wp:positionV>
            <wp:extent cx="768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-125095</wp:posOffset>
            </wp:positionV>
            <wp:extent cx="342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-125095</wp:posOffset>
            </wp:positionV>
            <wp:extent cx="260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-125095</wp:posOffset>
            </wp:positionV>
            <wp:extent cx="254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-125095</wp:posOffset>
            </wp:positionV>
            <wp:extent cx="3429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-125095</wp:posOffset>
            </wp:positionV>
            <wp:extent cx="3429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-125095</wp:posOffset>
            </wp:positionV>
            <wp:extent cx="3429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3"/>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(53,088 )</w:t>
            </w:r>
          </w:p>
        </w:tc>
        <w:tc>
          <w:tcPr>
            <w:tcW w:w="980" w:type="dxa"/>
            <w:vAlign w:val="bottom"/>
          </w:tcPr>
          <w:p>
            <w:pPr>
              <w:jc w:val="right"/>
              <w:ind w:right="79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(16,703 )</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497</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Equity-based compensation expense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22,595</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Change in fair value of preferred unit warrant liability</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Loss on extinguishment of debt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700</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76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(1,975 )</w:t>
            </w: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(9 )</w:t>
            </w:r>
          </w:p>
        </w:tc>
      </w:tr>
      <w:tr>
        <w:trPr>
          <w:trHeight w:val="202"/>
        </w:trPr>
        <w:tc>
          <w:tcPr>
            <w:tcW w:w="7680" w:type="dxa"/>
            <w:vAlign w:val="bottom"/>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543</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933</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739</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(636 )</w:t>
            </w:r>
          </w:p>
        </w:tc>
      </w:tr>
      <w:tr>
        <w:trPr>
          <w:trHeight w:val="203"/>
        </w:trPr>
        <w:tc>
          <w:tcPr>
            <w:tcW w:w="7680" w:type="dxa"/>
            <w:vAlign w:val="bottom"/>
            <w:shd w:val="clear" w:color="auto" w:fill="CFF0FC"/>
          </w:tcPr>
          <w:p>
            <w:pPr>
              <w:ind w:left="380"/>
              <w:spacing w:after="0" w:line="202" w:lineRule="exact"/>
              <w:rPr>
                <w:sz w:val="20"/>
                <w:szCs w:val="20"/>
                <w:color w:val="auto"/>
              </w:rPr>
            </w:pPr>
            <w:r>
              <w:rPr>
                <w:rFonts w:ascii="Times New Roman" w:cs="Times New Roman" w:eastAsia="Times New Roman" w:hAnsi="Times New Roman"/>
                <w:sz w:val="18"/>
                <w:szCs w:val="18"/>
                <w:color w:val="auto"/>
              </w:rPr>
              <w:t>Related party payable</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(19 )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(1,782 )</w:t>
            </w:r>
          </w:p>
        </w:tc>
      </w:tr>
      <w:tr>
        <w:trPr>
          <w:trHeight w:val="203"/>
        </w:trPr>
        <w:tc>
          <w:tcPr>
            <w:tcW w:w="7680" w:type="dxa"/>
            <w:vAlign w:val="bottom"/>
          </w:tcPr>
          <w:p>
            <w:pPr>
              <w:ind w:left="38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(2,717 )</w:t>
            </w:r>
          </w:p>
        </w:tc>
        <w:tc>
          <w:tcPr>
            <w:tcW w:w="9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2,538</w:t>
            </w:r>
          </w:p>
        </w:tc>
        <w:tc>
          <w:tcPr>
            <w:tcW w:w="80" w:type="dxa"/>
            <w:vAlign w:val="bottom"/>
          </w:tcPr>
          <w:p>
            <w:pPr>
              <w:spacing w:after="0"/>
              <w:rPr>
                <w:sz w:val="17"/>
                <w:szCs w:val="17"/>
                <w:color w:val="auto"/>
              </w:rPr>
            </w:pPr>
          </w:p>
        </w:tc>
      </w:tr>
      <w:tr>
        <w:trPr>
          <w:trHeight w:val="196"/>
        </w:trPr>
        <w:tc>
          <w:tcPr>
            <w:tcW w:w="7680" w:type="dxa"/>
            <w:vAlign w:val="bottom"/>
            <w:tcBorders>
              <w:bottom w:val="single" w:sz="8" w:color="CFF0FC"/>
            </w:tcBorders>
            <w:shd w:val="clear" w:color="auto" w:fill="CFF0FC"/>
          </w:tcPr>
          <w:p>
            <w:pPr>
              <w:ind w:left="560"/>
              <w:spacing w:after="0" w:line="196"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(32,245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(14,960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r>
        <w:trPr>
          <w:trHeight w:val="196"/>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(506 )</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(1,200 )</w:t>
            </w:r>
          </w:p>
        </w:tc>
      </w:tr>
      <w:tr>
        <w:trPr>
          <w:trHeight w:val="20"/>
        </w:trPr>
        <w:tc>
          <w:tcPr>
            <w:tcW w:w="76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(506 )</w:t>
            </w:r>
          </w:p>
        </w:tc>
        <w:tc>
          <w:tcPr>
            <w:tcW w:w="9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(1,200 )</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issuance of Class A common stock sold in the IPO, net of issuance costs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73,648</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issuance of preferred units, net of issuance costs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6,320</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68,491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exercise of warrants for common units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the Paycheck Protection Program Loan</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1,254</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Repayment of the Paycheck Protection Program Loan</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(1,254 )</w:t>
            </w:r>
          </w:p>
        </w:tc>
        <w:tc>
          <w:tcPr>
            <w:tcW w:w="9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Proceeds from issuance of convertible note, net of issuance costs</w:t>
            </w: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2,781</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Repayment of convertible note</w:t>
            </w:r>
          </w:p>
        </w:tc>
        <w:tc>
          <w:tcPr>
            <w:tcW w:w="1000" w:type="dxa"/>
            <w:vAlign w:val="bottom"/>
          </w:tcPr>
          <w:p>
            <w:pPr>
              <w:spacing w:after="0"/>
              <w:rPr>
                <w:sz w:val="17"/>
                <w:szCs w:val="17"/>
                <w:color w:val="auto"/>
              </w:rPr>
            </w:pPr>
          </w:p>
        </w:tc>
        <w:tc>
          <w:tcPr>
            <w:tcW w:w="88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(3,314 )</w:t>
            </w:r>
          </w:p>
        </w:tc>
        <w:tc>
          <w:tcPr>
            <w:tcW w:w="980" w:type="dxa"/>
            <w:vAlign w:val="bottom"/>
          </w:tcPr>
          <w:p>
            <w:pPr>
              <w:spacing w:after="0"/>
              <w:rPr>
                <w:sz w:val="17"/>
                <w:szCs w:val="17"/>
                <w:color w:val="auto"/>
              </w:rPr>
            </w:pPr>
          </w:p>
        </w:tc>
        <w:tc>
          <w:tcPr>
            <w:tcW w:w="7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Principal and interest repayments from related party for note receivable</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1,720</w:t>
            </w:r>
          </w:p>
        </w:tc>
        <w:tc>
          <w:tcPr>
            <w:tcW w:w="2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560"/>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77,146</w:t>
            </w:r>
          </w:p>
        </w:tc>
        <w:tc>
          <w:tcPr>
            <w:tcW w:w="2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72,682</w:t>
            </w:r>
          </w:p>
        </w:tc>
        <w:tc>
          <w:tcPr>
            <w:tcW w:w="80" w:type="dxa"/>
            <w:vAlign w:val="bottom"/>
          </w:tcPr>
          <w:p>
            <w:pPr>
              <w:spacing w:after="0"/>
              <w:rPr>
                <w:sz w:val="17"/>
                <w:szCs w:val="17"/>
                <w:color w:val="auto"/>
              </w:rPr>
            </w:pPr>
          </w:p>
        </w:tc>
      </w:tr>
      <w:tr>
        <w:trPr>
          <w:trHeight w:val="196"/>
        </w:trPr>
        <w:tc>
          <w:tcPr>
            <w:tcW w:w="7680" w:type="dxa"/>
            <w:vAlign w:val="bottom"/>
            <w:shd w:val="clear" w:color="auto" w:fill="CFF0FC"/>
          </w:tcPr>
          <w:p>
            <w:pPr>
              <w:ind w:left="560"/>
              <w:spacing w:after="0" w:line="196"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44,395</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56,522</w:t>
            </w:r>
          </w:p>
        </w:tc>
        <w:tc>
          <w:tcPr>
            <w:tcW w:w="8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73,058</w:t>
            </w:r>
          </w:p>
        </w:tc>
        <w:tc>
          <w:tcPr>
            <w:tcW w:w="2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16,536</w:t>
            </w:r>
          </w:p>
        </w:tc>
        <w:tc>
          <w:tcPr>
            <w:tcW w:w="80" w:type="dxa"/>
            <w:vAlign w:val="bottom"/>
          </w:tcPr>
          <w:p>
            <w:pPr>
              <w:spacing w:after="0"/>
              <w:rPr>
                <w:sz w:val="17"/>
                <w:szCs w:val="17"/>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auto"/>
            </w:tcBorders>
            <w:shd w:val="clear" w:color="auto" w:fill="CFF0FC"/>
          </w:tcPr>
          <w:p>
            <w:pPr>
              <w:jc w:val="right"/>
              <w:ind w:right="793"/>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117,453</w:t>
            </w:r>
          </w:p>
        </w:tc>
        <w:tc>
          <w:tcPr>
            <w:tcW w:w="2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73,058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tcBorders>
              <w:bottom w:val="single" w:sz="8" w:color="auto"/>
            </w:tcBorders>
            <w:shd w:val="clear" w:color="auto" w:fill="CFF0FC"/>
          </w:tcPr>
          <w:p>
            <w:pPr>
              <w:jc w:val="right"/>
              <w:ind w:right="793"/>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285</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793"/>
              <w:spacing w:after="0" w:line="18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73</w:t>
            </w:r>
          </w:p>
        </w:tc>
        <w:tc>
          <w:tcPr>
            <w:tcW w:w="260" w:type="dxa"/>
            <w:vAlign w:val="bottom"/>
          </w:tcPr>
          <w:p>
            <w:pPr>
              <w:spacing w:after="0"/>
              <w:rPr>
                <w:sz w:val="15"/>
                <w:szCs w:val="15"/>
                <w:color w:val="auto"/>
              </w:rPr>
            </w:pPr>
          </w:p>
        </w:tc>
        <w:tc>
          <w:tcPr>
            <w:tcW w:w="980" w:type="dxa"/>
            <w:vAlign w:val="bottom"/>
          </w:tcPr>
          <w:p>
            <w:pPr>
              <w:jc w:val="right"/>
              <w:ind w:right="792"/>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
              <w:spacing w:after="0" w:line="183"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0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7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1000" w:type="dxa"/>
            <w:vAlign w:val="bottom"/>
          </w:tcPr>
          <w:p>
            <w:pPr>
              <w:jc w:val="right"/>
              <w:ind w:right="793"/>
              <w:spacing w:after="0" w:line="20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7"/>
                <w:szCs w:val="17"/>
                <w:color w:val="auto"/>
              </w:rPr>
            </w:pPr>
          </w:p>
        </w:tc>
        <w:tc>
          <w:tcPr>
            <w:tcW w:w="980" w:type="dxa"/>
            <w:vAlign w:val="bottom"/>
          </w:tcPr>
          <w:p>
            <w:pPr>
              <w:jc w:val="right"/>
              <w:ind w:right="79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color w:val="auto"/>
              </w:rPr>
              <w:t>Settlement of preferred unit warrant liability</w:t>
            </w:r>
          </w:p>
        </w:tc>
        <w:tc>
          <w:tcPr>
            <w:tcW w:w="1000" w:type="dxa"/>
            <w:vAlign w:val="bottom"/>
            <w:tcBorders>
              <w:bottom w:val="single" w:sz="8" w:color="auto"/>
            </w:tcBorders>
            <w:shd w:val="clear" w:color="auto" w:fill="CFF0FC"/>
          </w:tcPr>
          <w:p>
            <w:pPr>
              <w:jc w:val="right"/>
              <w:ind w:right="793"/>
              <w:spacing w:after="0" w:line="18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691</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2"/>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Exchange of Class A Units of Rani LLC from the Former LLC Owners</w:t>
            </w:r>
          </w:p>
        </w:tc>
        <w:tc>
          <w:tcPr>
            <w:tcW w:w="1000" w:type="dxa"/>
            <w:vAlign w:val="bottom"/>
          </w:tcPr>
          <w:p>
            <w:pPr>
              <w:jc w:val="right"/>
              <w:ind w:right="793"/>
              <w:spacing w:after="0" w:line="18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132,527</w:t>
            </w:r>
          </w:p>
        </w:tc>
        <w:tc>
          <w:tcPr>
            <w:tcW w:w="260" w:type="dxa"/>
            <w:vAlign w:val="bottom"/>
          </w:tcPr>
          <w:p>
            <w:pPr>
              <w:spacing w:after="0"/>
              <w:rPr>
                <w:sz w:val="15"/>
                <w:szCs w:val="15"/>
                <w:color w:val="auto"/>
              </w:rPr>
            </w:pPr>
          </w:p>
        </w:tc>
        <w:tc>
          <w:tcPr>
            <w:tcW w:w="980" w:type="dxa"/>
            <w:vAlign w:val="bottom"/>
          </w:tcPr>
          <w:p>
            <w:pPr>
              <w:jc w:val="right"/>
              <w:ind w:right="792"/>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
              <w:spacing w:after="0" w:line="183"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680" w:type="dxa"/>
            <w:vAlign w:val="bottom"/>
            <w:tcBorders>
              <w:bottom w:val="single" w:sz="8" w:color="CFF0FC"/>
            </w:tcBorders>
            <w:shd w:val="clear" w:color="auto" w:fill="CFF0FC"/>
          </w:tcPr>
          <w:p>
            <w:pPr>
              <w:ind w:left="20"/>
              <w:spacing w:after="0" w:line="183" w:lineRule="exact"/>
              <w:rPr>
                <w:sz w:val="20"/>
                <w:szCs w:val="20"/>
                <w:color w:val="auto"/>
              </w:rPr>
            </w:pPr>
            <w:r>
              <w:rPr>
                <w:rFonts w:ascii="Times New Roman" w:cs="Times New Roman" w:eastAsia="Times New Roman" w:hAnsi="Times New Roman"/>
                <w:sz w:val="18"/>
                <w:szCs w:val="18"/>
                <w:color w:val="auto"/>
              </w:rPr>
              <w:t>Reissuance of previously expired warrant for Series B preferred units</w:t>
            </w:r>
          </w:p>
        </w:tc>
        <w:tc>
          <w:tcPr>
            <w:tcW w:w="1000" w:type="dxa"/>
            <w:vAlign w:val="bottom"/>
            <w:tcBorders>
              <w:bottom w:val="single" w:sz="8" w:color="auto"/>
            </w:tcBorders>
            <w:shd w:val="clear" w:color="auto" w:fill="CFF0FC"/>
          </w:tcPr>
          <w:p>
            <w:pPr>
              <w:jc w:val="right"/>
              <w:ind w:right="793"/>
              <w:spacing w:after="0" w:line="18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2"/>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718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83"/>
        </w:trPr>
        <w:tc>
          <w:tcPr>
            <w:tcW w:w="76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Cashless exercise of warrant for Series B preferred units</w:t>
            </w:r>
          </w:p>
        </w:tc>
        <w:tc>
          <w:tcPr>
            <w:tcW w:w="1000" w:type="dxa"/>
            <w:vAlign w:val="bottom"/>
          </w:tcPr>
          <w:p>
            <w:pPr>
              <w:jc w:val="right"/>
              <w:ind w:right="793"/>
              <w:spacing w:after="0" w:line="18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70"/>
              <w:spacing w:after="0" w:line="18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2"/>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-3468370</wp:posOffset>
            </wp:positionV>
            <wp:extent cx="514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-3468370</wp:posOffset>
            </wp:positionV>
            <wp:extent cx="514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-3202305</wp:posOffset>
            </wp:positionV>
            <wp:extent cx="514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-3202305</wp:posOffset>
            </wp:positionV>
            <wp:extent cx="514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-1899285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-1899285</wp:posOffset>
            </wp:positionV>
            <wp:extent cx="514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-1362075</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-1344930</wp:posOffset>
            </wp:positionV>
            <wp:extent cx="514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-1362075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-1344930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-1079500</wp:posOffset>
            </wp:positionV>
            <wp:extent cx="514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-1062355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-1079500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-1062355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-487680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-471170</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-487680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-471170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-179070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-161925</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-179070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-161925</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16" w:lineRule="exact"/>
        <w:rPr>
          <w:sz w:val="20"/>
          <w:szCs w:val="20"/>
          <w:color w:val="auto"/>
        </w:rPr>
      </w:pPr>
    </w:p>
    <w:p>
      <w:pPr>
        <w:ind w:right="220" w:firstLine="1018"/>
        <w:spacing w:after="0" w:line="245" w:lineRule="auto"/>
        <w:rPr>
          <w:sz w:val="20"/>
          <w:szCs w:val="20"/>
          <w:color w:val="auto"/>
        </w:rPr>
      </w:pPr>
      <w:r>
        <w:rPr>
          <w:rFonts w:ascii="Times New Roman" w:cs="Times New Roman" w:eastAsia="Times New Roman" w:hAnsi="Times New Roman"/>
          <w:sz w:val="18"/>
          <w:szCs w:val="18"/>
          <w:color w:val="auto"/>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are collectively referred to herein as “Rani” or the “Company.”</w:t>
      </w:r>
    </w:p>
    <w:p>
      <w:pPr>
        <w:spacing w:after="0" w:line="181"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The Company is a clinical stage biotherapeutics company focusing on advancing technologies to enable the administration of biologics orally, to provide patients, physicians, and healthcare systems with a convenient alternative to painful injections. The Company is advancing a portfolio of oral biologic therapeutics using its proprietary delivery technology, the RaniPill capsule, which can deliver any drug, including large molecules such as peptides, proteins, and antibodies. The Company is headquartered in San Jose, California and operates in one segment.</w:t>
      </w:r>
    </w:p>
    <w:p>
      <w:pPr>
        <w:spacing w:after="0" w:line="181" w:lineRule="exact"/>
        <w:rPr>
          <w:sz w:val="20"/>
          <w:szCs w:val="20"/>
          <w:color w:val="auto"/>
        </w:rPr>
      </w:pPr>
    </w:p>
    <w:p>
      <w:pPr>
        <w:jc w:val="both"/>
        <w:ind w:right="20" w:firstLine="1018"/>
        <w:spacing w:after="0" w:line="242" w:lineRule="auto"/>
        <w:rPr>
          <w:sz w:val="20"/>
          <w:szCs w:val="20"/>
          <w:color w:val="auto"/>
        </w:rPr>
      </w:pPr>
      <w:r>
        <w:rPr>
          <w:rFonts w:ascii="Times New Roman" w:cs="Times New Roman" w:eastAsia="Times New Roman" w:hAnsi="Times New Roman"/>
          <w:sz w:val="18"/>
          <w:szCs w:val="18"/>
          <w:color w:val="auto"/>
        </w:rPr>
        <w:t>Up to December 31, 2019, Rani LLC maintained no employees of its own and contracted InCube Labs, LLC (“ICL”), the majority common unit holder of Rani LLC and a related party, through service agreements to provide research, development and administrative services. ICL and Rani LLC have common management and interest holders and, in the course of performing under the terms of the service agreements, ICL employees acted on behalf of Rani LLC. Effective January 1, 2020, the ICL personnel that were substantially dedicated to providing services to Rani LLC were hired by RMS as full-time employees (Note 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Organizational Transactions</w:t>
      </w:r>
    </w:p>
    <w:p>
      <w:pPr>
        <w:spacing w:after="0" w:line="216"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In August 2021, the Company closed its IPO and sold 7,666,667 shares of its Class A common stock, including shares issued pursuant to the exercise in full of the underwriters’ option, for cash consideration of $11.00 per share and received approximately $73.6 million in net proceeds, after deducting underwriting discounts, offering costs and commissions. The Company used the proceeds from the IPO to purchase 7,666,667 newly issued economic nonvoting Class A units (“Class A Units”) of Rani LLC.</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connection with the IPO, the Company was party to the following organizational transactions (the “Organizational Transactions”):</w:t>
      </w:r>
    </w:p>
    <w:p>
      <w:pPr>
        <w:spacing w:after="0" w:line="212" w:lineRule="exact"/>
        <w:rPr>
          <w:sz w:val="20"/>
          <w:szCs w:val="20"/>
          <w:color w:val="auto"/>
        </w:rPr>
      </w:pPr>
    </w:p>
    <w:p>
      <w:pPr>
        <w:ind w:left="1020" w:right="40" w:hanging="503"/>
        <w:spacing w:after="0" w:line="260" w:lineRule="auto"/>
        <w:tabs>
          <w:tab w:leader="none" w:pos="10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Class A Units and an equal number of voting noneconomic Class B units (“Class B Units”) and (ii) all Profits Interests into Class A Units. In connection with the closing of the IPO, each LLC interest was exchanged 1 for 0.5282 as determined and predicated on the initial public offering price of the Company’s Class A common stock;</w:t>
      </w:r>
    </w:p>
    <w:p>
      <w:pPr>
        <w:spacing w:after="0" w:line="169" w:lineRule="exact"/>
        <w:rPr>
          <w:rFonts w:ascii="Times New Roman" w:cs="Times New Roman" w:eastAsia="Times New Roman" w:hAnsi="Times New Roman"/>
          <w:sz w:val="17"/>
          <w:szCs w:val="17"/>
          <w:color w:val="auto"/>
        </w:rPr>
      </w:pPr>
    </w:p>
    <w:p>
      <w:pPr>
        <w:ind w:left="1020" w:hanging="503"/>
        <w:spacing w:after="0" w:line="245"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180"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Exchanged 12,047,925 shares of Class A common stock for existing Class A Units of Rani LLC held by certain individuals and entities (the “Former LLC Owners”) on a one-for-one basis;</w:t>
      </w:r>
    </w:p>
    <w:p>
      <w:pPr>
        <w:spacing w:after="0" w:line="162"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29,290,391 shares of Class B common stock to the certain individuals and entities that continued to hold Class A Units in Rani LLC after the IPO (the “Continuing LLC Owners”) in return for an equal amount of Rani LLC Class B Units;</w:t>
      </w:r>
    </w:p>
    <w:p>
      <w:pPr>
        <w:spacing w:after="0" w:line="1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with certain of the Continuing LLC Owners.</w:t>
      </w:r>
    </w:p>
    <w:p>
      <w:pPr>
        <w:spacing w:after="0" w:line="212"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The Continuing LLC Owners are entitled to exchange, subject to the terms of the Rani LLC Agreement, the Class A Units they hold in Rani LLC, together with the shares they hold of the Company Class B common stock (together referred to as a "Paired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114" w:name="page115"/>
    <w:bookmarkEnd w:id="114"/>
    <w:p>
      <w:pPr>
        <w:ind w:right="120"/>
        <w:spacing w:after="0" w:line="241" w:lineRule="auto"/>
        <w:rPr>
          <w:sz w:val="20"/>
          <w:szCs w:val="20"/>
          <w:color w:val="auto"/>
        </w:rPr>
      </w:pPr>
      <w:r>
        <w:rPr>
          <w:rFonts w:ascii="Times New Roman" w:cs="Times New Roman" w:eastAsia="Times New Roman" w:hAnsi="Times New Roman"/>
          <w:sz w:val="18"/>
          <w:szCs w:val="18"/>
          <w:color w:val="auto"/>
        </w:rPr>
        <w:t>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Certain individuals who continue to own interests in Rani LLC but do not hold shares of the Company’s Class B common stock have the ability to exchange their Class A Units of Rani LLC for 1,545,522 shares of the Company’s Class A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16" w:lineRule="exact"/>
        <w:rPr>
          <w:sz w:val="20"/>
          <w:szCs w:val="20"/>
          <w:color w:val="auto"/>
        </w:rPr>
      </w:pPr>
    </w:p>
    <w:p>
      <w:pPr>
        <w:ind w:right="40" w:firstLine="1018"/>
        <w:spacing w:after="0" w:line="238" w:lineRule="auto"/>
        <w:rPr>
          <w:sz w:val="20"/>
          <w:szCs w:val="20"/>
          <w:color w:val="auto"/>
        </w:rPr>
      </w:pPr>
      <w:r>
        <w:rPr>
          <w:rFonts w:ascii="Times New Roman" w:cs="Times New Roman" w:eastAsia="Times New Roman" w:hAnsi="Times New Roman"/>
          <w:sz w:val="18"/>
          <w:szCs w:val="18"/>
          <w:color w:val="auto"/>
        </w:rPr>
        <w:t>The Company has incurred recurring losses since its inception, including net losses of $53.1 million for the year ended December 31, 2021. As of December 31, 2021, the Company had an accumulated deficit of $8.3 million and for the year ended December 31, 2021 had negative cash flows from operations of $32.2 million. The Company expects to continue to generate operating losses and negative operating cash flows for the foreseeable future as it continues to develop the RaniPill capsule. The Company expects that its cash and cash equivalents of $117.5 million as of December 31, 2021 will be sufficient to fund its operations through at least twelve months from the date the consolidated financial statements are issued.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86"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Market volatility resulting from the novel coronavirus disease (“COVID-19”) pandemic or other factors could also adversely impact the Company’s ability to access capital when and as needed.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of America (“U.S. GAAP”).</w:t>
      </w:r>
    </w:p>
    <w:p>
      <w:pPr>
        <w:spacing w:after="0" w:line="162"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The Company operates and controls all of the business and affairs of Rani LLC and, through Rani LLC and its subsidiary,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81" w:lineRule="exact"/>
        <w:rPr>
          <w:sz w:val="20"/>
          <w:szCs w:val="20"/>
          <w:color w:val="auto"/>
        </w:rPr>
      </w:pPr>
    </w:p>
    <w:p>
      <w:pPr>
        <w:jc w:val="both"/>
        <w:ind w:right="60" w:firstLine="1018"/>
        <w:spacing w:after="0" w:line="250" w:lineRule="auto"/>
        <w:rPr>
          <w:sz w:val="20"/>
          <w:szCs w:val="20"/>
          <w:color w:val="auto"/>
        </w:rPr>
      </w:pPr>
      <w:r>
        <w:rPr>
          <w:rFonts w:ascii="Times New Roman" w:cs="Times New Roman" w:eastAsia="Times New Roman" w:hAnsi="Times New Roman"/>
          <w:sz w:val="18"/>
          <w:szCs w:val="18"/>
          <w:color w:val="auto"/>
        </w:rPr>
        <w:t>The Organizational Transactions were considered transactions between entities under common control. As a result, the consolidated financial statements for periods prior to the IPO and the Organizational Transactions have been adjusted to combine the previously separate entities for presentation purposes.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16" w:lineRule="exact"/>
        <w:rPr>
          <w:sz w:val="20"/>
          <w:szCs w:val="20"/>
          <w:color w:val="auto"/>
        </w:rPr>
      </w:pPr>
    </w:p>
    <w:p>
      <w:pPr>
        <w:ind w:right="140" w:firstLine="1018"/>
        <w:spacing w:after="0" w:line="242" w:lineRule="auto"/>
        <w:rPr>
          <w:sz w:val="20"/>
          <w:szCs w:val="20"/>
          <w:color w:val="auto"/>
        </w:rPr>
      </w:pPr>
      <w:r>
        <w:rPr>
          <w:rFonts w:ascii="Times New Roman" w:cs="Times New Roman" w:eastAsia="Times New Roman" w:hAnsi="Times New Roman"/>
          <w:sz w:val="18"/>
          <w:szCs w:val="18"/>
          <w:color w:val="auto"/>
        </w:rPr>
        <w:t>The Company consolidates all entities that it controls through a majority voting interest or as the primary beneficiary of a variable interest entity (“VIE”).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The Company’s determination about whether it should consolidate such VIEs is made continuously as changes to existing relationships or future transactions may result in a consolidation event.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ind w:right="660" w:firstLine="1018"/>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liabilities, revenue and expenses and the disclosure of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5" w:name="page116"/>
    <w:bookmarkEnd w:id="115"/>
    <w:p>
      <w:pPr>
        <w:ind w:right="100"/>
        <w:spacing w:after="0" w:line="241" w:lineRule="auto"/>
        <w:rPr>
          <w:sz w:val="20"/>
          <w:szCs w:val="20"/>
          <w:color w:val="auto"/>
        </w:rPr>
      </w:pPr>
      <w:r>
        <w:rPr>
          <w:rFonts w:ascii="Times New Roman" w:cs="Times New Roman" w:eastAsia="Times New Roman" w:hAnsi="Times New Roman"/>
          <w:sz w:val="18"/>
          <w:szCs w:val="18"/>
          <w:color w:val="auto"/>
        </w:rPr>
        <w:t>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Estimates include, but are not limited to, revenue recognition, equity-based compensation expense, accrued research and development costs and, until the occurrence of the Company's IPO, the fair value of Profits Interests and preferred unit warrants. Actual results may differ materially and adversely from these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16" w:lineRule="exact"/>
        <w:rPr>
          <w:sz w:val="20"/>
          <w:szCs w:val="20"/>
          <w:color w:val="auto"/>
        </w:rPr>
      </w:pPr>
    </w:p>
    <w:p>
      <w:pPr>
        <w:ind w:right="440" w:firstLine="1018"/>
        <w:spacing w:after="0" w:line="266" w:lineRule="auto"/>
        <w:rPr>
          <w:sz w:val="20"/>
          <w:szCs w:val="20"/>
          <w:color w:val="auto"/>
        </w:rPr>
      </w:pPr>
      <w:r>
        <w:rPr>
          <w:rFonts w:ascii="Times New Roman" w:cs="Times New Roman" w:eastAsia="Times New Roman" w:hAnsi="Times New Roman"/>
          <w:sz w:val="18"/>
          <w:szCs w:val="18"/>
          <w:color w:val="auto"/>
        </w:rPr>
        <w:t>The Company enters into evaluation arrangements with certain pharmaceutical partners, under which the Company performs evaluation services of the partner’s drug molecules using the RaniPill capsule.</w:t>
      </w:r>
    </w:p>
    <w:p>
      <w:pPr>
        <w:spacing w:after="0" w:line="162"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86"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7"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84" w:lineRule="exact"/>
        <w:rPr>
          <w:sz w:val="20"/>
          <w:szCs w:val="20"/>
          <w:color w:val="auto"/>
        </w:rPr>
      </w:pPr>
    </w:p>
    <w:p>
      <w:pPr>
        <w:jc w:val="both"/>
        <w:ind w:right="220" w:firstLine="1018"/>
        <w:spacing w:after="0" w:line="250" w:lineRule="auto"/>
        <w:rPr>
          <w:sz w:val="20"/>
          <w:szCs w:val="20"/>
          <w:color w:val="auto"/>
        </w:rPr>
      </w:pPr>
      <w:r>
        <w:rPr>
          <w:rFonts w:ascii="Times New Roman" w:cs="Times New Roman" w:eastAsia="Times New Roman" w:hAnsi="Times New Roman"/>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77" w:lineRule="exact"/>
        <w:rPr>
          <w:sz w:val="20"/>
          <w:szCs w:val="20"/>
          <w:color w:val="auto"/>
        </w:rPr>
      </w:pPr>
    </w:p>
    <w:p>
      <w:pPr>
        <w:ind w:right="120" w:firstLine="1018"/>
        <w:spacing w:after="0" w:line="296" w:lineRule="auto"/>
        <w:rPr>
          <w:sz w:val="20"/>
          <w:szCs w:val="20"/>
          <w:color w:val="auto"/>
        </w:rPr>
      </w:pPr>
      <w:r>
        <w:rPr>
          <w:rFonts w:ascii="Times New Roman" w:cs="Times New Roman" w:eastAsia="Times New Roman" w:hAnsi="Times New Roman"/>
          <w:sz w:val="17"/>
          <w:szCs w:val="17"/>
          <w:color w:val="auto"/>
        </w:rPr>
        <w:t>Contract assets are generated when contractual billing schedules differ from revenue recognition timing and the Company records a contract receivable when it has an unconditional right to consideration. No contract assets balance was recorded as of December 31, 2021 or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138430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6" w:name="page117"/>
    <w:bookmarkEnd w:id="116"/>
    <w:p>
      <w:pPr>
        <w:ind w:right="240" w:firstLine="1018"/>
        <w:spacing w:after="0" w:line="250" w:lineRule="auto"/>
        <w:rPr>
          <w:sz w:val="20"/>
          <w:szCs w:val="20"/>
          <w:color w:val="auto"/>
        </w:rPr>
      </w:pPr>
      <w:r>
        <w:rPr>
          <w:rFonts w:ascii="Times New Roman" w:cs="Times New Roman" w:eastAsia="Times New Roman" w:hAnsi="Times New Roman"/>
          <w:sz w:val="18"/>
          <w:szCs w:val="18"/>
          <w:color w:val="auto"/>
        </w:rPr>
        <w:t>Contract liabilities are recorded as deferred revenue when cash payments are received or due in advance of performance or where the Company has unsatisfied performance obligations. As of December 31, 2020, the Company had deferred revenue of $2.7 million. There was no deferred revenue as of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16"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81" w:lineRule="exact"/>
        <w:rPr>
          <w:sz w:val="20"/>
          <w:szCs w:val="20"/>
          <w:color w:val="auto"/>
        </w:rPr>
      </w:pPr>
    </w:p>
    <w:p>
      <w:pPr>
        <w:ind w:right="60" w:firstLine="1018"/>
        <w:spacing w:after="0" w:line="238" w:lineRule="auto"/>
        <w:rPr>
          <w:sz w:val="20"/>
          <w:szCs w:val="20"/>
          <w:color w:val="auto"/>
        </w:rPr>
      </w:pPr>
      <w:r>
        <w:rPr>
          <w:rFonts w:ascii="Times New Roman" w:cs="Times New Roman" w:eastAsia="Times New Roman" w:hAnsi="Times New Roman"/>
          <w:sz w:val="18"/>
          <w:szCs w:val="18"/>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impacted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8" w:lineRule="exact"/>
        <w:rPr>
          <w:sz w:val="20"/>
          <w:szCs w:val="20"/>
          <w:color w:val="auto"/>
        </w:rPr>
      </w:pPr>
    </w:p>
    <w:p>
      <w:pPr>
        <w:ind w:right="60" w:firstLine="1018"/>
        <w:spacing w:after="0" w:line="239" w:lineRule="auto"/>
        <w:rPr>
          <w:sz w:val="20"/>
          <w:szCs w:val="20"/>
          <w:color w:val="auto"/>
        </w:rPr>
      </w:pPr>
      <w:r>
        <w:rPr>
          <w:rFonts w:ascii="Times New Roman" w:cs="Times New Roman" w:eastAsia="Times New Roman" w:hAnsi="Times New Roman"/>
          <w:sz w:val="18"/>
          <w:szCs w:val="18"/>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16" w:lineRule="exact"/>
        <w:rPr>
          <w:sz w:val="20"/>
          <w:szCs w:val="20"/>
          <w:color w:val="auto"/>
        </w:rPr>
      </w:pPr>
    </w:p>
    <w:p>
      <w:pPr>
        <w:jc w:val="both"/>
        <w:ind w:right="120" w:firstLine="1018"/>
        <w:spacing w:after="0" w:line="245" w:lineRule="auto"/>
        <w:rPr>
          <w:sz w:val="20"/>
          <w:szCs w:val="20"/>
          <w:color w:val="auto"/>
        </w:rPr>
      </w:pPr>
      <w:r>
        <w:rPr>
          <w:rFonts w:ascii="Times New Roman" w:cs="Times New Roman" w:eastAsia="Times New Roman" w:hAnsi="Times New Roman"/>
          <w:sz w:val="18"/>
          <w:szCs w:val="18"/>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The Company limits its credit risk associated with cash and cash equivalents by maintaining its bank accounts at major financial institutions.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16" w:lineRule="exact"/>
        <w:rPr>
          <w:sz w:val="20"/>
          <w:szCs w:val="20"/>
          <w:color w:val="auto"/>
        </w:rPr>
      </w:pPr>
    </w:p>
    <w:p>
      <w:pPr>
        <w:ind w:right="80" w:firstLine="1018"/>
        <w:spacing w:after="0" w:line="24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12" w:lineRule="exact"/>
        <w:rPr>
          <w:sz w:val="20"/>
          <w:szCs w:val="20"/>
          <w:color w:val="auto"/>
        </w:rPr>
      </w:pPr>
    </w:p>
    <w:p>
      <w:pPr>
        <w:ind w:left="1020" w:right="40"/>
        <w:spacing w:after="0" w:line="250"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7" w:lineRule="exact"/>
        <w:rPr>
          <w:sz w:val="20"/>
          <w:szCs w:val="20"/>
          <w:color w:val="auto"/>
        </w:rPr>
      </w:pPr>
    </w:p>
    <w:p>
      <w:pPr>
        <w:ind w:left="1020" w:right="280"/>
        <w:spacing w:after="0" w:line="266"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7" w:name="page118"/>
    <w:bookmarkEnd w:id="117"/>
    <w:p>
      <w:pPr>
        <w:jc w:val="both"/>
        <w:ind w:right="20" w:firstLine="1018"/>
        <w:spacing w:after="0" w:line="250" w:lineRule="auto"/>
        <w:rPr>
          <w:sz w:val="20"/>
          <w:szCs w:val="20"/>
          <w:color w:val="auto"/>
        </w:rPr>
      </w:pPr>
      <w:r>
        <w:rPr>
          <w:rFonts w:ascii="Times New Roman" w:cs="Times New Roman" w:eastAsia="Times New Roman" w:hAnsi="Times New Roman"/>
          <w:sz w:val="18"/>
          <w:szCs w:val="18"/>
          <w:color w:val="auto"/>
        </w:rPr>
        <w:t>The carrying values of the Company’s cash equivalents, prepaid expenses, accounts payable, and accruals approximate their fair value due to their short-term nature. The fair value of the Company’s long-term debt approximated its carrying value based on borrowing rates currently available to the Company for debt with similar terms and maturities (Level 2 inputs).</w:t>
      </w:r>
    </w:p>
    <w:p>
      <w:pPr>
        <w:spacing w:after="0" w:line="177"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(Note 3). A financial instrument’s level within the fair value hierarchy is based on the lowest level of any input that is significant to the fair value of the instrument.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16"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the Company's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85" w:lineRule="exact"/>
        <w:rPr>
          <w:sz w:val="20"/>
          <w:szCs w:val="20"/>
          <w:color w:val="auto"/>
        </w:rPr>
      </w:pPr>
    </w:p>
    <w:p>
      <w:pPr>
        <w:ind w:right="140" w:firstLine="1018"/>
        <w:spacing w:after="0" w:line="245" w:lineRule="auto"/>
        <w:rPr>
          <w:sz w:val="20"/>
          <w:szCs w:val="20"/>
          <w:color w:val="auto"/>
        </w:rPr>
      </w:pPr>
      <w:r>
        <w:rPr>
          <w:rFonts w:ascii="Times New Roman" w:cs="Times New Roman" w:eastAsia="Times New Roman" w:hAnsi="Times New Roman"/>
          <w:sz w:val="18"/>
          <w:szCs w:val="18"/>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14" w:lineRule="exact"/>
        <w:rPr>
          <w:sz w:val="20"/>
          <w:szCs w:val="20"/>
          <w:color w:val="auto"/>
        </w:rPr>
      </w:pPr>
    </w:p>
    <w:p>
      <w:pPr>
        <w:ind w:right="20" w:firstLine="1018"/>
        <w:spacing w:after="0" w:line="238" w:lineRule="auto"/>
        <w:rPr>
          <w:sz w:val="20"/>
          <w:szCs w:val="20"/>
          <w:color w:val="auto"/>
        </w:rPr>
      </w:pPr>
      <w:r>
        <w:rPr>
          <w:rFonts w:ascii="Times New Roman" w:cs="Times New Roman" w:eastAsia="Times New Roman" w:hAnsi="Times New Roman"/>
          <w:sz w:val="18"/>
          <w:szCs w:val="18"/>
          <w:color w:val="auto"/>
        </w:rPr>
        <w:t>In July 2021, the Company adopted and its stockholders approved, the Rani Therapeutics Holdings, Inc. 2021 Equity Incentive Plan (the “2021 Plan”). The Company has subsequently granted stock options to purchase shares of its Class A common stock as well as restricted stock units (“RSUs”) and restricted stock awards ("RSAs") from the 2021 Plan to both employees and non-employees. The Company measures stock-based compensation at fair value on the grant date of the award. The fair value of employee and nonemployee RSUs is determined based on the number of shares granted and the closing market price of the Company’s Class A common stock on the date of grant. The fair value of employee RSAs is determined based on the estimated fair value of the Company’s Class A common stock on the grant date and is subject to the Company's reacquisition right which is accounted for as a forfeiture provision (Note 9). For awards that vest subject to the satisfaction of service requirements, compensation expense is measured based on the fair value of the award on the date of grant and expense is recognized on a straight-line basis over the requisite service period. The Company accounts for forfeitures as they occur. Stock-based compensation is classified in the accompanying consolidated statements of operations and comprehensive loss based on the function to which the related services are provided.</w:t>
      </w:r>
    </w:p>
    <w:p>
      <w:pPr>
        <w:spacing w:after="0" w:line="188"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The Company determines the grant-date fair value of options to purchase common shares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Such assumptions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Unit-Based Compensation</w:t>
      </w:r>
    </w:p>
    <w:p>
      <w:pPr>
        <w:spacing w:after="0" w:line="214"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Prior to the IPO, Rani LLC had granted equity-based awards to employees, members of the Board of Managers and nonemployees, including ICL employees and consultants, in the form of non-vested incentive units (“Profits Interests”) and/or options to purchase common units. All awards of Profits Interests and options to purchase common units were measured based on the estimated fair value of the award on the date of grant. Forfeitures were recognized when they occurred. All of the Profits Interests were subject to service and performance-based conditions and the Company evaluated the probability of achieving each performance-based condition at each reporting date and recognized equity-based compensation expense for employee and consultant awards and distributions of equity for ICL employee awards in the consolidated financial statements when it was deemed probable that the performance-based condition would be met using the accelerated attribution method over the requisite service period. The options to purchase common units were subject to service conditions and generally vested over three or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18" w:name="page119"/>
    <w:bookmarkEnd w:id="118"/>
    <w:p>
      <w:pPr>
        <w:ind w:firstLine="1018"/>
        <w:spacing w:after="0" w:line="239" w:lineRule="auto"/>
        <w:rPr>
          <w:sz w:val="20"/>
          <w:szCs w:val="20"/>
          <w:color w:val="auto"/>
        </w:rPr>
      </w:pPr>
      <w:r>
        <w:rPr>
          <w:rFonts w:ascii="Times New Roman" w:cs="Times New Roman" w:eastAsia="Times New Roman" w:hAnsi="Times New Roman"/>
          <w:sz w:val="18"/>
          <w:szCs w:val="18"/>
          <w:color w:val="auto"/>
        </w:rPr>
        <w:t xml:space="preserve">The Company utilized estimates and assumptions in determining the fair value of its Profits Interests and options to purchase common units on the date of grant. The Company utilized various valuation methodologies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 Held Company Equity Securities Issued as Compensation</w:t>
      </w:r>
      <w:r>
        <w:rPr>
          <w:rFonts w:ascii="Times New Roman" w:cs="Times New Roman" w:eastAsia="Times New Roman" w:hAnsi="Times New Roman"/>
          <w:sz w:val="18"/>
          <w:szCs w:val="18"/>
          <w:color w:val="auto"/>
        </w:rPr>
        <w:t>, to estimate the fair value of its preferred units, common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Rani LLC sold preferred units, the superior rights, and preferences of the preferred units senior to Rani LLC’s common units at the time, and a discount for the lack of marketability. Changes to the key assumptions used in the valuations could result in different fair values at each valuation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The Company is the managing member of Rani LLC and, as a result, consolidates the financial results of Rani LLC and its taxable subsidiary RMS in the consolidated financial statements. 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the it, based on the its economic interest in Rani LLC. The Company's tax provision also includes the activity of RMS, which is taxed as a corporation for United States federal and state income tax purposes.</w:t>
      </w:r>
    </w:p>
    <w:p>
      <w:pPr>
        <w:spacing w:after="0" w:line="185" w:lineRule="exact"/>
        <w:rPr>
          <w:sz w:val="20"/>
          <w:szCs w:val="20"/>
          <w:color w:val="auto"/>
        </w:rPr>
      </w:pPr>
    </w:p>
    <w:p>
      <w:pPr>
        <w:ind w:right="20" w:firstLine="1018"/>
        <w:spacing w:after="0" w:line="239"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of accounting. Current income tax expense or benefit represents the amount of income taxes expected to be payable or refundable for the current year. The Company recognizes deferred tax assets and liabilities for the future tax consequences attributable to differences between the financial statement carrying amounts of existing assets and liabilities and their respective tax bases, as well as for operating loss and tax credit carryforwards.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w:t>
      </w:r>
    </w:p>
    <w:p>
      <w:pPr>
        <w:spacing w:after="0" w:line="187"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7"/>
          <w:szCs w:val="17"/>
          <w:color w:val="auto"/>
        </w:rPr>
        <w:t>The Company’s tax positions are subject to income tax audits.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income tax expense in the accompanying consolidated statements of operations and comprehensive loss. No such interest and penalties were recognized for any period presented.</w:t>
      </w:r>
    </w:p>
    <w:p>
      <w:pPr>
        <w:spacing w:after="0" w:line="170" w:lineRule="exact"/>
        <w:rPr>
          <w:sz w:val="20"/>
          <w:szCs w:val="20"/>
          <w:color w:val="auto"/>
        </w:rPr>
      </w:pPr>
    </w:p>
    <w:p>
      <w:pPr>
        <w:ind w:right="460" w:firstLine="1018"/>
        <w:spacing w:after="0" w:line="242" w:lineRule="auto"/>
        <w:rPr>
          <w:sz w:val="20"/>
          <w:szCs w:val="20"/>
          <w:color w:val="auto"/>
        </w:rPr>
      </w:pPr>
      <w:r>
        <w:rPr>
          <w:rFonts w:ascii="Times New Roman" w:cs="Times New Roman" w:eastAsia="Times New Roman" w:hAnsi="Times New Roman"/>
          <w:sz w:val="18"/>
          <w:szCs w:val="18"/>
          <w:color w:val="auto"/>
        </w:rPr>
        <w:t>In March 2020, the United States enacted the Families First Coronavirus Response Act (“FFCR Act”) and Coronavirus Aid, Relief and Economic Security Act (the "CARES Act"). The CARES Act is an emergency economic stimulus package that includes spending and tax breaks to strengthen the United States economy and fund a nationwide effort to curtail the effect of COVID-19. While the CARES Act provides sweeping tax changes in response to the COVID-19 pandemic, there was no material impact from the related income tax provisions on the Company's consolidated financial statements for each of the years ended December 31, 2021 and 2020.</w:t>
      </w:r>
    </w:p>
    <w:p>
      <w:pPr>
        <w:spacing w:after="0" w:line="185"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In December 2020, the United States enacted the Consolidated Appropriations Act, 2021 (the "Appropriations Act"). Included in the tax provisions are a number of items directly related to COVID-19 relief such as a provision allowing recipients of PPP loans to deduct associated costs and an extension and significant expansion of the employee retention credit originally enacted in the CARES Act. There was no material impact from the provisions of the Appropriations Act in 2020. With respect to PPP loan, while the expenses are deductible for United States income tax purposes, they are not currently deductible for California income tax purposes as of the date of the financial statements.</w:t>
      </w:r>
    </w:p>
    <w:p>
      <w:pPr>
        <w:spacing w:after="0" w:line="185" w:lineRule="exact"/>
        <w:rPr>
          <w:sz w:val="20"/>
          <w:szCs w:val="20"/>
          <w:color w:val="auto"/>
        </w:rPr>
      </w:pPr>
    </w:p>
    <w:p>
      <w:pPr>
        <w:ind w:right="200" w:firstLine="1018"/>
        <w:spacing w:after="0" w:line="250" w:lineRule="auto"/>
        <w:rPr>
          <w:sz w:val="20"/>
          <w:szCs w:val="20"/>
          <w:color w:val="auto"/>
        </w:rPr>
      </w:pPr>
      <w:r>
        <w:rPr>
          <w:rFonts w:ascii="Times New Roman" w:cs="Times New Roman" w:eastAsia="Times New Roman" w:hAnsi="Times New Roman"/>
          <w:sz w:val="18"/>
          <w:szCs w:val="18"/>
          <w:color w:val="auto"/>
        </w:rPr>
        <w:t>In June 2020, the state of California enacted Assembly Bill No. 85 (“AB 85”) suspending California net operating loss utilization and imposing a cap on the amount of business incentive tax credits companies can utilize, effective for tax years 2020, 2021 and 2022. There was no material impact from the provisions of AB 85 on the Company's consolidated financial statements for each of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9" w:name="page120"/>
    <w:bookmarkEnd w:id="119"/>
    <w:p>
      <w:pPr>
        <w:ind w:firstLine="1018"/>
        <w:spacing w:after="0" w:line="250" w:lineRule="auto"/>
        <w:rPr>
          <w:sz w:val="20"/>
          <w:szCs w:val="20"/>
          <w:color w:val="auto"/>
        </w:rPr>
      </w:pPr>
      <w:r>
        <w:rPr>
          <w:rFonts w:ascii="Times New Roman" w:cs="Times New Roman" w:eastAsia="Times New Roman" w:hAnsi="Times New Roman"/>
          <w:sz w:val="18"/>
          <w:szCs w:val="18"/>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 There was no material impact from the provisions of H.R. 1319 on the Company's consolidated financial statements for the year ended December 31,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and (b) payments under the TRA and (ii) certain other benefits arising from payments under the TRA (collectively the “Tax Attributes”).</w:t>
      </w:r>
    </w:p>
    <w:p>
      <w:pPr>
        <w:spacing w:after="0" w:line="185"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A liability for the payable to parties subject to the TRA, and a reduction to stockholders’ equity, is accrued when (i) an exchange of a Paired Interest has occurred and (ii) when it is deemed probable that the Tax Attributes associated with the exchange will be used to reduce the Company’s taxable income based on the contractual percentage of the benefit of Tax Attributes that the Company expects to receive over a period of time.</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 exchanges of Paired Interests had occurred through December 31, 2021 and therefore no liability had been incurred for the TRA.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16" w:lineRule="exact"/>
        <w:rPr>
          <w:sz w:val="20"/>
          <w:szCs w:val="20"/>
          <w:color w:val="auto"/>
        </w:rPr>
      </w:pPr>
    </w:p>
    <w:p>
      <w:pPr>
        <w:jc w:val="both"/>
        <w:ind w:right="280" w:firstLine="1018"/>
        <w:spacing w:after="0" w:line="250" w:lineRule="auto"/>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16"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Non-controlling interest ("NCI") represents the portion of income or loss, net assets and comprehensive loss of Rani LLC that is not allocable to the Company based on the Company's percentage of ownership of Rani LLC.</w:t>
      </w:r>
    </w:p>
    <w:p>
      <w:pPr>
        <w:spacing w:after="0" w:line="162"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In August 2021, based on the Organizational Transactions, the Company became the sole managing member of Rani LLC. As of December 31, 2021, the Company held approximately 39% of the Class A Units of Rani LLC, and approximately 61% of the outstanding Class A Units of Rani LLC are held by the Continuing LLC Owners. Therefore, the Company reports NCI based on the Class A Units of Rani LLC held by the Continuing LLC Owners on its consolidated balance sheet as of December 31, 2021. Income or loss attributed to the NCI in Rani LLC is based on the Class A Units outstanding during the period for which the income or loss is generated and is presented on the consolidated statements of operations and comprehensive income or loss.</w:t>
      </w:r>
    </w:p>
    <w:p>
      <w:pPr>
        <w:spacing w:after="0" w:line="184" w:lineRule="exact"/>
        <w:rPr>
          <w:sz w:val="20"/>
          <w:szCs w:val="20"/>
          <w:color w:val="auto"/>
        </w:rPr>
      </w:pPr>
    </w:p>
    <w:p>
      <w:pPr>
        <w:ind w:right="160" w:firstLine="1018"/>
        <w:spacing w:after="0" w:line="245" w:lineRule="auto"/>
        <w:rPr>
          <w:sz w:val="20"/>
          <w:szCs w:val="20"/>
          <w:color w:val="auto"/>
        </w:rPr>
      </w:pPr>
      <w:r>
        <w:rPr>
          <w:rFonts w:ascii="Times New Roman" w:cs="Times New Roman" w:eastAsia="Times New Roman" w:hAnsi="Times New Roman"/>
          <w:sz w:val="18"/>
          <w:szCs w:val="18"/>
          <w:color w:val="auto"/>
        </w:rPr>
        <w:t>Future exchanges of Paired Interests and certain Class A Units of Rani LLC without corresponding shares of the Company’s Class B common stock will result in a change in ownership and reduce or increase the amount recorded as NCI and increase or decrease additional paid-in-capital when Rani LLC has positive or negative net assets, respectively. From the date of the Organizational Transactions to December 31, 2021, there were no exchanges of Paired Interests nor certain Class A Units of Rani LLC without corresponding shares of Company's Class B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16" w:lineRule="exact"/>
        <w:rPr>
          <w:sz w:val="20"/>
          <w:szCs w:val="20"/>
          <w:color w:val="auto"/>
        </w:rPr>
      </w:pPr>
    </w:p>
    <w:p>
      <w:pPr>
        <w:ind w:right="20" w:firstLine="1018"/>
        <w:spacing w:after="0"/>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and amortization calculated using the straight-line method over the estimated useful lives of the assets, generally between three and five years. Leasehold improvements are amortized over the shorter of the related lease term or useful life. Maintenance and repairs are charged to operations when incurred, while betterments or renewals are capitalized. When property and equipment are sold or otherwise disposed of, the asset account and related accumulated depreciation and amortization accounts are relieved, and any gain or loss is included in the results of operations. Construction-in-progress consists of production equipment that will be used to scale-up the manufacturing of the RaniPill capsule for clinical trials and that has been determined to have an alternative future use. Construction-in-progress is stated at cost and does not begin to depreciate until it is put into production.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16" w:lineRule="exact"/>
        <w:rPr>
          <w:sz w:val="20"/>
          <w:szCs w:val="20"/>
          <w:color w:val="auto"/>
        </w:rPr>
      </w:pPr>
    </w:p>
    <w:p>
      <w:pPr>
        <w:ind w:right="280" w:firstLine="1018"/>
        <w:spacing w:after="0" w:line="266" w:lineRule="auto"/>
        <w:rPr>
          <w:sz w:val="20"/>
          <w:szCs w:val="20"/>
          <w:color w:val="auto"/>
        </w:rPr>
      </w:pPr>
      <w:r>
        <w:rPr>
          <w:rFonts w:ascii="Times New Roman" w:cs="Times New Roman" w:eastAsia="Times New Roman" w:hAnsi="Times New Roman"/>
          <w:sz w:val="18"/>
          <w:szCs w:val="18"/>
          <w:color w:val="auto"/>
        </w:rPr>
        <w:t>The Company reviews the carrying amounts of its long-lived assets for impairment whenever events or changes in circumstances indicate that the carrying amount of an asset (or asset group) may not be recoverable. If indicators of impairment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0" w:name="page121"/>
    <w:bookmarkEnd w:id="120"/>
    <w:p>
      <w:pPr>
        <w:spacing w:after="0" w:line="242" w:lineRule="auto"/>
        <w:rPr>
          <w:sz w:val="20"/>
          <w:szCs w:val="20"/>
          <w:color w:val="auto"/>
        </w:rPr>
      </w:pPr>
      <w:r>
        <w:rPr>
          <w:rFonts w:ascii="Times New Roman" w:cs="Times New Roman" w:eastAsia="Times New Roman" w:hAnsi="Times New Roman"/>
          <w:sz w:val="18"/>
          <w:szCs w:val="18"/>
          <w:color w:val="auto"/>
        </w:rPr>
        <w:t>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Note Receivable</w:t>
      </w:r>
    </w:p>
    <w:p>
      <w:pPr>
        <w:spacing w:after="0" w:line="216"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The principal balance on the related party note receivable is recorded on the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 receivable is recorded as a component of interest income in the consolidated statement of operations and comprehensive loss. Associated interest earned is recognized using the effective interest method. The estimated fair value of the Company’s related party note receivable at December 31, 2020, approximated its carrying value due to its short-term nature. In March 2021, the related party repaid in full the $1.7 million of principal and interest related to the note receivable.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Units</w:t>
      </w:r>
    </w:p>
    <w:p>
      <w:pPr>
        <w:spacing w:after="0" w:line="216"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The Company records convertible preferred units at fair value on the dates of issuance, net of issuance costs. The Company has classified convertible preferred units as temporary equity in the accompanying consolidated balance sheets due to terms that allow for redemption of the units in cash upon certain change in control events that are not within the Company’s control, including the sale or transfer of the Company.</w:t>
      </w:r>
    </w:p>
    <w:p>
      <w:pPr>
        <w:spacing w:after="0" w:line="177"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w:t>
      </w:r>
    </w:p>
    <w:p>
      <w:pPr>
        <w:spacing w:after="0" w:line="177" w:lineRule="exact"/>
        <w:rPr>
          <w:sz w:val="20"/>
          <w:szCs w:val="20"/>
          <w:color w:val="auto"/>
        </w:rPr>
      </w:pPr>
    </w:p>
    <w:p>
      <w:pPr>
        <w:ind w:right="40" w:firstLine="1018"/>
        <w:spacing w:after="0" w:line="266" w:lineRule="auto"/>
        <w:rPr>
          <w:sz w:val="20"/>
          <w:szCs w:val="20"/>
          <w:color w:val="auto"/>
        </w:rPr>
      </w:pPr>
      <w:r>
        <w:rPr>
          <w:rFonts w:ascii="Times New Roman" w:cs="Times New Roman" w:eastAsia="Times New Roman" w:hAnsi="Times New Roman"/>
          <w:sz w:val="18"/>
          <w:szCs w:val="18"/>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Unit Warrant Liability</w:t>
      </w:r>
    </w:p>
    <w:p>
      <w:pPr>
        <w:spacing w:after="0" w:line="216" w:lineRule="exact"/>
        <w:rPr>
          <w:sz w:val="20"/>
          <w:szCs w:val="20"/>
          <w:color w:val="auto"/>
        </w:rPr>
      </w:pPr>
    </w:p>
    <w:p>
      <w:pPr>
        <w:ind w:right="120" w:firstLine="1018"/>
        <w:spacing w:after="0"/>
        <w:rPr>
          <w:sz w:val="20"/>
          <w:szCs w:val="20"/>
          <w:color w:val="auto"/>
        </w:rPr>
      </w:pPr>
      <w:r>
        <w:rPr>
          <w:rFonts w:ascii="Times New Roman" w:cs="Times New Roman" w:eastAsia="Times New Roman" w:hAnsi="Times New Roman"/>
          <w:sz w:val="18"/>
          <w:szCs w:val="18"/>
          <w:color w:val="auto"/>
        </w:rPr>
        <w:t>Outstanding warrants to purchase preferred units of the Company were classified as liabilities in the accompanying consolidated balance sheets due to a contingent redemption right of the holder of the preferred unit warrants that is outside of the control of the Company that precluded equity classification. Such preferred unit warrants were subject to re-measurement at the end of each reporting period until they were settled in July 2021. The Company estimated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was revalued and reclassified to members’ deficit upon the completion of the Company’s IPO.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Class A Common Share Attributable to Rani Holdings</w:t>
      </w:r>
    </w:p>
    <w:p>
      <w:pPr>
        <w:spacing w:after="0" w:line="216" w:lineRule="exact"/>
        <w:rPr>
          <w:sz w:val="20"/>
          <w:szCs w:val="20"/>
          <w:color w:val="auto"/>
        </w:rPr>
      </w:pPr>
    </w:p>
    <w:p>
      <w:pPr>
        <w:ind w:right="40" w:firstLine="1018"/>
        <w:spacing w:after="0" w:line="238" w:lineRule="auto"/>
        <w:rPr>
          <w:sz w:val="20"/>
          <w:szCs w:val="20"/>
          <w:color w:val="auto"/>
        </w:rPr>
      </w:pPr>
      <w:r>
        <w:rPr>
          <w:rFonts w:ascii="Times New Roman" w:cs="Times New Roman" w:eastAsia="Times New Roman" w:hAnsi="Times New Roman"/>
          <w:sz w:val="18"/>
          <w:szCs w:val="18"/>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 Net loss per share is not presented for the year ended December 31, 2020 as the Company did not have any economic interests prior to the date of the IPO and Organizational Transactions through which it was given ownership in Rani LLC. Losses prior to the IPO and Organizational Transactions would have been allocated to the original members of Rani LLC. The basic and diluted net loss per Class A common share attributable to Rani Holdings for the year ended December 31, 2021 is applicable only for the period from August 4, 2021 to December 31, 2021, which is the period following the IPO and Organizational Transactions and represents the period that the Company had Class A common shares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16" w:lineRule="exact"/>
        <w:rPr>
          <w:sz w:val="20"/>
          <w:szCs w:val="20"/>
          <w:color w:val="auto"/>
        </w:rPr>
      </w:pPr>
    </w:p>
    <w:p>
      <w:pPr>
        <w:ind w:right="420" w:firstLine="1018"/>
        <w:spacing w:after="0" w:line="26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1" w:name="page122"/>
    <w:bookmarkEnd w:id="121"/>
    <w:p>
      <w:pPr>
        <w:ind w:right="220"/>
        <w:spacing w:after="0" w:line="242" w:lineRule="auto"/>
        <w:rPr>
          <w:sz w:val="20"/>
          <w:szCs w:val="20"/>
          <w:color w:val="auto"/>
        </w:rPr>
      </w:pPr>
      <w:r>
        <w:rPr>
          <w:rFonts w:ascii="Times New Roman" w:cs="Times New Roman" w:eastAsia="Times New Roman" w:hAnsi="Times New Roman"/>
          <w:sz w:val="18"/>
          <w:szCs w:val="18"/>
          <w:color w:val="auto"/>
        </w:rPr>
        <w:t>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14" w:lineRule="exact"/>
        <w:rPr>
          <w:sz w:val="20"/>
          <w:szCs w:val="20"/>
          <w:color w:val="auto"/>
        </w:rPr>
      </w:pPr>
    </w:p>
    <w:p>
      <w:pPr>
        <w:ind w:firstLine="1018"/>
        <w:spacing w:after="0" w:line="237"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 subsequently amended, to improve financial reporting and disclosures about leasing transactions. Topic 842 requires companies that lease assets to recognize on the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consolidated balance sheet. Topic 842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The Company plans to adopt this standard using the modified retrospective approach with a cumulative effect adjustment to accumulated deficit at the beginning of the period of adoption. The Company will also adopt certain practical expedients provided by Topic 842. As a result of the Company having elected the extended transition period for complying with new or revised accounting standards pursuant to Section 107(b) of the JOBS Act Topic 842 was effective for the Company on January 1, 2022. The Company is in the process of evaluating the effects of Topic 842 on its consolidated financial statements but does not expect the adoption of Topic 842 will have a material impact on the Company’s consolidated financial statements and related notes to the recognition of right of use assets and lease liabilities on the Company’s consolidated balance sheets or on the Company’s consolidated statement of income. The adoption of Topic 842 will also result in enhanced disclosures.</w:t>
      </w:r>
    </w:p>
    <w:p>
      <w:pPr>
        <w:spacing w:after="0" w:line="189"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consolidated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1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4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115,595</w:t>
            </w:r>
          </w:p>
        </w:tc>
        <w:tc>
          <w:tcPr>
            <w:tcW w:w="360" w:type="dxa"/>
            <w:vAlign w:val="bottom"/>
            <w:gridSpan w:val="2"/>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579"/>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115,595</w:t>
            </w:r>
          </w:p>
        </w:tc>
      </w:tr>
      <w:tr>
        <w:trPr>
          <w:trHeight w:val="236"/>
        </w:trPr>
        <w:tc>
          <w:tcPr>
            <w:tcW w:w="464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115,595</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115,595</w:t>
            </w:r>
          </w:p>
        </w:tc>
      </w:tr>
      <w:tr>
        <w:trPr>
          <w:trHeight w:val="347"/>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tcBorders>
              <w:right w:val="single" w:sz="8" w:color="CFF0FC"/>
            </w:tcBorders>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71,666</w:t>
            </w:r>
          </w:p>
        </w:tc>
        <w:tc>
          <w:tcPr>
            <w:tcW w:w="360" w:type="dxa"/>
            <w:vAlign w:val="bottom"/>
            <w:gridSpan w:val="2"/>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579"/>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71,666</w:t>
            </w:r>
          </w:p>
        </w:tc>
      </w:tr>
      <w:tr>
        <w:trPr>
          <w:trHeight w:val="236"/>
        </w:trPr>
        <w:tc>
          <w:tcPr>
            <w:tcW w:w="464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71,666</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ind w:right="5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71,666</w:t>
            </w:r>
          </w:p>
        </w:tc>
      </w:tr>
      <w:tr>
        <w:trPr>
          <w:trHeight w:val="183"/>
        </w:trPr>
        <w:tc>
          <w:tcPr>
            <w:tcW w:w="4640" w:type="dxa"/>
            <w:vAlign w:val="bottom"/>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Preferred unit warrant liability</w:t>
            </w:r>
          </w:p>
        </w:tc>
        <w:tc>
          <w:tcPr>
            <w:tcW w:w="22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66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FF0FC"/>
          </w:tcPr>
          <w:p>
            <w:pPr>
              <w:jc w:val="right"/>
              <w:ind w:right="579"/>
              <w:spacing w:after="0" w:line="20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320</w:t>
            </w:r>
          </w:p>
        </w:tc>
        <w:tc>
          <w:tcPr>
            <w:tcW w:w="400" w:type="dxa"/>
            <w:vAlign w:val="bottom"/>
            <w:gridSpan w:val="2"/>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320</w:t>
            </w:r>
          </w:p>
        </w:tc>
      </w:tr>
      <w:tr>
        <w:trPr>
          <w:trHeight w:val="20"/>
        </w:trPr>
        <w:tc>
          <w:tcPr>
            <w:tcW w:w="4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46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ind w:right="579"/>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320</w:t>
            </w:r>
          </w:p>
        </w:tc>
        <w:tc>
          <w:tcPr>
            <w:tcW w:w="40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r>
      <w:tr>
        <w:trPr>
          <w:trHeight w:val="20"/>
        </w:trPr>
        <w:tc>
          <w:tcPr>
            <w:tcW w:w="4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-1224915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-1207770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-1224915</wp:posOffset>
            </wp:positionV>
            <wp:extent cx="431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-1207770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-1224915</wp:posOffset>
            </wp:positionV>
            <wp:extent cx="431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-1207770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-1224915</wp:posOffset>
            </wp:positionV>
            <wp:extent cx="342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-1207770</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-445135</wp:posOffset>
            </wp:positionV>
            <wp:extent cx="43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-427990</wp:posOffset>
            </wp:positionV>
            <wp:extent cx="43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-445135</wp:posOffset>
            </wp:positionV>
            <wp:extent cx="431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-427990</wp:posOffset>
            </wp:positionV>
            <wp:extent cx="431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-445135</wp:posOffset>
            </wp:positionV>
            <wp:extent cx="431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-427990</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-445135</wp:posOffset>
            </wp:positionV>
            <wp:extent cx="342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-427990</wp:posOffset>
            </wp:positionV>
            <wp:extent cx="342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-159385</wp:posOffset>
            </wp:positionV>
            <wp:extent cx="431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-159385</wp:posOffset>
            </wp:positionV>
            <wp:extent cx="431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-159385</wp:posOffset>
            </wp:positionV>
            <wp:extent cx="431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-159385</wp:posOffset>
            </wp:positionV>
            <wp:extent cx="342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financial liabilities measured at fair value on a recurring basis as of December 31, 2021.</w:t>
      </w:r>
    </w:p>
    <w:p>
      <w:pPr>
        <w:spacing w:after="0" w:line="239" w:lineRule="exact"/>
        <w:rPr>
          <w:sz w:val="20"/>
          <w:szCs w:val="20"/>
          <w:color w:val="auto"/>
        </w:rPr>
      </w:pPr>
    </w:p>
    <w:p>
      <w:pPr>
        <w:ind w:right="560" w:firstLine="1018"/>
        <w:spacing w:after="0" w:line="266" w:lineRule="auto"/>
        <w:rPr>
          <w:sz w:val="20"/>
          <w:szCs w:val="20"/>
          <w:color w:val="auto"/>
        </w:rPr>
      </w:pPr>
      <w:r>
        <w:rPr>
          <w:rFonts w:ascii="Times New Roman" w:cs="Times New Roman" w:eastAsia="Times New Roman" w:hAnsi="Times New Roman"/>
          <w:sz w:val="18"/>
          <w:szCs w:val="18"/>
          <w:color w:val="auto"/>
        </w:rPr>
        <w:t>Money market funds are highly liquid and actively traded marketable securities that generally transact at a stable $1.00 net asset value representing its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2" w:name="page123"/>
    <w:bookmarkEnd w:id="122"/>
    <w:p>
      <w:pPr>
        <w:ind w:left="10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for any of the periods presented.</w:t>
      </w:r>
    </w:p>
    <w:p>
      <w:pPr>
        <w:spacing w:after="0" w:line="239" w:lineRule="exact"/>
        <w:rPr>
          <w:sz w:val="20"/>
          <w:szCs w:val="20"/>
          <w:color w:val="auto"/>
        </w:rPr>
      </w:pPr>
    </w:p>
    <w:p>
      <w:pPr>
        <w:ind w:right="120" w:firstLine="1018"/>
        <w:spacing w:after="0" w:line="296" w:lineRule="auto"/>
        <w:rPr>
          <w:sz w:val="20"/>
          <w:szCs w:val="20"/>
          <w:color w:val="auto"/>
        </w:rPr>
      </w:pPr>
      <w:r>
        <w:rPr>
          <w:rFonts w:ascii="Times New Roman" w:cs="Times New Roman" w:eastAsia="Times New Roman" w:hAnsi="Times New Roman"/>
          <w:sz w:val="17"/>
          <w:szCs w:val="17"/>
          <w:color w:val="auto"/>
        </w:rPr>
        <w:t>The Company held a Level 3 liability associated with preferred unit warrants that were issued in conjunction with a loan and security Agreement (Note 11). These preferred unit warrants were settled with Class A common stock as part of the IPO and Organizational Transactions (Note 7).</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Company’s liability measured using Level 3 inputs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22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6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FF0FC"/>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Issuance of Series E warrants</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gridSpan w:val="3"/>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Change in estimated fair value of Series B warrants</w:t>
            </w: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Change in estimated fair value of Series E warrants</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860" w:type="dxa"/>
            <w:vAlign w:val="bottom"/>
          </w:tcPr>
          <w:p>
            <w:pPr>
              <w:spacing w:after="0"/>
              <w:rPr>
                <w:sz w:val="17"/>
                <w:szCs w:val="17"/>
                <w:color w:val="auto"/>
              </w:rPr>
            </w:pPr>
          </w:p>
        </w:tc>
        <w:tc>
          <w:tcPr>
            <w:tcW w:w="63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Settlement of Series B warrants</w:t>
            </w: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780" w:type="dxa"/>
            <w:vAlign w:val="bottom"/>
            <w:gridSpan w:val="3"/>
            <w:shd w:val="clear" w:color="auto" w:fill="CFF0FC"/>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(718 )</w:t>
            </w:r>
          </w:p>
        </w:tc>
      </w:tr>
      <w:tr>
        <w:trPr>
          <w:trHeight w:val="203"/>
        </w:trPr>
        <w:tc>
          <w:tcPr>
            <w:tcW w:w="8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Settlement of Series E warrants</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gridSpan w:val="3"/>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(691 )</w:t>
            </w:r>
          </w:p>
        </w:tc>
        <w:tc>
          <w:tcPr>
            <w:tcW w:w="42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36"/>
        </w:trPr>
        <w:tc>
          <w:tcPr>
            <w:tcW w:w="860" w:type="dxa"/>
            <w:vAlign w:val="bottom"/>
          </w:tcPr>
          <w:p>
            <w:pPr>
              <w:spacing w:after="0"/>
              <w:rPr>
                <w:sz w:val="20"/>
                <w:szCs w:val="20"/>
                <w:color w:val="auto"/>
              </w:rPr>
            </w:pPr>
          </w:p>
        </w:tc>
        <w:tc>
          <w:tcPr>
            <w:tcW w:w="63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40"/>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860" w:type="dxa"/>
            <w:vAlign w:val="bottom"/>
          </w:tcPr>
          <w:p>
            <w:pPr>
              <w:spacing w:after="0"/>
              <w:rPr>
                <w:sz w:val="24"/>
                <w:szCs w:val="24"/>
                <w:color w:val="auto"/>
              </w:rPr>
            </w:pPr>
          </w:p>
        </w:tc>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 consist of the following (in thousands):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6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Laboratory equipment</w:t>
            </w:r>
          </w:p>
        </w:tc>
        <w:tc>
          <w:tcPr>
            <w:tcW w:w="900" w:type="dxa"/>
            <w:vAlign w:val="bottom"/>
            <w:gridSpan w:val="2"/>
            <w:shd w:val="clear" w:color="auto" w:fill="CFF0FC"/>
          </w:tcPr>
          <w:p>
            <w:pPr>
              <w:jc w:val="right"/>
              <w:ind w:right="7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1,734</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FF0FC"/>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1,233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Software</w:t>
            </w: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7"/>
                <w:szCs w:val="17"/>
                <w:color w:val="auto"/>
              </w:rPr>
            </w:pPr>
          </w:p>
        </w:tc>
      </w:tr>
      <w:tr>
        <w:trPr>
          <w:trHeight w:val="202"/>
        </w:trPr>
        <w:tc>
          <w:tcPr>
            <w:tcW w:w="8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Office equipment</w:t>
            </w: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63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3,069</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gridSpan w:val="3"/>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(2,331 )</w:t>
            </w:r>
          </w:p>
        </w:tc>
        <w:tc>
          <w:tcPr>
            <w:tcW w:w="42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(1,834 )</w:t>
            </w:r>
          </w:p>
        </w:tc>
      </w:tr>
      <w:tr>
        <w:trPr>
          <w:trHeight w:val="196"/>
        </w:trPr>
        <w:tc>
          <w:tcPr>
            <w:tcW w:w="860" w:type="dxa"/>
            <w:vAlign w:val="bottom"/>
          </w:tcPr>
          <w:p>
            <w:pPr>
              <w:spacing w:after="0"/>
              <w:rPr>
                <w:sz w:val="17"/>
                <w:szCs w:val="17"/>
                <w:color w:val="auto"/>
              </w:rPr>
            </w:pPr>
          </w:p>
        </w:tc>
        <w:tc>
          <w:tcPr>
            <w:tcW w:w="63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738</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FF0FC"/>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Construction-in-progress</w:t>
            </w:r>
          </w:p>
        </w:tc>
        <w:tc>
          <w:tcPr>
            <w:tcW w:w="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3,874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17"/>
                <w:szCs w:val="17"/>
                <w:color w:val="auto"/>
              </w:rPr>
            </w:pPr>
          </w:p>
        </w:tc>
      </w:tr>
      <w:tr>
        <w:trPr>
          <w:trHeight w:val="236"/>
        </w:trPr>
        <w:tc>
          <w:tcPr>
            <w:tcW w:w="860" w:type="dxa"/>
            <w:vAlign w:val="bottom"/>
          </w:tcPr>
          <w:p>
            <w:pPr>
              <w:spacing w:after="0"/>
              <w:rPr>
                <w:sz w:val="20"/>
                <w:szCs w:val="20"/>
                <w:color w:val="auto"/>
              </w:rPr>
            </w:pPr>
          </w:p>
        </w:tc>
        <w:tc>
          <w:tcPr>
            <w:tcW w:w="63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900" w:type="dxa"/>
            <w:vAlign w:val="bottom"/>
            <w:tcBorders>
              <w:bottom w:val="single" w:sz="8" w:color="auto"/>
            </w:tcBorders>
            <w:gridSpan w:val="2"/>
            <w:shd w:val="clear" w:color="auto" w:fill="CFF0FC"/>
          </w:tcPr>
          <w:p>
            <w:pPr>
              <w:jc w:val="right"/>
              <w:ind w:right="7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4,612</w:t>
            </w:r>
          </w:p>
        </w:tc>
        <w:tc>
          <w:tcPr>
            <w:tcW w:w="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-2442845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-2425065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-2442845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-2425065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140" w:firstLine="1018"/>
        <w:spacing w:after="0" w:line="250" w:lineRule="auto"/>
        <w:rPr>
          <w:sz w:val="20"/>
          <w:szCs w:val="20"/>
          <w:color w:val="auto"/>
        </w:rPr>
      </w:pPr>
      <w:r>
        <w:rPr>
          <w:rFonts w:ascii="Times New Roman" w:cs="Times New Roman" w:eastAsia="Times New Roman" w:hAnsi="Times New Roman"/>
          <w:sz w:val="18"/>
          <w:szCs w:val="18"/>
          <w:color w:val="auto"/>
        </w:rPr>
        <w:t>Depreciation and amortization expense totaled approximately $0.5 million and $0.6 million for the years ended December 31, 2021 and 2020, respectively. As of December 31, 2021 and 2020, all of the Company’s property and equipment was located in the United States, with the exception of $3.5 million, respectively, of construction-in-progress that is located in Germany at a third-party manufacturing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840" w:type="dxa"/>
            <w:vAlign w:val="bottom"/>
          </w:tcPr>
          <w:p>
            <w:pPr>
              <w:spacing w:after="0"/>
              <w:rPr>
                <w:sz w:val="16"/>
                <w:szCs w:val="16"/>
                <w:color w:val="auto"/>
              </w:rPr>
            </w:pPr>
          </w:p>
        </w:tc>
      </w:tr>
      <w:tr>
        <w:trPr>
          <w:trHeight w:val="169"/>
        </w:trPr>
        <w:tc>
          <w:tcPr>
            <w:tcW w:w="8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64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Accrued clinical trial costs</w:t>
            </w:r>
          </w:p>
        </w:tc>
        <w:tc>
          <w:tcPr>
            <w:tcW w:w="960" w:type="dxa"/>
            <w:vAlign w:val="bottom"/>
            <w:shd w:val="clear" w:color="auto" w:fill="CFF0FC"/>
          </w:tcPr>
          <w:p>
            <w:pPr>
              <w:jc w:val="right"/>
              <w:ind w:right="7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8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Accrued professional fees</w:t>
            </w:r>
          </w:p>
        </w:tc>
        <w:tc>
          <w:tcPr>
            <w:tcW w:w="9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181</w:t>
            </w:r>
          </w:p>
        </w:tc>
        <w:tc>
          <w:tcPr>
            <w:tcW w:w="8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4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Payroll and related</w:t>
            </w:r>
          </w:p>
        </w:tc>
        <w:tc>
          <w:tcPr>
            <w:tcW w:w="9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202</w:t>
            </w: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136</w:t>
            </w:r>
          </w:p>
        </w:tc>
        <w:tc>
          <w:tcPr>
            <w:tcW w:w="84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88</w:t>
            </w:r>
          </w:p>
        </w:tc>
        <w:tc>
          <w:tcPr>
            <w:tcW w:w="840" w:type="dxa"/>
            <w:vAlign w:val="bottom"/>
          </w:tcPr>
          <w:p>
            <w:pPr>
              <w:spacing w:after="0"/>
              <w:rPr>
                <w:sz w:val="17"/>
                <w:szCs w:val="17"/>
                <w:color w:val="auto"/>
              </w:rPr>
            </w:pPr>
          </w:p>
        </w:tc>
      </w:tr>
      <w:tr>
        <w:trPr>
          <w:trHeight w:val="236"/>
        </w:trPr>
        <w:tc>
          <w:tcPr>
            <w:tcW w:w="860" w:type="dxa"/>
            <w:vAlign w:val="bottom"/>
          </w:tcPr>
          <w:p>
            <w:pPr>
              <w:spacing w:after="0"/>
              <w:rPr>
                <w:sz w:val="20"/>
                <w:szCs w:val="20"/>
                <w:color w:val="auto"/>
              </w:rPr>
            </w:pPr>
          </w:p>
        </w:tc>
        <w:tc>
          <w:tcPr>
            <w:tcW w:w="64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accrued expenses</w:t>
            </w:r>
          </w:p>
        </w:tc>
        <w:tc>
          <w:tcPr>
            <w:tcW w:w="960" w:type="dxa"/>
            <w:vAlign w:val="bottom"/>
            <w:tcBorders>
              <w:bottom w:val="single" w:sz="8" w:color="auto"/>
            </w:tcBorders>
            <w:shd w:val="clear" w:color="auto" w:fill="CFF0FC"/>
          </w:tcPr>
          <w:p>
            <w:pPr>
              <w:jc w:val="right"/>
              <w:ind w:right="7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w:t>
            </w:r>
          </w:p>
        </w:tc>
        <w:tc>
          <w:tcPr>
            <w:tcW w:w="2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550</w:t>
            </w:r>
          </w:p>
        </w:tc>
        <w:tc>
          <w:tcPr>
            <w:tcW w:w="840" w:type="dxa"/>
            <w:vAlign w:val="bottom"/>
          </w:tcPr>
          <w:p>
            <w:pPr>
              <w:spacing w:after="0"/>
              <w:rPr>
                <w:sz w:val="20"/>
                <w:szCs w:val="20"/>
                <w:color w:val="auto"/>
              </w:rPr>
            </w:pPr>
          </w:p>
        </w:tc>
      </w:tr>
      <w:tr>
        <w:trPr>
          <w:trHeight w:val="500"/>
        </w:trPr>
        <w:tc>
          <w:tcPr>
            <w:tcW w:w="86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-367665</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-350520</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-367665</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-350520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5. Evaluation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w:t>
      </w:r>
    </w:p>
    <w:p>
      <w:pPr>
        <w:spacing w:after="0" w:line="216"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Takeda Pharmaceutical Company, Limited ("Takeda") was collaborating with the Company to conduct research on the use of the RaniPill capsule for the oral delivery of factor VIII (“FVIII”) therapy for patients with hemophilia A. The agreement granted Takeda a right of first negotiation to a worldwide, exclusive license under the Company’s intellectual property related to a FVIII-RaniPill therapeutic. Takeda paid the Company up-front payments of $5.9 million upon execution of and subsequent modifications to the agreement. Upon the initial evaluation services being completed, Takeda had an option to pay the Company $3.0 million to perform later stage evaluation services. Takeda also had the ability to terminate the agreement at any time by providing 30 days written notice after the effective date of the agreement. Unless terminated early, the agreement term ended upon the expiration of the right of first negotiation period which is 120 days after the completion of the evaluation services. The Takeda agreement could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would terminate.</w:t>
      </w:r>
    </w:p>
    <w:p>
      <w:pPr>
        <w:spacing w:after="0" w:line="191" w:lineRule="exact"/>
        <w:rPr>
          <w:sz w:val="20"/>
          <w:szCs w:val="20"/>
          <w:color w:val="auto"/>
        </w:rPr>
      </w:pPr>
    </w:p>
    <w:p>
      <w:pPr>
        <w:ind w:right="160" w:firstLine="1018"/>
        <w:spacing w:after="0" w:line="250" w:lineRule="auto"/>
        <w:rPr>
          <w:sz w:val="20"/>
          <w:szCs w:val="20"/>
          <w:color w:val="auto"/>
        </w:rPr>
      </w:pPr>
      <w:r>
        <w:rPr>
          <w:rFonts w:ascii="Times New Roman" w:cs="Times New Roman" w:eastAsia="Times New Roman" w:hAnsi="Times New Roman"/>
          <w:sz w:val="18"/>
          <w:szCs w:val="18"/>
          <w:color w:val="auto"/>
        </w:rPr>
        <w:t>The Company identified one material promise under the Takeda agreement, the obligation to perform services to evaluate if Takeda’s FVIII therapy can be orally delivered using the RaniPill capsule (“Research and Development Services”), which was concluded to be a single performance obligation.</w:t>
      </w:r>
    </w:p>
    <w:p>
      <w:pPr>
        <w:spacing w:after="0" w:line="177"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For revenue recognition purposes, the Company determined that the duration of the contract began on the effective date in November 2017 and ended upon completion of the Research and Development Services. The contract duration was defined as the period in which parties to the contract had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85"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The Company determined that the cost-based input method most faithfully depicted the transfer of its performance obligation to Takeda. Accordingly, the Company recognized its contract revenue based on actual costs incurred as a percentage of total estimated costs the Company expected to incur to deliver its performance obligation. These actual costs consisted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was recorded in the period in which changes were identified and amounts were reasonably estimable.</w:t>
      </w:r>
    </w:p>
    <w:p>
      <w:pPr>
        <w:spacing w:after="0" w:line="184"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 xml:space="preserve">In May 2021, the Company received written notice from Takeda as to their intent to terminate the contract for convenience. </w:t>
      </w:r>
      <w:r>
        <w:rPr>
          <w:rFonts w:ascii="Times New Roman" w:cs="Times New Roman" w:eastAsia="Times New Roman" w:hAnsi="Times New Roman"/>
          <w:sz w:val="18"/>
          <w:szCs w:val="18"/>
          <w:color w:val="212529"/>
        </w:rPr>
        <w:t>Due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delivery of the termination notice, the Company determined that there were no further enforceable rights and obligations under the agreement beyond May 2021 and the remaining $2.0 million of deferred revenue was recognized during the year ended December 31, 2021</w:t>
      </w:r>
      <w:r>
        <w:rPr>
          <w:rFonts w:ascii="Times New Roman" w:cs="Times New Roman" w:eastAsia="Times New Roman" w:hAnsi="Times New Roman"/>
          <w:sz w:val="18"/>
          <w:szCs w:val="18"/>
          <w:color w:val="000000"/>
        </w:rPr>
        <w:t>.</w:t>
      </w:r>
    </w:p>
    <w:p>
      <w:pPr>
        <w:spacing w:after="0" w:line="177"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2021 and 2020, the Company recognized contract revenue related to the Takeda agreement of $2.7 million and $0.5 million, respectively. As of December 31, 2020, deferred revenue related to the remaining identified performance obligation for the Takeda agreement of $2.7 million was recorded on the consolidated balance sheets. There was no deferred revenue as of December 31, 2021.</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Changes in the deferred revenue balance are as follows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6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880" w:type="dxa"/>
            <w:vAlign w:val="bottom"/>
            <w:shd w:val="clear" w:color="auto" w:fill="CFF0FC"/>
          </w:tcPr>
          <w:p>
            <w:pPr>
              <w:jc w:val="right"/>
              <w:ind w:right="6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2,717</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Additions</w:t>
            </w:r>
          </w:p>
        </w:tc>
        <w:tc>
          <w:tcPr>
            <w:tcW w:w="880" w:type="dxa"/>
            <w:vAlign w:val="bottom"/>
          </w:tcPr>
          <w:p>
            <w:pPr>
              <w:spacing w:after="0"/>
              <w:rPr>
                <w:sz w:val="17"/>
                <w:szCs w:val="17"/>
                <w:color w:val="auto"/>
              </w:rPr>
            </w:pPr>
          </w:p>
        </w:tc>
        <w:tc>
          <w:tcPr>
            <w:tcW w:w="800" w:type="dxa"/>
            <w:vAlign w:val="bottom"/>
            <w:gridSpan w:val="2"/>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7"/>
                <w:szCs w:val="17"/>
                <w:color w:val="auto"/>
              </w:rPr>
            </w:pPr>
          </w:p>
        </w:tc>
      </w:tr>
      <w:tr>
        <w:trPr>
          <w:trHeight w:val="203"/>
        </w:trPr>
        <w:tc>
          <w:tcPr>
            <w:tcW w:w="640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Deductions</w:t>
            </w: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(2,717 )</w:t>
            </w:r>
          </w:p>
        </w:tc>
        <w:tc>
          <w:tcPr>
            <w:tcW w:w="4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(462 )</w:t>
            </w:r>
          </w:p>
        </w:tc>
      </w:tr>
      <w:tr>
        <w:trPr>
          <w:trHeight w:val="196"/>
        </w:trPr>
        <w:tc>
          <w:tcPr>
            <w:tcW w:w="6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880" w:type="dxa"/>
            <w:vAlign w:val="bottom"/>
            <w:tcBorders>
              <w:top w:val="single" w:sz="8" w:color="auto"/>
              <w:bottom w:val="single" w:sz="8" w:color="auto"/>
            </w:tcBorders>
          </w:tcPr>
          <w:p>
            <w:pPr>
              <w:jc w:val="right"/>
              <w:ind w:right="6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top w:val="single" w:sz="8" w:color="CFF0FC"/>
            </w:tcBorders>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-159385</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-159385</wp:posOffset>
            </wp:positionV>
            <wp:extent cx="603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5" w:lineRule="exact"/>
        <w:rPr>
          <w:sz w:val="20"/>
          <w:szCs w:val="20"/>
          <w:color w:val="auto"/>
        </w:rPr>
      </w:pPr>
    </w:p>
    <w:p>
      <w:pPr>
        <w:ind w:right="600" w:firstLine="1018"/>
        <w:spacing w:after="0" w:line="266" w:lineRule="auto"/>
        <w:rPr>
          <w:sz w:val="20"/>
          <w:szCs w:val="20"/>
          <w:color w:val="auto"/>
        </w:rPr>
      </w:pPr>
      <w:r>
        <w:rPr>
          <w:rFonts w:ascii="Times New Roman" w:cs="Times New Roman" w:eastAsia="Times New Roman" w:hAnsi="Times New Roman"/>
          <w:sz w:val="18"/>
          <w:szCs w:val="18"/>
          <w:color w:val="auto"/>
        </w:rPr>
        <w:t>There were no receivables or net contract assets recorded as of December 31, 2021 or December 31, 2020 associated with the Takeda agreement. The Company expensed all incremental costs of obtaining the Takeda agreements, as such amounts were insignificant.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16"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ICL is wholly-owned by the Company’s founder and Executive Chairman and his family. The founder and Executive Chairman is also the father of the Company’s Chief Executive Officer. The Company’s Chief Scientific Officer is the brother of the founder and Executive Chairman and uncle of the Company’s Chief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agreements</w:t>
      </w:r>
    </w:p>
    <w:p>
      <w:pPr>
        <w:spacing w:after="0" w:line="216"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In January 2019, Rani LLC entered into a one year service agreement with ICL. This service agreement was amended in January 2020 to extend the period for an additional year and expired in December 2020. In June 2021, Rani LLC entered into a Service Agreement with ICL effective retrospectively to January 1, 2021 (the "Rani LLC-ICL Service Agreement"), pursuant to which Rani LLC and ICL agreed to provide personnel services to the other upon requests. The Rani LLC-ICL Service Agreement has a twelve month term and will automatically renew for a successive twelve month periods unless terminated.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85" w:lineRule="exact"/>
        <w:rPr>
          <w:sz w:val="20"/>
          <w:szCs w:val="20"/>
          <w:color w:val="auto"/>
        </w:rPr>
      </w:pPr>
    </w:p>
    <w:p>
      <w:pPr>
        <w:ind w:right="100" w:firstLine="1018"/>
        <w:spacing w:after="0"/>
        <w:rPr>
          <w:sz w:val="20"/>
          <w:szCs w:val="20"/>
          <w:color w:val="auto"/>
        </w:rPr>
      </w:pPr>
      <w:r>
        <w:rPr>
          <w:rFonts w:ascii="Times New Roman" w:cs="Times New Roman" w:eastAsia="Times New Roman" w:hAnsi="Times New Roman"/>
          <w:sz w:val="18"/>
          <w:szCs w:val="18"/>
          <w:color w:val="auto"/>
        </w:rPr>
        <w:t>In June 2021, RMS entered into a Service Agreement with ICL (the “RMS-ICL Service Agreement”) effective retrospectively to January 1, 2021, pursuant to which ICL agreed to rent a specified portion of its facility to RMS. Additionally, RMS and ICL agreed to provide personnel services to the other upon requests based on rates specified in the RMS-ICL Service Agreement. The RMS-ICL Service Agreement has a twelve month term and will automatically renew for successive twelve month periods unless terminated. RMS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RMS, respectively, as well as allocations of expenses based upon RMS’s utilization of ICL’s facilities and equipment.</w:t>
      </w:r>
    </w:p>
    <w:p>
      <w:pPr>
        <w:spacing w:after="0" w:line="185" w:lineRule="exact"/>
        <w:rPr>
          <w:sz w:val="20"/>
          <w:szCs w:val="20"/>
          <w:color w:val="auto"/>
        </w:rPr>
      </w:pPr>
    </w:p>
    <w:p>
      <w:pPr>
        <w:jc w:val="both"/>
        <w:ind w:right="100" w:firstLine="1018"/>
        <w:spacing w:after="0" w:line="250"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RMS charged ICL of $0.6 million and $0.4 million for the years ended December 31, 2021 and 2020, respectively, which is included in the consolidated statements of operations and comprehensive loss (in thousands):</w:t>
      </w:r>
    </w:p>
    <w:p>
      <w:pPr>
        <w:spacing w:after="0" w:line="211"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1,115</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735</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1,826</w:t>
            </w:r>
          </w:p>
        </w:tc>
        <w:tc>
          <w:tcPr>
            <w:tcW w:w="6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1,850</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2,361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431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431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-8255</wp:posOffset>
            </wp:positionV>
            <wp:extent cx="342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5" w:lineRule="exact"/>
        <w:rPr>
          <w:sz w:val="20"/>
          <w:szCs w:val="20"/>
          <w:color w:val="auto"/>
        </w:rPr>
      </w:pPr>
    </w:p>
    <w:p>
      <w:pPr>
        <w:ind w:right="460" w:firstLine="1018"/>
        <w:spacing w:after="0" w:line="266" w:lineRule="auto"/>
        <w:rPr>
          <w:sz w:val="20"/>
          <w:szCs w:val="20"/>
          <w:color w:val="auto"/>
        </w:rPr>
      </w:pPr>
      <w:r>
        <w:rPr>
          <w:rFonts w:ascii="Times New Roman" w:cs="Times New Roman" w:eastAsia="Times New Roman" w:hAnsi="Times New Roman"/>
          <w:sz w:val="18"/>
          <w:szCs w:val="18"/>
          <w:color w:val="auto"/>
        </w:rPr>
        <w:t>The Company’s eligible employees are permitted to participate in ICL’s 401(k) Plan (“401(k) Plan”). Participation in the 401(k) Plan is offered for the benefit of the employees, including the Company’s named executive officers, who satisfy certain eligibility requirements.</w:t>
      </w:r>
    </w:p>
    <w:p>
      <w:pPr>
        <w:spacing w:after="0" w:line="162" w:lineRule="exact"/>
        <w:rPr>
          <w:sz w:val="20"/>
          <w:szCs w:val="20"/>
          <w:color w:val="auto"/>
        </w:rPr>
      </w:pPr>
    </w:p>
    <w:p>
      <w:pPr>
        <w:jc w:val="both"/>
        <w:ind w:right="100" w:firstLine="1018"/>
        <w:spacing w:after="0" w:line="250" w:lineRule="auto"/>
        <w:rPr>
          <w:sz w:val="20"/>
          <w:szCs w:val="20"/>
          <w:color w:val="auto"/>
        </w:rPr>
      </w:pPr>
      <w:r>
        <w:rPr>
          <w:rFonts w:ascii="Times New Roman" w:cs="Times New Roman" w:eastAsia="Times New Roman" w:hAnsi="Times New Roman"/>
          <w:sz w:val="18"/>
          <w:szCs w:val="18"/>
          <w:color w:val="auto"/>
        </w:rPr>
        <w:t>As of December 31, 2021, all of the Company's facilities have a lease term of twelve months and are owned or leased by an entity affiliated with the Company’s Executive Chairman. The Company pays for the use of these facilities through the services agreement with ICL. Total operating lease expense incurred with ICL was $0.8 million for each of the years ended December 31, 2021 and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activity</w:t>
      </w:r>
    </w:p>
    <w:p>
      <w:pPr>
        <w:spacing w:after="0" w:line="21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From inception to the first half of 2017, the Company advanced funds to ICL, and ICL made payments directly to certain vendors on behalf of Rani, Rani has reimbursed ICL for all such payments at cost on a monthly basis.</w:t>
      </w:r>
    </w:p>
    <w:p>
      <w:pPr>
        <w:spacing w:after="0" w:line="162"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In June 2017, the Company converted the outstanding net advances of $6.6 million to ICL into three notes receivable. The notes provide for interest at 1.97% compounded annually, loan fees of 2.75% and are payable upon demand to the Company any time after January 1, 2024. During 2020, the Company received $0.2 million in payments for interest and repayment of principal on the remaining note receivable.</w:t>
      </w:r>
    </w:p>
    <w:p>
      <w:pPr>
        <w:spacing w:after="0" w:line="177" w:lineRule="exact"/>
        <w:rPr>
          <w:sz w:val="20"/>
          <w:szCs w:val="20"/>
          <w:color w:val="auto"/>
        </w:rPr>
      </w:pPr>
    </w:p>
    <w:p>
      <w:pPr>
        <w:ind w:right="32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2020, $1.7 million of the note receivable was outstanding. In March 2021, the outstanding balance due, including all accrued interest, was fully repaid by ICL.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25" w:name="page126"/>
    <w:bookmarkEnd w:id="125"/>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During 2020, the Company amended certain Series B warrants held by an entity affiliated with ICL. In December 2020, this entity elected to cashless exercise all of their Series B warrants in return for 51,341 Series B units of Rani LLC (Note 7). This same entity also acquired 59,312 Series D units of Rani LLC for $1.0 million in 2017.</w:t>
      </w:r>
    </w:p>
    <w:p>
      <w:pPr>
        <w:spacing w:after="0" w:line="177"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During 2020 and 2021, South Lake One LLC, a related party of the Company, and its affiliates purchased 2,100,800 common units of Rani LLC and 7,880,120 Series E Preferred Units of Rani LLC. As part of the Organizational Transactions the common units and Series E Preferred Units were exchanged for 5,277,729 shares of the Company's Class A common stock. In connection with the IPO and subsequent thereto, South Lake One LLC and its affiliates purchased an additional 6,458,904 shares of the Company’s Class A common stock for total gross proceeds of $71.1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Intellectual Property and Common Unit Purchase Agreement</w:t>
      </w:r>
    </w:p>
    <w:p>
      <w:pPr>
        <w:spacing w:after="0" w:line="216"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184" w:lineRule="exact"/>
        <w:rPr>
          <w:sz w:val="20"/>
          <w:szCs w:val="20"/>
          <w:color w:val="auto"/>
        </w:rPr>
      </w:pPr>
    </w:p>
    <w:p>
      <w:pPr>
        <w:ind w:firstLine="1018"/>
        <w:spacing w:after="0" w:line="238" w:lineRule="auto"/>
        <w:rPr>
          <w:sz w:val="20"/>
          <w:szCs w:val="20"/>
          <w:color w:val="auto"/>
        </w:rPr>
      </w:pPr>
      <w:r>
        <w:rPr>
          <w:rFonts w:ascii="Times New Roman" w:cs="Times New Roman" w:eastAsia="Times New Roman" w:hAnsi="Times New Roman"/>
          <w:sz w:val="18"/>
          <w:szCs w:val="18"/>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Non-Exclusive License Agreement between Rani and ICL (“Non-Exclusive License Agreement”)</w:t>
      </w:r>
    </w:p>
    <w:p>
      <w:pPr>
        <w:spacing w:after="0" w:line="216" w:lineRule="exact"/>
        <w:rPr>
          <w:sz w:val="20"/>
          <w:szCs w:val="20"/>
          <w:color w:val="auto"/>
        </w:rPr>
      </w:pPr>
    </w:p>
    <w:p>
      <w:pPr>
        <w:ind w:right="40" w:firstLine="1018"/>
        <w:spacing w:after="0" w:line="241"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Agreement with Mir Imran (the “Mir Agreement”)</w:t>
      </w:r>
    </w:p>
    <w:p>
      <w:pPr>
        <w:spacing w:after="0" w:line="216" w:lineRule="exact"/>
        <w:rPr>
          <w:sz w:val="20"/>
          <w:szCs w:val="20"/>
          <w:color w:val="auto"/>
        </w:rPr>
      </w:pPr>
    </w:p>
    <w:p>
      <w:pPr>
        <w:ind w:right="60" w:firstLine="1018"/>
        <w:spacing w:after="0" w:line="241"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Services</w:t>
      </w:r>
    </w:p>
    <w:p>
      <w:pPr>
        <w:spacing w:after="0" w:line="21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made a $0.2 million payment to a member of the Board of Managers of Rani LLC for legacy board services provided to the Company, there were no such payments made in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Sales Transactions</w:t>
      </w:r>
    </w:p>
    <w:p>
      <w:pPr>
        <w:spacing w:after="0" w:line="216" w:lineRule="exact"/>
        <w:rPr>
          <w:sz w:val="20"/>
          <w:szCs w:val="20"/>
          <w:color w:val="auto"/>
        </w:rPr>
      </w:pPr>
    </w:p>
    <w:p>
      <w:pPr>
        <w:ind w:right="240" w:firstLine="1018"/>
        <w:spacing w:after="0" w:line="242" w:lineRule="auto"/>
        <w:rPr>
          <w:sz w:val="20"/>
          <w:szCs w:val="20"/>
          <w:color w:val="auto"/>
        </w:rPr>
      </w:pPr>
      <w:r>
        <w:rPr>
          <w:rFonts w:ascii="Times New Roman" w:cs="Times New Roman" w:eastAsia="Times New Roman" w:hAnsi="Times New Roman"/>
          <w:sz w:val="18"/>
          <w:szCs w:val="18"/>
          <w:color w:val="auto"/>
        </w:rPr>
        <w:t>In February 2021, one of the Company's named executive officer's and then member of the Board of Managers of Rani LLC, and a current member of the Board of Managers of Rani LLC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$0.3 million was recorded as research and development expense. The $0.5 million represents the difference between the sales price and fair value of the common units.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16" w:lineRule="exact"/>
        <w:rPr>
          <w:sz w:val="20"/>
          <w:szCs w:val="20"/>
          <w:color w:val="auto"/>
        </w:rPr>
      </w:pPr>
    </w:p>
    <w:p>
      <w:pPr>
        <w:ind w:right="160" w:firstLine="1018"/>
        <w:spacing w:after="0" w:line="241" w:lineRule="auto"/>
        <w:rPr>
          <w:sz w:val="20"/>
          <w:szCs w:val="20"/>
          <w:color w:val="auto"/>
        </w:rPr>
      </w:pPr>
      <w:r>
        <w:rPr>
          <w:rFonts w:ascii="Times New Roman" w:cs="Times New Roman" w:eastAsia="Times New Roman" w:hAnsi="Times New Roman"/>
          <w:sz w:val="18"/>
          <w:szCs w:val="18"/>
          <w:color w:val="auto"/>
        </w:rPr>
        <w:t>In connection with the IPO and Organizational Transactions, the Company effectuated an exchange of all outstanding Profits Interests into Class A Units including certain Profits Interests related to ICL and its affiliates ("ICL Holders"). Upon the IPO and Organizational Transactions, the performance condition was met for all Profits Interest no longer subject to a service based vesting condition resulting in the recognition of compensation cost associated with these awards (Note 9). ICL Holders of 919,282 Class A Units exchanged 854,807 such units for the Company's Class A common stock, the remaining 64,475 Class A Units of Rani LLC continue to be outstanding and are exchangeable for the Company's Class A common stock at the option of the ICL Holders.</w:t>
      </w:r>
    </w:p>
    <w:p>
      <w:pPr>
        <w:spacing w:after="0" w:line="184"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components of equity-based compensation expense recorded in the consolidated statement of operations and comprehensive loss related to awards granted to employees of ICL and its affiliates by the Company (in thousands):</w:t>
      </w:r>
    </w:p>
    <w:p>
      <w:pPr>
        <w:spacing w:after="0" w:line="19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ind w:left="11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2,999</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12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3,643</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ind w:left="112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431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right="60" w:firstLine="1018"/>
        <w:spacing w:after="0" w:line="296" w:lineRule="auto"/>
        <w:rPr>
          <w:sz w:val="20"/>
          <w:szCs w:val="20"/>
          <w:color w:val="auto"/>
        </w:rPr>
      </w:pPr>
      <w:r>
        <w:rPr>
          <w:rFonts w:ascii="Times New Roman" w:cs="Times New Roman" w:eastAsia="Times New Roman" w:hAnsi="Times New Roman"/>
          <w:sz w:val="17"/>
          <w:szCs w:val="17"/>
          <w:color w:val="auto"/>
        </w:rPr>
        <w:t>ICL is party to the TRA, entered into in August 2021 pursuant to the IPO and Organizational Transactions. The TRA provides that the Company pay to such entities and individuals 85% of the amount of tax benefits, if any, it is deemed to realize from exchanges of Paired Interests (Note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16"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ICL is a party to this agreement. The Registration Rights Agreement provides certain registration rights whereby, at any time following the IPO and the expiration of any related lock-up period, ICL Holders with LLC Interests can require the Company to register under the Securities Act of 1933, as amended (the “Securities Act”) shares of Class A common stock issuable to such ICL Holders upon, at the Company’s election, redemption or exchange of their Paired Interests. The Registration Rights Agreement also provides for piggyback registration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Rani LLC Agreement</w:t>
      </w:r>
    </w:p>
    <w:p>
      <w:pPr>
        <w:spacing w:after="0" w:line="216"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The Company operates its business through Rani LLC and its subsidiary. In connection with the IPO, the Company and the Continuing LLC Owners, including ICL, entered into the Rani LLC Agreement. The governance of Rani LLC, and the rights and obligations of the holders of LLC Interests, are set forth in the Rani LLC Agreement. As a Continuing LLC Owner, ICL is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 No exchanges by ICL of Paired Interests occurred during the year ended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Warrants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unit warrants</w:t>
      </w:r>
    </w:p>
    <w:p>
      <w:pPr>
        <w:spacing w:after="0" w:line="21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In May 2013, in conjunction with the Series B convertible preferred unit (the “Series B” or “Series B units”) financing, the Company issued warrants to ICL to purchase 107,357 Series B units. The Series B warrants were exercisable for a period of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7" w:name="page128"/>
    <w:bookmarkEnd w:id="127"/>
    <w:p>
      <w:pPr>
        <w:ind w:right="80"/>
        <w:spacing w:after="0" w:line="242" w:lineRule="auto"/>
        <w:rPr>
          <w:sz w:val="20"/>
          <w:szCs w:val="20"/>
          <w:color w:val="auto"/>
        </w:rPr>
      </w:pPr>
      <w:r>
        <w:rPr>
          <w:rFonts w:ascii="Times New Roman" w:cs="Times New Roman" w:eastAsia="Times New Roman" w:hAnsi="Times New Roman"/>
          <w:sz w:val="18"/>
          <w:szCs w:val="18"/>
          <w:color w:val="auto"/>
        </w:rPr>
        <w:t>years from the grant date at an exercise price of $3.73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In December 2020, ICL elected to cashless exercise all of their Series B warrants and Rani LLC issued 51,341 Series B units. There were no Series B warrants outstanding at December 31, 2021 or 2020, respectively.</w:t>
      </w:r>
    </w:p>
    <w:p>
      <w:pPr>
        <w:spacing w:after="0" w:line="185" w:lineRule="exact"/>
        <w:rPr>
          <w:sz w:val="20"/>
          <w:szCs w:val="20"/>
          <w:color w:val="auto"/>
        </w:rPr>
      </w:pPr>
    </w:p>
    <w:p>
      <w:pPr>
        <w:ind w:firstLine="1018"/>
        <w:spacing w:after="0" w:line="241" w:lineRule="auto"/>
        <w:rPr>
          <w:sz w:val="20"/>
          <w:szCs w:val="20"/>
          <w:color w:val="auto"/>
        </w:rPr>
      </w:pPr>
      <w:r>
        <w:rPr>
          <w:rFonts w:ascii="Times New Roman" w:cs="Times New Roman" w:eastAsia="Times New Roman" w:hAnsi="Times New Roman"/>
          <w:sz w:val="18"/>
          <w:szCs w:val="18"/>
          <w:color w:val="auto"/>
        </w:rPr>
        <w:t>In September 2020, in conjunction with a loan and security Agreement (Note 11), the Company issued warrants to purchase up to 118,929 Series E preferred units. The Series E warrants were exercisable for a period of seven years from the grant date at an exercise price of $7.1471 per unit. In the event of a change of control or IPO, the Series E warrants were to automatically be exchanged for the same number of units of the Company’s securities for no consideration had the holder of the warrant elected to exercise the warrant immediately prior to a change in control or IPO. In conjunction with the IPO, all of the Series E warrants were ultimately settled for 62,887 shares of the Company's Class A common stock. At December 31, 2020, there were 118,929 Series E warrants outstanding. There were no Series E warrants outstanding at December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 warrants</w:t>
      </w:r>
    </w:p>
    <w:p>
      <w:pPr>
        <w:spacing w:after="0" w:line="216" w:lineRule="exact"/>
        <w:rPr>
          <w:sz w:val="20"/>
          <w:szCs w:val="20"/>
          <w:color w:val="auto"/>
        </w:rPr>
      </w:pPr>
    </w:p>
    <w:p>
      <w:pPr>
        <w:ind w:right="40" w:firstLine="1018"/>
        <w:spacing w:after="0"/>
        <w:rPr>
          <w:sz w:val="20"/>
          <w:szCs w:val="20"/>
          <w:color w:val="auto"/>
        </w:rPr>
      </w:pPr>
      <w:r>
        <w:rPr>
          <w:rFonts w:ascii="Times New Roman" w:cs="Times New Roman" w:eastAsia="Times New Roman" w:hAnsi="Times New Roman"/>
          <w:sz w:val="18"/>
          <w:szCs w:val="18"/>
          <w:color w:val="auto"/>
        </w:rPr>
        <w:t>In 2017, in conjunction with the Series D convertible preferred unit financing, the Company issued 229,315 common unit warrants with an exercise price of $2.18 per unit and an exercise period of five years. The Company recorded the issuance-date fair value of the common warrants of $0.3 million in equity as the warrant met all criteria for equity classification. In January 2021, 6,000 common unit warrants were exercised at $2.18 per unit, and in July 2021 5,913 common unit warrants were exercised at $2.18 per unit. In connection with the IPO and Organizational Transactions, the remaining common warrants were net exercised for 71,867 Class A Units of Rani LLC, of which 60,494 were then exchanged into shares of the Company's Class A common stock as part of the Organizational Transactions. At December 31, 2020, 229,315 common unit warrants were outstanding. There were no common unit warrants outstanding at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 Members’ Deficit</w:t>
      </w:r>
    </w:p>
    <w:p>
      <w:pPr>
        <w:spacing w:after="0" w:line="216" w:lineRule="exact"/>
        <w:rPr>
          <w:sz w:val="20"/>
          <w:szCs w:val="20"/>
          <w:color w:val="auto"/>
        </w:rPr>
      </w:pPr>
    </w:p>
    <w:p>
      <w:pPr>
        <w:ind w:right="260" w:firstLine="1018"/>
        <w:spacing w:after="0" w:line="242" w:lineRule="auto"/>
        <w:rPr>
          <w:sz w:val="20"/>
          <w:szCs w:val="20"/>
          <w:color w:val="auto"/>
        </w:rPr>
      </w:pPr>
      <w:r>
        <w:rPr>
          <w:rFonts w:ascii="Times New Roman" w:cs="Times New Roman" w:eastAsia="Times New Roman" w:hAnsi="Times New Roman"/>
          <w:sz w:val="18"/>
          <w:szCs w:val="18"/>
          <w:color w:val="auto"/>
        </w:rPr>
        <w:t>Prior to the Organizational Transactions, Rani LLC was authorized to issue 101,000,000 common units, of which 10,850,000 had been reserved for issuance as Profits Interests and 32,620,000 were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85"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The members of the Rani LLC who held these common and Preferred Units were not liable, solely by reason of being a member, for the debts, obligations, or liabilities of the Company whether arising in contract or tort; under a judgment, decree, or order of a court; or otherwise. The members were also not obligated to make capital contributions to Rani LLC and Rani LLC would have dissolved only upon a written consent of a majority of the members.</w:t>
      </w:r>
    </w:p>
    <w:p>
      <w:pPr>
        <w:spacing w:after="0" w:line="181"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The Company’s Profits Interests were subject to either a combination of service, market, or performance vesting conditions. Vested Profits Interests were treated as common units for purposes of distributions.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Certificate of Incorporation</w:t>
      </w:r>
    </w:p>
    <w:p>
      <w:pPr>
        <w:spacing w:after="0" w:line="216" w:lineRule="exact"/>
        <w:rPr>
          <w:sz w:val="20"/>
          <w:szCs w:val="20"/>
          <w:color w:val="auto"/>
        </w:rPr>
      </w:pPr>
    </w:p>
    <w:p>
      <w:pPr>
        <w:ind w:right="220" w:firstLine="1018"/>
        <w:spacing w:after="0" w:line="245" w:lineRule="auto"/>
        <w:rPr>
          <w:sz w:val="20"/>
          <w:szCs w:val="20"/>
          <w:color w:val="auto"/>
        </w:rPr>
      </w:pPr>
      <w:r>
        <w:rPr>
          <w:rFonts w:ascii="Times New Roman" w:cs="Times New Roman" w:eastAsia="Times New Roman" w:hAnsi="Times New Roman"/>
          <w:sz w:val="18"/>
          <w:szCs w:val="18"/>
          <w:color w:val="auto"/>
        </w:rPr>
        <w:t>In connection with the Organizational Transactions, the Company’s certificate of incorporation was amended and restated to, among other things, provide for the (i) authorization of 800,000,000 shares of Class A common stock with a par value of $0.0001 per share; (ii) authorization of 40,000,000 shares of Class B common stock with a par value of $0.0001 per share; (iii) authorization of 20,000,000 shares Class C common stock with a par value of $0.0001 per share; and (iv) authorization of 20,000,000 shares of preferred stock with a par value of $0.0001 per share.</w:t>
      </w:r>
    </w:p>
    <w:p>
      <w:pPr>
        <w:spacing w:after="0" w:line="181"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Holders of Class A common stock are entitled to one vote per share; holders of Class B common stock are entitled to ten votes per share; and holders of Class C common stock have no voting rights. Except as otherwise expressly provided in the Amended and Restated Certificate of Incorporation or 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85"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The Company is required to, at all times, maintain (i) a one-to-one ratio between the number of shares of Class A common stock outstanding and the number of Class A Units owned by Company and (ii) a one-to-one ratio between the number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8" w:name="page129"/>
    <w:bookmarkEnd w:id="128"/>
    <w:p>
      <w:pPr>
        <w:ind w:right="140"/>
        <w:spacing w:after="0" w:line="241" w:lineRule="auto"/>
        <w:rPr>
          <w:sz w:val="20"/>
          <w:szCs w:val="20"/>
          <w:color w:val="auto"/>
        </w:rPr>
      </w:pPr>
      <w:r>
        <w:rPr>
          <w:rFonts w:ascii="Times New Roman" w:cs="Times New Roman" w:eastAsia="Times New Roman" w:hAnsi="Times New Roman"/>
          <w:sz w:val="18"/>
          <w:szCs w:val="18"/>
          <w:color w:val="auto"/>
        </w:rPr>
        <w:t>Class B common stock owned by the Continuing LLC Owners and the number of Class A Units owned by the Continuing LLC Owners. The Company may issue shares of Class B common stock only to the extent necessary to maintain these ratios. Shares of Class B common stock are not transferable except (a) to the Company for no consideration (in which case the shares will be cancelled automatically) or (b) together with an equal number of Class A Units to a transferee in compliance with the LLC Agreement and the provisions set forth in the Company’s amended and restated certificate of incorporation. All Class B common stock that is exchanged as part of a Paired Interest for Class A common stock shall be automatically retired and cancelled and shall no longer be outstanding.</w:t>
      </w:r>
    </w:p>
    <w:p>
      <w:pPr>
        <w:spacing w:after="0" w:line="184"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In August 2021, the Company received 29,290,391 Class B Units of Rani LLC as consideration for the issuance of Class B common stock on a one-for-one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Rani LLC</w:t>
      </w:r>
    </w:p>
    <w:p>
      <w:pPr>
        <w:spacing w:after="0" w:line="216" w:lineRule="exact"/>
        <w:rPr>
          <w:sz w:val="20"/>
          <w:szCs w:val="20"/>
          <w:color w:val="auto"/>
        </w:rPr>
      </w:pPr>
    </w:p>
    <w:p>
      <w:pPr>
        <w:ind w:right="100" w:firstLine="1018"/>
        <w:spacing w:after="0" w:line="245" w:lineRule="auto"/>
        <w:rPr>
          <w:sz w:val="20"/>
          <w:szCs w:val="20"/>
          <w:color w:val="auto"/>
        </w:rPr>
      </w:pPr>
      <w:r>
        <w:rPr>
          <w:rFonts w:ascii="Times New Roman" w:cs="Times New Roman" w:eastAsia="Times New Roman" w:hAnsi="Times New Roman"/>
          <w:sz w:val="18"/>
          <w:szCs w:val="18"/>
          <w:color w:val="auto"/>
        </w:rPr>
        <w:t>In August 2021, Rani LLC’s members and Board of Managers adopted the amended and restated Rani LLC Agreement to, among other things, appoint the Company as Rani LLC’s sole managing member and provide that, except where the approval of one or more members is specifically required by the express terms of the Rani LLC Agreement, all management powers over the business and affairs of Rani LLC are vested exclusively in the Company as the sole managing member.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16"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In July 2021, the Company completed an IPO of 7,666,667 shares of common stock, inclusive of the 1,000,000 shares of Class A common stock purchased by underwriters pursuant to the underwriters’ option to purchase additional shares at the offering price, less underwriting discounts and commissions. The Company received net proceeds from the IPO of approximately $73.6 million after deducting underwriting discounts and commissions, which was used to purchase 7,666,667 newly-issued Class A Units of Rani LLC.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16"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the Company to register under the Securities Act shares of Class A common stock issuable to them upon, at the Company’s election, redemption or exchange of their Paired Interests. The Registration Rights Agreement also provides for piggyback registration rights for the Continuing LLC Owners.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216" w:lineRule="exact"/>
        <w:rPr>
          <w:sz w:val="20"/>
          <w:szCs w:val="20"/>
          <w:color w:val="auto"/>
        </w:rPr>
      </w:pPr>
    </w:p>
    <w:p>
      <w:pPr>
        <w:ind w:right="140" w:firstLine="1018"/>
        <w:spacing w:after="0" w:line="239" w:lineRule="auto"/>
        <w:rPr>
          <w:sz w:val="20"/>
          <w:szCs w:val="20"/>
          <w:color w:val="auto"/>
        </w:rPr>
      </w:pPr>
      <w:r>
        <w:rPr>
          <w:rFonts w:ascii="Times New Roman" w:cs="Times New Roman" w:eastAsia="Times New Roman" w:hAnsi="Times New Roman"/>
          <w:sz w:val="18"/>
          <w:szCs w:val="18"/>
          <w:color w:val="auto"/>
        </w:rPr>
        <w:t>Prior to the IPO, Rani LLC had adopted the 2016 Equity Incentive Plan (the “2016 Plan”) under which the Board of Managers of Rani LLC issued options for common units, Profits Interests, and restricted common units to managers, consultants or other individuals who provide service to the Company. The Board of Managers had the authority to determine to whom Profits Interests would be granted, the number of options granted, and the Profits Interests threshold amount, which was the minimum amount determined by the Board of Managers in its reasonable discretion to be necessary to cause such interests to be treated as Profits Interests (“Threshold Amounts”). In 2020, the Board of Managers approved an additional 2,000,000 common units to be reserved under the Plan for issuance as Profit Interests. Effective April 2021, in anticipation of the IPO, the Company ceased granting Profits Interests and began to issue options for common units out of the remaining pool. In July 2021, the 2016 Plan was frozen for new awards, concurrent with the adoption of the 2021 Plan.</w:t>
      </w:r>
    </w:p>
    <w:p>
      <w:pPr>
        <w:spacing w:after="0" w:line="187"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Immediately upon receipt of a Profits Interests award, the recipient had no initial capital account balance and the Profits Interests received did not entitle such recipient to any portion of the capital of Rani LLC at the time of such recipient’s admission to Rani LLC as an unitholder member, such that if Rani LLC’s assets were sold at fair market value immediately after the grant to such recipient of Profits Interests and the proceeds distributed in complete liquidation of Rani LLC, the Profits Interests recipient would not be entitled to receive a portion of those proceeds. Additionally, Rani LLC would not make a distribution with respect to any Profits Interests holder until Rani LLC had made aggregate distributions to each of its members not subject to the Profits Interests Threshold Amount. The common units underlying each Profits Interests award entitled the holder, upon a sale or other specified capital transaction (as set forth in the Operating Agreement), to participate in a portion of the profits and appreciation in the equity value of Rani LLC arising after the date of grant, as determined in reference to the Profits Interests Threshold Amount set forth in each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9" w:name="page130"/>
    <w:bookmarkEnd w:id="129"/>
    <w:p>
      <w:pPr>
        <w:ind w:firstLine="1018"/>
        <w:spacing w:after="0" w:line="250" w:lineRule="auto"/>
        <w:rPr>
          <w:sz w:val="20"/>
          <w:szCs w:val="20"/>
          <w:color w:val="auto"/>
        </w:rPr>
      </w:pPr>
      <w:r>
        <w:rPr>
          <w:rFonts w:ascii="Times New Roman" w:cs="Times New Roman" w:eastAsia="Times New Roman" w:hAnsi="Times New Roman"/>
          <w:sz w:val="18"/>
          <w:szCs w:val="18"/>
          <w:color w:val="auto"/>
        </w:rPr>
        <w:t>In July 2021, in connection with the IPO, the Company adopted and its stockholders approved the 2021 Plan. The 2021 Plan provides for the grant of incentive stock options ("ISOs"), non-statutory stock options ("NSOs"), stock appreciation rights, RSAs, RSUs, performance-based awards and other awards for shares of the Company’s Class A common stock.</w:t>
      </w:r>
    </w:p>
    <w:p>
      <w:pPr>
        <w:spacing w:after="0" w:line="177"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Rani Therapeutics Holdings, Inc. 2021 Employee Stock Purchase Plan (the “ESPP”). As of December 31, 2021, no shares have been issued under the ESPP.</w:t>
      </w:r>
    </w:p>
    <w:p>
      <w:pPr>
        <w:spacing w:after="0" w:line="162"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The Company reserved 500,000 shares of Class A Common Stock for issuance under the ESPP and 5,500,000 shares of Class A common stock for future issuance under the 2021 Plan.</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stock option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3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200" w:type="dxa"/>
            <w:vAlign w:val="bottom"/>
          </w:tcPr>
          <w:p>
            <w:pPr>
              <w:spacing w:after="0"/>
              <w:rPr>
                <w:sz w:val="12"/>
                <w:szCs w:val="12"/>
                <w:color w:val="auto"/>
              </w:rPr>
            </w:pPr>
          </w:p>
        </w:tc>
        <w:tc>
          <w:tcPr>
            <w:tcW w:w="136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18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3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0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tcPr>
          <w:p>
            <w:pPr>
              <w:ind w:left="18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2,300,819</w:t>
            </w:r>
          </w:p>
        </w:tc>
        <w:tc>
          <w:tcPr>
            <w:tcW w:w="360" w:type="dxa"/>
            <w:vAlign w:val="bottom"/>
            <w:tcBorders>
              <w:bottom w:val="single" w:sz="8" w:color="CFF0FC"/>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14.12</w:t>
            </w:r>
          </w:p>
        </w:tc>
        <w:tc>
          <w:tcPr>
            <w:tcW w:w="1580" w:type="dxa"/>
            <w:vAlign w:val="bottom"/>
            <w:tcBorders>
              <w:bottom w:val="single" w:sz="8" w:color="CFF0FC"/>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9.55</w:t>
            </w:r>
          </w:p>
        </w:tc>
        <w:tc>
          <w:tcPr>
            <w:tcW w:w="760" w:type="dxa"/>
            <w:vAlign w:val="bottom"/>
            <w:tcBorders>
              <w:bottom w:val="single" w:sz="8" w:color="CFF0FC"/>
            </w:tcBorders>
            <w:gridSpan w:val="2"/>
          </w:tcPr>
          <w:p>
            <w:pPr>
              <w:jc w:val="right"/>
              <w:ind w:right="402"/>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976</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40" w:type="dxa"/>
            <w:vAlign w:val="bottom"/>
            <w:tcBorders>
              <w:bottom w:val="single" w:sz="8" w:color="CFF0FC"/>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2,300,819</w:t>
            </w:r>
          </w:p>
        </w:tc>
        <w:tc>
          <w:tcPr>
            <w:tcW w:w="3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14.12</w:t>
            </w:r>
          </w:p>
        </w:tc>
        <w:tc>
          <w:tcPr>
            <w:tcW w:w="15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9.55</w:t>
            </w:r>
          </w:p>
        </w:tc>
        <w:tc>
          <w:tcPr>
            <w:tcW w:w="760" w:type="dxa"/>
            <w:vAlign w:val="bottom"/>
            <w:tcBorders>
              <w:bottom w:val="single" w:sz="8" w:color="CFF0FC"/>
            </w:tcBorders>
            <w:gridSpan w:val="2"/>
            <w:shd w:val="clear" w:color="auto" w:fill="CFF0FC"/>
          </w:tcPr>
          <w:p>
            <w:pPr>
              <w:jc w:val="right"/>
              <w:ind w:right="402"/>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976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Exercisable at December 31, 2021</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89,182</w:t>
            </w:r>
          </w:p>
        </w:tc>
        <w:tc>
          <w:tcPr>
            <w:tcW w:w="36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9.44</w:t>
            </w:r>
          </w:p>
        </w:tc>
        <w:tc>
          <w:tcPr>
            <w:tcW w:w="15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9.46</w:t>
            </w:r>
          </w:p>
        </w:tc>
        <w:tc>
          <w:tcPr>
            <w:tcW w:w="760" w:type="dxa"/>
            <w:vAlign w:val="bottom"/>
            <w:gridSpan w:val="2"/>
          </w:tcPr>
          <w:p>
            <w:pPr>
              <w:jc w:val="right"/>
              <w:ind w:right="402"/>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at December 31, 2021</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2,211,637</w:t>
            </w:r>
          </w:p>
        </w:tc>
        <w:tc>
          <w:tcPr>
            <w:tcW w:w="3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14.30</w:t>
            </w:r>
          </w:p>
        </w:tc>
        <w:tc>
          <w:tcPr>
            <w:tcW w:w="15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9.55</w:t>
            </w:r>
          </w:p>
        </w:tc>
        <w:tc>
          <w:tcPr>
            <w:tcW w:w="760" w:type="dxa"/>
            <w:vAlign w:val="bottom"/>
            <w:tcBorders>
              <w:bottom w:val="single" w:sz="8" w:color="CFF0FC"/>
            </w:tcBorders>
            <w:gridSpan w:val="2"/>
            <w:shd w:val="clear" w:color="auto" w:fill="CFF0FC"/>
          </w:tcPr>
          <w:p>
            <w:pPr>
              <w:jc w:val="right"/>
              <w:ind w:right="402"/>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-334010</wp:posOffset>
            </wp:positionV>
            <wp:extent cx="431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-316230</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-471170</wp:posOffset>
            </wp:positionV>
            <wp:extent cx="431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431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431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In connection with the Organizational Transactions, 2,292,309 options for common units of Rani LLC still subject to service vesting conditions were amended to be exercisable into 1,212,124 shares of the Company’s Class A common stock. This was considered to be a modification but did not result in modification accounting as it did not impact the awards’ vesting conditions, classification or fair value. These stock options vest based on the grantees continued services over a three or four year period.</w:t>
      </w:r>
    </w:p>
    <w:p>
      <w:pPr>
        <w:spacing w:after="0" w:line="181"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$19.8 million of unrecognized equity-based compensation expense related to stock options which is expected to be recognized over a weighted-average period of approximately 3.3 years.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Options for Rani LLC Common Units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options for common units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 Unit</w:t>
            </w:r>
          </w:p>
        </w:tc>
        <w:tc>
          <w:tcPr>
            <w:tcW w:w="134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 (in</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Pr>
          <w:p>
            <w:pPr>
              <w:spacing w:after="0"/>
              <w:rPr>
                <w:sz w:val="16"/>
                <w:szCs w:val="16"/>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2,292,309</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4.99</w:t>
            </w:r>
          </w:p>
        </w:tc>
        <w:tc>
          <w:tcPr>
            <w:tcW w:w="15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FF0FC"/>
          </w:tcPr>
          <w:p>
            <w:pPr>
              <w:ind w:left="180"/>
              <w:spacing w:after="0" w:line="162" w:lineRule="exact"/>
              <w:rPr>
                <w:sz w:val="20"/>
                <w:szCs w:val="20"/>
                <w:color w:val="auto"/>
              </w:rPr>
            </w:pPr>
            <w:r>
              <w:rPr>
                <w:rFonts w:ascii="Times New Roman" w:cs="Times New Roman" w:eastAsia="Times New Roman" w:hAnsi="Times New Roman"/>
                <w:sz w:val="18"/>
                <w:szCs w:val="18"/>
                <w:color w:val="auto"/>
              </w:rPr>
              <w:t>Amended to be exercisable into the</w:t>
            </w:r>
          </w:p>
        </w:tc>
        <w:tc>
          <w:tcPr>
            <w:tcW w:w="16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(2,292,309 )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5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Company’s Class A common stock</w:t>
            </w:r>
          </w:p>
        </w:tc>
        <w:tc>
          <w:tcPr>
            <w:tcW w:w="1620" w:type="dxa"/>
            <w:vAlign w:val="bottom"/>
            <w:gridSpan w:val="2"/>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FF0FC"/>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tcBorders>
            <w:gridSpan w:val="2"/>
          </w:tcPr>
          <w:p>
            <w:pPr>
              <w:jc w:val="right"/>
              <w:ind w:right="448"/>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FF0FC"/>
            </w:tcBorders>
          </w:tcPr>
          <w:p>
            <w:pPr>
              <w:ind w:left="520"/>
              <w:spacing w:after="0" w:line="18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-159385</wp:posOffset>
            </wp:positionV>
            <wp:extent cx="685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78"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Through July 2021, the Company granted options to acquire 2,292,309 common units of Rani LLC to certain executives and members of the Board of Managers. In conjunction with the Organizational Transactions, these unit options were amended to be exercisable into 1,212,124 shares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30" w:name="page131"/>
    <w:bookmarkEnd w:id="130"/>
    <w:p>
      <w:pPr>
        <w:ind w:left="10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RSU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60" w:type="dxa"/>
            <w:vAlign w:val="bottom"/>
          </w:tcPr>
          <w:p>
            <w:pPr>
              <w:spacing w:after="0"/>
              <w:rPr>
                <w:sz w:val="13"/>
                <w:szCs w:val="13"/>
                <w:color w:val="auto"/>
              </w:rPr>
            </w:pPr>
          </w:p>
        </w:tc>
      </w:tr>
      <w:tr>
        <w:trPr>
          <w:trHeight w:val="187"/>
        </w:trPr>
        <w:tc>
          <w:tcPr>
            <w:tcW w:w="5280" w:type="dxa"/>
            <w:vAlign w:val="bottom"/>
          </w:tcPr>
          <w:p>
            <w:pPr>
              <w:spacing w:after="0"/>
              <w:rPr>
                <w:sz w:val="16"/>
                <w:szCs w:val="16"/>
                <w:color w:val="auto"/>
              </w:rPr>
            </w:pPr>
          </w:p>
        </w:tc>
        <w:tc>
          <w:tcPr>
            <w:tcW w:w="226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60" w:type="dxa"/>
            <w:vAlign w:val="bottom"/>
          </w:tcPr>
          <w:p>
            <w:pPr>
              <w:spacing w:after="0"/>
              <w:rPr>
                <w:sz w:val="16"/>
                <w:szCs w:val="16"/>
                <w:color w:val="auto"/>
              </w:rPr>
            </w:pPr>
          </w:p>
        </w:tc>
      </w:tr>
      <w:tr>
        <w:trPr>
          <w:trHeight w:val="196"/>
        </w:trPr>
        <w:tc>
          <w:tcPr>
            <w:tcW w:w="5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96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2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599,500</w:t>
            </w:r>
          </w:p>
        </w:tc>
        <w:tc>
          <w:tcPr>
            <w:tcW w:w="30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19.56</w:t>
            </w:r>
          </w:p>
        </w:tc>
        <w:tc>
          <w:tcPr>
            <w:tcW w:w="60" w:type="dxa"/>
            <w:vAlign w:val="bottom"/>
          </w:tcPr>
          <w:p>
            <w:pPr>
              <w:spacing w:after="0"/>
              <w:rPr>
                <w:sz w:val="17"/>
                <w:szCs w:val="17"/>
                <w:color w:val="auto"/>
              </w:rPr>
            </w:pPr>
          </w:p>
        </w:tc>
      </w:tr>
      <w:tr>
        <w:trPr>
          <w:trHeight w:val="203"/>
        </w:trPr>
        <w:tc>
          <w:tcPr>
            <w:tcW w:w="528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2260" w:type="dxa"/>
            <w:vAlign w:val="bottom"/>
            <w:gridSpan w:val="2"/>
            <w:shd w:val="clear" w:color="auto" w:fill="CFF0FC"/>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(3,000 )</w:t>
            </w:r>
          </w:p>
        </w:tc>
        <w:tc>
          <w:tcPr>
            <w:tcW w:w="220" w:type="dxa"/>
            <w:vAlign w:val="bottom"/>
            <w:shd w:val="clear" w:color="auto" w:fill="CFF0FC"/>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19.56</w:t>
            </w:r>
          </w:p>
        </w:tc>
        <w:tc>
          <w:tcPr>
            <w:tcW w:w="60" w:type="dxa"/>
            <w:vAlign w:val="bottom"/>
            <w:shd w:val="clear" w:color="auto" w:fill="CFF0FC"/>
          </w:tcPr>
          <w:p>
            <w:pPr>
              <w:spacing w:after="0"/>
              <w:rPr>
                <w:sz w:val="17"/>
                <w:szCs w:val="17"/>
                <w:color w:val="auto"/>
              </w:rPr>
            </w:pPr>
          </w:p>
        </w:tc>
      </w:tr>
      <w:tr>
        <w:trPr>
          <w:trHeight w:val="196"/>
        </w:trPr>
        <w:tc>
          <w:tcPr>
            <w:tcW w:w="528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9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596,500</w:t>
            </w:r>
          </w:p>
        </w:tc>
        <w:tc>
          <w:tcPr>
            <w:tcW w:w="3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CFF0FC"/>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19.56</w:t>
            </w:r>
          </w:p>
        </w:tc>
        <w:tc>
          <w:tcPr>
            <w:tcW w:w="60" w:type="dxa"/>
            <w:vAlign w:val="bottom"/>
            <w:tcBorders>
              <w:top w:val="single" w:sz="8" w:color="CFF0FC"/>
            </w:tcBorders>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-159385</wp:posOffset>
            </wp:positionV>
            <wp:extent cx="5969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78"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As of December 31, 2021, there was $9.9 million of unrecognized equity-based compensation expense related to RSUs which is expected to be recognized over a weighted-average period of approximately 1.7 years.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RSA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60" w:type="dxa"/>
            <w:vAlign w:val="bottom"/>
          </w:tcPr>
          <w:p>
            <w:pPr>
              <w:spacing w:after="0"/>
              <w:rPr>
                <w:sz w:val="13"/>
                <w:szCs w:val="13"/>
                <w:color w:val="auto"/>
              </w:rPr>
            </w:pPr>
          </w:p>
        </w:tc>
      </w:tr>
      <w:tr>
        <w:trPr>
          <w:trHeight w:val="187"/>
        </w:trPr>
        <w:tc>
          <w:tcPr>
            <w:tcW w:w="5240" w:type="dxa"/>
            <w:vAlign w:val="bottom"/>
          </w:tcPr>
          <w:p>
            <w:pPr>
              <w:spacing w:after="0"/>
              <w:rPr>
                <w:sz w:val="16"/>
                <w:szCs w:val="16"/>
                <w:color w:val="auto"/>
              </w:rPr>
            </w:pPr>
          </w:p>
        </w:tc>
        <w:tc>
          <w:tcPr>
            <w:tcW w:w="228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6"/>
                <w:szCs w:val="16"/>
                <w:color w:val="auto"/>
              </w:rPr>
            </w:pPr>
          </w:p>
        </w:tc>
        <w:tc>
          <w:tcPr>
            <w:tcW w:w="1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60" w:type="dxa"/>
            <w:vAlign w:val="bottom"/>
          </w:tcPr>
          <w:p>
            <w:pPr>
              <w:spacing w:after="0"/>
              <w:rPr>
                <w:sz w:val="16"/>
                <w:szCs w:val="16"/>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9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137,691</w:t>
            </w:r>
          </w:p>
        </w:tc>
        <w:tc>
          <w:tcPr>
            <w:tcW w:w="30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6.15</w:t>
            </w:r>
          </w:p>
        </w:tc>
        <w:tc>
          <w:tcPr>
            <w:tcW w:w="60" w:type="dxa"/>
            <w:vAlign w:val="bottom"/>
          </w:tcPr>
          <w:p>
            <w:pPr>
              <w:spacing w:after="0"/>
              <w:rPr>
                <w:sz w:val="17"/>
                <w:szCs w:val="17"/>
                <w:color w:val="auto"/>
              </w:rPr>
            </w:pPr>
          </w:p>
        </w:tc>
      </w:tr>
      <w:tr>
        <w:trPr>
          <w:trHeight w:val="203"/>
        </w:trPr>
        <w:tc>
          <w:tcPr>
            <w:tcW w:w="524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2280" w:type="dxa"/>
            <w:vAlign w:val="bottom"/>
            <w:gridSpan w:val="2"/>
            <w:shd w:val="clear" w:color="auto" w:fill="CFF0FC"/>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(21,800 )</w:t>
            </w:r>
          </w:p>
        </w:tc>
        <w:tc>
          <w:tcPr>
            <w:tcW w:w="2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6.12</w:t>
            </w:r>
          </w:p>
        </w:tc>
        <w:tc>
          <w:tcPr>
            <w:tcW w:w="60" w:type="dxa"/>
            <w:vAlign w:val="bottom"/>
            <w:shd w:val="clear" w:color="auto" w:fill="CFF0FC"/>
          </w:tcPr>
          <w:p>
            <w:pPr>
              <w:spacing w:after="0"/>
              <w:rPr>
                <w:sz w:val="17"/>
                <w:szCs w:val="17"/>
                <w:color w:val="auto"/>
              </w:rPr>
            </w:pPr>
          </w:p>
        </w:tc>
      </w:tr>
      <w:tr>
        <w:trPr>
          <w:trHeight w:val="203"/>
        </w:trPr>
        <w:tc>
          <w:tcPr>
            <w:tcW w:w="52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228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(2,718 )</w:t>
            </w:r>
          </w:p>
        </w:tc>
        <w:tc>
          <w:tcPr>
            <w:tcW w:w="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6.27</w:t>
            </w:r>
          </w:p>
        </w:tc>
        <w:tc>
          <w:tcPr>
            <w:tcW w:w="60" w:type="dxa"/>
            <w:vAlign w:val="bottom"/>
          </w:tcPr>
          <w:p>
            <w:pPr>
              <w:spacing w:after="0"/>
              <w:rPr>
                <w:sz w:val="17"/>
                <w:szCs w:val="17"/>
                <w:color w:val="auto"/>
              </w:rPr>
            </w:pPr>
          </w:p>
        </w:tc>
      </w:tr>
      <w:tr>
        <w:trPr>
          <w:trHeight w:val="236"/>
        </w:trPr>
        <w:tc>
          <w:tcPr>
            <w:tcW w:w="52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113,173</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FF0FC"/>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6.15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firstLine="1018"/>
        <w:spacing w:after="0" w:line="239" w:lineRule="auto"/>
        <w:rPr>
          <w:sz w:val="20"/>
          <w:szCs w:val="20"/>
          <w:color w:val="auto"/>
        </w:rPr>
      </w:pPr>
      <w:r>
        <w:rPr>
          <w:rFonts w:ascii="Times New Roman" w:cs="Times New Roman" w:eastAsia="Times New Roman" w:hAnsi="Times New Roman"/>
          <w:sz w:val="18"/>
          <w:szCs w:val="18"/>
          <w:color w:val="auto"/>
        </w:rPr>
        <w:t>In connection with the IPO and Organizational Transactions, 397,500 Profits Interests of Rani LLC were amended and replaced with 137,691 RSAs of the Company’s Class A common stock. This was considered to be a modification but did not result in modification accounting as it did not impact the awards’ vesting conditions, classification or fair value. The RSAs are subject to both service vesting conditions and the Company's reacquisition right of unvested RSAs from the holder, for no monetary consideration, upon the termination of continuous service by the holder. The RSAs are not deemed to be issued for accounting purposes until they vest and are therefore excluded from shares outstanding for accounting purposes until the repurchase right lapses and the shares are no longer subject to the reacquisition right. As of December 31, 2021, there was $0.4 million of unrecognized equity-based compensation expense related to RSAs which is expected to be recognized over a weighted-average period of approximately 1.4 years. The total fair value of the RSAs that vested in 2021 was approximately $0.4 million.</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Profits Interests activity during the periods indicated is as follows:</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2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5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Profits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Profits</w:t>
            </w:r>
          </w:p>
        </w:tc>
        <w:tc>
          <w:tcPr>
            <w:tcW w:w="220" w:type="dxa"/>
            <w:vAlign w:val="bottom"/>
          </w:tcPr>
          <w:p>
            <w:pPr>
              <w:spacing w:after="0"/>
              <w:rPr>
                <w:sz w:val="12"/>
                <w:szCs w:val="12"/>
                <w:color w:val="auto"/>
              </w:rPr>
            </w:pPr>
          </w:p>
        </w:tc>
        <w:tc>
          <w:tcPr>
            <w:tcW w:w="12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Pr>
          <w:p>
            <w:pPr>
              <w:spacing w:after="0"/>
              <w:rPr>
                <w:sz w:val="16"/>
                <w:szCs w:val="16"/>
                <w:color w:val="auto"/>
              </w:rPr>
            </w:pPr>
          </w:p>
        </w:tc>
        <w:tc>
          <w:tcPr>
            <w:tcW w:w="120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0" w:type="dxa"/>
            <w:vAlign w:val="bottom"/>
          </w:tcPr>
          <w:p>
            <w:pPr>
              <w:spacing w:after="0"/>
              <w:rPr>
                <w:sz w:val="1"/>
                <w:szCs w:val="1"/>
                <w:color w:val="auto"/>
              </w:rPr>
            </w:pPr>
          </w:p>
        </w:tc>
      </w:tr>
      <w:tr>
        <w:trPr>
          <w:trHeight w:val="196"/>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6,926,358</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ind w:left="520"/>
              <w:spacing w:after="0" w:line="196" w:lineRule="exact"/>
              <w:rPr>
                <w:sz w:val="20"/>
                <w:szCs w:val="20"/>
                <w:color w:val="auto"/>
              </w:rPr>
            </w:pPr>
            <w:r>
              <w:rPr>
                <w:rFonts w:ascii="Times New Roman" w:cs="Times New Roman" w:eastAsia="Times New Roman" w:hAnsi="Times New Roman"/>
                <w:sz w:val="18"/>
                <w:szCs w:val="18"/>
                <w:color w:val="auto"/>
                <w:w w:val="99"/>
              </w:rPr>
              <w:t>$1.44 - $2.29</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1,857,000</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1700" w:type="dxa"/>
            <w:vAlign w:val="bottom"/>
            <w:gridSpan w:val="2"/>
          </w:tcPr>
          <w:p>
            <w:pPr>
              <w:ind w:left="720"/>
              <w:spacing w:after="0" w:line="202" w:lineRule="exact"/>
              <w:rPr>
                <w:sz w:val="20"/>
                <w:szCs w:val="20"/>
                <w:color w:val="auto"/>
              </w:rPr>
            </w:pPr>
            <w:r>
              <w:rPr>
                <w:rFonts w:ascii="Times New Roman" w:cs="Times New Roman" w:eastAsia="Times New Roman" w:hAnsi="Times New Roman"/>
                <w:sz w:val="18"/>
                <w:szCs w:val="18"/>
                <w:color w:val="auto"/>
                <w:w w:val="99"/>
              </w:rPr>
              <w:t>$1.99 - $2.13</w:t>
            </w:r>
          </w:p>
        </w:tc>
        <w:tc>
          <w:tcPr>
            <w:tcW w:w="0" w:type="dxa"/>
            <w:vAlign w:val="bottom"/>
          </w:tcPr>
          <w:p>
            <w:pPr>
              <w:spacing w:after="0"/>
              <w:rPr>
                <w:sz w:val="1"/>
                <w:szCs w:val="1"/>
                <w:color w:val="auto"/>
              </w:rPr>
            </w:pPr>
          </w:p>
        </w:tc>
      </w:tr>
      <w:tr>
        <w:trPr>
          <w:trHeight w:val="202"/>
        </w:trPr>
        <w:tc>
          <w:tcPr>
            <w:tcW w:w="470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(235,957 )</w:t>
            </w:r>
          </w:p>
        </w:tc>
        <w:tc>
          <w:tcPr>
            <w:tcW w:w="22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2.04</w:t>
            </w:r>
          </w:p>
        </w:tc>
        <w:tc>
          <w:tcPr>
            <w:tcW w:w="1700" w:type="dxa"/>
            <w:vAlign w:val="bottom"/>
            <w:gridSpan w:val="2"/>
            <w:shd w:val="clear" w:color="auto" w:fill="CFF0FC"/>
          </w:tcPr>
          <w:p>
            <w:pPr>
              <w:ind w:left="720"/>
              <w:spacing w:after="0" w:line="202" w:lineRule="exact"/>
              <w:rPr>
                <w:sz w:val="20"/>
                <w:szCs w:val="20"/>
                <w:color w:val="auto"/>
              </w:rPr>
            </w:pPr>
            <w:r>
              <w:rPr>
                <w:rFonts w:ascii="Times New Roman" w:cs="Times New Roman" w:eastAsia="Times New Roman" w:hAnsi="Times New Roman"/>
                <w:sz w:val="18"/>
                <w:szCs w:val="18"/>
                <w:color w:val="auto"/>
                <w:w w:val="99"/>
              </w:rPr>
              <w:t>$1.45 - $2.29</w:t>
            </w:r>
          </w:p>
        </w:tc>
        <w:tc>
          <w:tcPr>
            <w:tcW w:w="0" w:type="dxa"/>
            <w:vAlign w:val="bottom"/>
          </w:tcPr>
          <w:p>
            <w:pPr>
              <w:spacing w:after="0"/>
              <w:rPr>
                <w:sz w:val="1"/>
                <w:szCs w:val="1"/>
                <w:color w:val="auto"/>
              </w:rPr>
            </w:pPr>
          </w:p>
        </w:tc>
      </w:tr>
      <w:tr>
        <w:trPr>
          <w:trHeight w:val="203"/>
        </w:trPr>
        <w:tc>
          <w:tcPr>
            <w:tcW w:w="47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7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(8,149,901 )</w:t>
            </w:r>
          </w:p>
        </w:tc>
        <w:tc>
          <w:tcPr>
            <w:tcW w:w="22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1.70</w:t>
            </w:r>
          </w:p>
        </w:tc>
        <w:tc>
          <w:tcPr>
            <w:tcW w:w="1700" w:type="dxa"/>
            <w:vAlign w:val="bottom"/>
            <w:gridSpan w:val="2"/>
          </w:tcPr>
          <w:p>
            <w:pPr>
              <w:ind w:left="720"/>
              <w:spacing w:after="0" w:line="202" w:lineRule="exact"/>
              <w:rPr>
                <w:sz w:val="20"/>
                <w:szCs w:val="20"/>
                <w:color w:val="auto"/>
              </w:rPr>
            </w:pPr>
            <w:r>
              <w:rPr>
                <w:rFonts w:ascii="Times New Roman" w:cs="Times New Roman" w:eastAsia="Times New Roman" w:hAnsi="Times New Roman"/>
                <w:sz w:val="18"/>
                <w:szCs w:val="18"/>
                <w:color w:val="auto"/>
                <w:w w:val="99"/>
              </w:rPr>
              <w:t>$1.44 - $2.29</w:t>
            </w: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Canceled and replaced with restricted stock awards</w:t>
            </w:r>
          </w:p>
        </w:tc>
        <w:tc>
          <w:tcPr>
            <w:tcW w:w="1720" w:type="dxa"/>
            <w:vAlign w:val="bottom"/>
            <w:gridSpan w:val="2"/>
            <w:shd w:val="clear" w:color="auto" w:fill="CFF0FC"/>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(397,500 )</w:t>
            </w:r>
          </w:p>
        </w:tc>
        <w:tc>
          <w:tcPr>
            <w:tcW w:w="22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1700" w:type="dxa"/>
            <w:vAlign w:val="bottom"/>
            <w:gridSpan w:val="2"/>
            <w:shd w:val="clear" w:color="auto" w:fill="CFF0FC"/>
          </w:tcPr>
          <w:p>
            <w:pPr>
              <w:ind w:left="720"/>
              <w:spacing w:after="0" w:line="202" w:lineRule="exact"/>
              <w:rPr>
                <w:sz w:val="20"/>
                <w:szCs w:val="20"/>
                <w:color w:val="auto"/>
              </w:rPr>
            </w:pPr>
            <w:r>
              <w:rPr>
                <w:rFonts w:ascii="Times New Roman" w:cs="Times New Roman" w:eastAsia="Times New Roman" w:hAnsi="Times New Roman"/>
                <w:sz w:val="18"/>
                <w:szCs w:val="18"/>
                <w:color w:val="auto"/>
                <w:w w:val="99"/>
              </w:rPr>
              <w:t>$1.99 - $2.13</w:t>
            </w:r>
          </w:p>
        </w:tc>
        <w:tc>
          <w:tcPr>
            <w:tcW w:w="0" w:type="dxa"/>
            <w:vAlign w:val="bottom"/>
          </w:tcPr>
          <w:p>
            <w:pPr>
              <w:spacing w:after="0"/>
              <w:rPr>
                <w:sz w:val="1"/>
                <w:szCs w:val="1"/>
                <w:color w:val="auto"/>
              </w:rPr>
            </w:pPr>
          </w:p>
        </w:tc>
      </w:tr>
      <w:tr>
        <w:trPr>
          <w:trHeight w:val="196"/>
        </w:trPr>
        <w:tc>
          <w:tcPr>
            <w:tcW w:w="470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FF0FC"/>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17"/>
                <w:szCs w:val="17"/>
                <w:color w:val="auto"/>
              </w:rPr>
            </w:pPr>
          </w:p>
        </w:tc>
        <w:tc>
          <w:tcPr>
            <w:tcW w:w="15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-159385</wp:posOffset>
            </wp:positionV>
            <wp:extent cx="6032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78" w:lineRule="exact"/>
        <w:rPr>
          <w:sz w:val="20"/>
          <w:szCs w:val="20"/>
          <w:color w:val="auto"/>
        </w:rPr>
      </w:pPr>
    </w:p>
    <w:p>
      <w:pPr>
        <w:ind w:right="40" w:firstLine="1018"/>
        <w:spacing w:after="0" w:line="239" w:lineRule="auto"/>
        <w:rPr>
          <w:sz w:val="20"/>
          <w:szCs w:val="20"/>
          <w:color w:val="auto"/>
        </w:rPr>
      </w:pPr>
      <w:r>
        <w:rPr>
          <w:rFonts w:ascii="Times New Roman" w:cs="Times New Roman" w:eastAsia="Times New Roman" w:hAnsi="Times New Roman"/>
          <w:sz w:val="18"/>
          <w:szCs w:val="18"/>
          <w:color w:val="auto"/>
        </w:rPr>
        <w:t>In connection with the IPO and Organizational Transactions, 1,771,767 units of unvested Profits Interests that contained a performance condition were modified to accelerate their vesting in return for exchanging such awards for shares of the Company’s Class A common stock upon an IPO. Concurrent with the IPO, such Profits Interests holders exchanged their then issued 3,201,220 Class A Units of Rani LLC for 1,655,409 shares of the Company’s Class A common stock. This resulted in an improbable to improbable modification and resulted in the remeasurement of the related compensation cost at the fair value of these Profits Interests on the modification date in July 2021. As a result of the modification and based on the performance condition being satisfied with the IPO and Organizational Transactions in July 2021, the Company recognized an incremental equity-based compensation expense of $3.0 million for the year ended December 31, 2021. Profits Interests of 397,500 still subject to service based vesting, but where the performance condition associated with the IPO and Organizational Transactions had been met, were exchanged for 137,691 RSAs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131" w:name="page132"/>
    <w:bookmarkEnd w:id="131"/>
    <w:p>
      <w:pPr>
        <w:ind w:right="720"/>
        <w:spacing w:after="0" w:line="266" w:lineRule="auto"/>
        <w:rPr>
          <w:sz w:val="20"/>
          <w:szCs w:val="20"/>
          <w:color w:val="auto"/>
        </w:rPr>
      </w:pPr>
      <w:r>
        <w:rPr>
          <w:rFonts w:ascii="Times New Roman" w:cs="Times New Roman" w:eastAsia="Times New Roman" w:hAnsi="Times New Roman"/>
          <w:sz w:val="18"/>
          <w:szCs w:val="18"/>
          <w:color w:val="auto"/>
        </w:rPr>
        <w:t>with the same remaining service vesting conditions. All Profits Interests no longer subject to a vesting condition and that did not participate in the exchange, were converted into 1,545,522 Class A Units of Rani LLC.</w:t>
      </w:r>
    </w:p>
    <w:p>
      <w:pPr>
        <w:spacing w:after="0" w:line="162"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Upon the IPO and Organizational Transactions, the performance condition was met for all Profits Interest no longer subject to a service based vesting condition and the Company recorded an additional $14.0 million of equity-based compensation expense.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Awards</w:t>
      </w:r>
    </w:p>
    <w:p>
      <w:pPr>
        <w:spacing w:after="0" w:line="216"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each stock option award on the date of grant. The assumptions and estimates are as follows:</w:t>
      </w:r>
    </w:p>
    <w:p>
      <w:pPr>
        <w:spacing w:after="0" w:line="160" w:lineRule="exact"/>
        <w:rPr>
          <w:sz w:val="20"/>
          <w:szCs w:val="20"/>
          <w:color w:val="auto"/>
        </w:rPr>
      </w:pPr>
    </w:p>
    <w:p>
      <w:pPr>
        <w:ind w:left="1020" w:right="100" w:hanging="503"/>
        <w:spacing w:after="0" w:line="268"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of time that stock option awards are expected to remain outstanding.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the expected term as the midpoint between actual or expected vesting date and the contractual term.</w:t>
      </w:r>
    </w:p>
    <w:p>
      <w:pPr>
        <w:spacing w:after="0" w:line="158" w:lineRule="exact"/>
        <w:rPr>
          <w:rFonts w:ascii="Times New Roman" w:cs="Times New Roman" w:eastAsia="Times New Roman" w:hAnsi="Times New Roman"/>
          <w:sz w:val="18"/>
          <w:szCs w:val="18"/>
          <w:color w:val="auto"/>
        </w:rPr>
      </w:pPr>
    </w:p>
    <w:p>
      <w:pPr>
        <w:jc w:val="both"/>
        <w:ind w:left="1020" w:hanging="503"/>
        <w:spacing w:after="0" w:line="251"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expected volatility was derived from the historical stock volatilities of peer public companies within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that are considered to be comparable businesses over a period equivalent to the expected term of the stock option awards, since there has been limited trading history of the Company's stock.</w:t>
      </w:r>
    </w:p>
    <w:p>
      <w:pPr>
        <w:spacing w:after="0" w:line="174" w:lineRule="exact"/>
        <w:rPr>
          <w:rFonts w:ascii="Times New Roman" w:cs="Times New Roman" w:eastAsia="Times New Roman" w:hAnsi="Times New Roman"/>
          <w:sz w:val="18"/>
          <w:szCs w:val="18"/>
          <w:color w:val="auto"/>
        </w:rPr>
      </w:pPr>
    </w:p>
    <w:p>
      <w:pPr>
        <w:ind w:left="1020" w:right="60" w:hanging="503"/>
        <w:spacing w:after="0" w:line="268"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U.S. Treasury yield curve in effect at the date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approximately equal to the stock option awards’ expected term.</w:t>
      </w:r>
    </w:p>
    <w:p>
      <w:pPr>
        <w:spacing w:after="0" w:line="15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The expected dividend yield is zero as the Company has no plans to make dividend payments.</w:t>
      </w:r>
    </w:p>
    <w:p>
      <w:pPr>
        <w:spacing w:after="0" w:line="21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weighted average assumptions used in estimating the fair value of stock option awards on the grant date:</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27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r>
      <w:tr>
        <w:trPr>
          <w:trHeight w:val="196"/>
        </w:trPr>
        <w:tc>
          <w:tcPr>
            <w:tcW w:w="6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Expected volatility</w:t>
            </w:r>
          </w:p>
        </w:tc>
        <w:tc>
          <w:tcPr>
            <w:tcW w:w="2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81.7</w:t>
            </w:r>
          </w:p>
        </w:tc>
        <w:tc>
          <w:tcPr>
            <w:tcW w:w="46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Risk-free interest rate</w:t>
            </w:r>
          </w:p>
        </w:tc>
        <w:tc>
          <w:tcPr>
            <w:tcW w:w="2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46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8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Expected term (in years)</w:t>
            </w:r>
          </w:p>
        </w:tc>
        <w:tc>
          <w:tcPr>
            <w:tcW w:w="22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c>
          <w:tcPr>
            <w:tcW w:w="460" w:type="dxa"/>
            <w:vAlign w:val="bottom"/>
            <w:shd w:val="clear" w:color="auto" w:fill="CFF0FC"/>
          </w:tcPr>
          <w:p>
            <w:pPr>
              <w:spacing w:after="0"/>
              <w:rPr>
                <w:sz w:val="17"/>
                <w:szCs w:val="17"/>
                <w:color w:val="auto"/>
              </w:rPr>
            </w:pPr>
          </w:p>
        </w:tc>
      </w:tr>
      <w:tr>
        <w:trPr>
          <w:trHeight w:val="24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216" w:lineRule="exact"/>
        <w:rPr>
          <w:sz w:val="20"/>
          <w:szCs w:val="20"/>
          <w:color w:val="auto"/>
        </w:rPr>
      </w:pPr>
    </w:p>
    <w:p>
      <w:pPr>
        <w:ind w:right="360" w:firstLine="1018"/>
        <w:spacing w:after="0" w:line="250" w:lineRule="auto"/>
        <w:rPr>
          <w:sz w:val="20"/>
          <w:szCs w:val="20"/>
          <w:color w:val="auto"/>
        </w:rPr>
      </w:pPr>
      <w:r>
        <w:rPr>
          <w:rFonts w:ascii="Times New Roman" w:cs="Times New Roman" w:eastAsia="Times New Roman" w:hAnsi="Times New Roman"/>
          <w:sz w:val="18"/>
          <w:szCs w:val="18"/>
          <w:color w:val="auto"/>
        </w:rPr>
        <w:t>The following table summarizes the components of equity-based compensation expense resulting from the grant of stock options, RSUs, RSAs, Profits Interests, and options for common units, recorded in the Company’s consolidated statement of operations and comprehensive loss (in thousands):</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30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jc w:val="right"/>
              <w:ind w:right="10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8,156</w:t>
            </w: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ind w:left="10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53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14,439</w:t>
            </w:r>
          </w:p>
        </w:tc>
        <w:tc>
          <w:tcPr>
            <w:tcW w:w="2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7"/>
                <w:szCs w:val="17"/>
                <w:color w:val="auto"/>
              </w:rPr>
            </w:pPr>
          </w:p>
        </w:tc>
      </w:tr>
      <w:tr>
        <w:trPr>
          <w:trHeight w:val="236"/>
        </w:trPr>
        <w:tc>
          <w:tcPr>
            <w:tcW w:w="5300" w:type="dxa"/>
            <w:vAlign w:val="bottom"/>
            <w:tcBorders>
              <w:bottom w:val="single" w:sz="8" w:color="CFF0FC"/>
            </w:tcBorders>
            <w:shd w:val="clear" w:color="auto" w:fill="CFF0FC"/>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equity-based compensation</w:t>
            </w:r>
          </w:p>
        </w:tc>
        <w:tc>
          <w:tcPr>
            <w:tcW w:w="1220" w:type="dxa"/>
            <w:vAlign w:val="bottom"/>
            <w:tcBorders>
              <w:bottom w:val="single" w:sz="8" w:color="auto"/>
            </w:tcBorders>
            <w:shd w:val="clear" w:color="auto" w:fill="CFF0FC"/>
          </w:tcPr>
          <w:p>
            <w:pPr>
              <w:jc w:val="right"/>
              <w:ind w:right="10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22,595</w:t>
            </w:r>
          </w:p>
        </w:tc>
        <w:tc>
          <w:tcPr>
            <w:tcW w:w="2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ind w:left="10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431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431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342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6" w:lineRule="exact"/>
        <w:rPr>
          <w:sz w:val="20"/>
          <w:szCs w:val="20"/>
          <w:color w:val="auto"/>
        </w:rPr>
      </w:pPr>
    </w:p>
    <w:p>
      <w:pPr>
        <w:ind w:right="80" w:firstLine="1018"/>
        <w:spacing w:after="0"/>
        <w:rPr>
          <w:sz w:val="20"/>
          <w:szCs w:val="20"/>
          <w:color w:val="auto"/>
        </w:rPr>
      </w:pPr>
      <w:r>
        <w:rPr>
          <w:rFonts w:ascii="Times New Roman" w:cs="Times New Roman" w:eastAsia="Times New Roman" w:hAnsi="Times New Roman"/>
          <w:sz w:val="18"/>
          <w:szCs w:val="18"/>
          <w:color w:val="auto"/>
        </w:rPr>
        <w:t>Rani LLC pays for the use of its office, laboratory and manufacturing facility in San Jose, California as part of the RMS-ICL Service Agreement (Note 6), which is accounted for as an operating lease. The lease requires for certain payments of real estate taxes, insurance and certain common area maintenance costs in addition to future minimum lease payments. The RMS-ICL Service Agreement has a twelve month term and will automatically renew for successive twelve month periods unless RMS or ICL terminate occupancy under the RMS-ICL Service Agreement upon six months notice. As of December 31, 2021, no renewal option periods were included in the estimated minimum lease terms as the options were not deemed to be reasonably assured to be exercised. Total operating lease expense incurred with ICL was $0.8 million for each of the years ended December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16" w:lineRule="exact"/>
        <w:rPr>
          <w:sz w:val="20"/>
          <w:szCs w:val="20"/>
          <w:color w:val="auto"/>
        </w:rPr>
      </w:pPr>
    </w:p>
    <w:p>
      <w:pPr>
        <w:ind w:right="100" w:firstLine="1018"/>
        <w:spacing w:after="0" w:line="24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16" w:lineRule="exact"/>
        <w:rPr>
          <w:sz w:val="20"/>
          <w:szCs w:val="20"/>
          <w:color w:val="auto"/>
        </w:rPr>
      </w:pPr>
    </w:p>
    <w:p>
      <w:pPr>
        <w:ind w:right="80" w:firstLine="1018"/>
        <w:spacing w:after="0"/>
        <w:rPr>
          <w:sz w:val="20"/>
          <w:szCs w:val="20"/>
          <w:color w:val="auto"/>
        </w:rPr>
      </w:pPr>
      <w:r>
        <w:rPr>
          <w:rFonts w:ascii="Times New Roman" w:cs="Times New Roman" w:eastAsia="Times New Roman" w:hAnsi="Times New Roman"/>
          <w:sz w:val="18"/>
          <w:szCs w:val="18"/>
          <w:color w:val="auto"/>
        </w:rPr>
        <w:t>In September 2020, Rani LLC entered into a secured convertible loan agreement (the “Loan and Security Agreement” or the “Loan”) with Avenue Venture Opportunity Fund L.P. (“Avenue”), whereby Rani LLC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Rani LLC opted not to draw down this additional amount, and the option has since expired undrawn. In exchange for access to this facility, Rani LLC agreed to issue warrants exercisable into Rani LLC preferred units amounting to $0.9 million; Rani LLC subsequently granted 118,929 Series E warrants with an exercise price of $7.1471 per unit (Note 7).</w:t>
      </w:r>
    </w:p>
    <w:p>
      <w:pPr>
        <w:spacing w:after="0" w:line="185" w:lineRule="exact"/>
        <w:rPr>
          <w:sz w:val="20"/>
          <w:szCs w:val="20"/>
          <w:color w:val="auto"/>
        </w:rPr>
      </w:pPr>
    </w:p>
    <w:p>
      <w:pPr>
        <w:ind w:right="60" w:firstLine="1018"/>
        <w:spacing w:after="0" w:line="264" w:lineRule="auto"/>
        <w:rPr>
          <w:sz w:val="20"/>
          <w:szCs w:val="20"/>
          <w:color w:val="auto"/>
        </w:rPr>
      </w:pPr>
      <w:r>
        <w:rPr>
          <w:rFonts w:ascii="Times New Roman" w:cs="Times New Roman" w:eastAsia="Times New Roman" w:hAnsi="Times New Roman"/>
          <w:sz w:val="17"/>
          <w:szCs w:val="17"/>
          <w:color w:val="auto"/>
        </w:rPr>
        <w:t>The Loan was interest only until September 2021 and bore interest at a variable rate of interest per annum, compounded monthly until its maturity date of September 2023, at which time all outstanding principal and interest would have become due and payable in cash if not already converted. Rani LLC’s obligations under the Loan were secured by a first priority security interest in substantially all of its assets. The Loan included customary events of default, including instances of a material adverse change in the Rani LLC’s operations, which may require prepayment of the outstanding Loan.</w:t>
      </w:r>
    </w:p>
    <w:p>
      <w:pPr>
        <w:spacing w:after="0" w:line="1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 December 31, 2020, the effective interest rate on the Loan was 20.56%. At December 31, 2021, there was no Loan outstanding.</w:t>
      </w:r>
    </w:p>
    <w:p>
      <w:pPr>
        <w:spacing w:after="0" w:line="212"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The Loan contained a contingent interest feature in the event of default that was not clearly and closely related to the underlying note and met the definition of a derivative. The Company concluded that the fair value of this derivative was insignificant for all periods presented.</w:t>
      </w:r>
    </w:p>
    <w:p>
      <w:pPr>
        <w:spacing w:after="0" w:line="162" w:lineRule="exact"/>
        <w:rPr>
          <w:sz w:val="20"/>
          <w:szCs w:val="20"/>
          <w:color w:val="auto"/>
        </w:rPr>
      </w:pPr>
    </w:p>
    <w:p>
      <w:pPr>
        <w:ind w:right="80" w:firstLine="1018"/>
        <w:spacing w:after="0" w:line="241" w:lineRule="auto"/>
        <w:rPr>
          <w:sz w:val="20"/>
          <w:szCs w:val="20"/>
          <w:color w:val="auto"/>
        </w:rPr>
      </w:pPr>
      <w:r>
        <w:rPr>
          <w:rFonts w:ascii="Times New Roman" w:cs="Times New Roman" w:eastAsia="Times New Roman" w:hAnsi="Times New Roman"/>
          <w:sz w:val="18"/>
          <w:szCs w:val="18"/>
          <w:color w:val="auto"/>
        </w:rPr>
        <w:t>The Loan and Security Agreement contained negative and affirmative covenants, including covenants that restricted the ability of Rani LLC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contained certain objective events of default, including, without limitation, nonpayment of principal, interest or other obligations, violation of the covenants, insolvency, court ordered judgments, and change in control. The Loan and Security Agreement required Rani LLC to provide audited consolidated financial statements to the lenders no later than 120 days after year-end.</w:t>
      </w:r>
    </w:p>
    <w:p>
      <w:pPr>
        <w:spacing w:after="0" w:line="184" w:lineRule="exact"/>
        <w:rPr>
          <w:sz w:val="20"/>
          <w:szCs w:val="20"/>
          <w:color w:val="auto"/>
        </w:rPr>
      </w:pPr>
    </w:p>
    <w:p>
      <w:pPr>
        <w:jc w:val="both"/>
        <w:ind w:right="200" w:firstLine="1018"/>
        <w:spacing w:after="0" w:line="245" w:lineRule="auto"/>
        <w:rPr>
          <w:sz w:val="20"/>
          <w:szCs w:val="20"/>
          <w:color w:val="auto"/>
        </w:rPr>
      </w:pPr>
      <w:r>
        <w:rPr>
          <w:rFonts w:ascii="Times New Roman" w:cs="Times New Roman" w:eastAsia="Times New Roman" w:hAnsi="Times New Roman"/>
          <w:sz w:val="18"/>
          <w:szCs w:val="18"/>
          <w:color w:val="auto"/>
        </w:rPr>
        <w:t>In July 2021, the Company repaid, in full, the $3.0 million of principal and approximately $0.5 million of final payment and fees under the Loan and Security Agreement resulting in a $0.7 million loss on extinguishment of debt recorded in the Company's consolidated statement of operations and comprehensive loss for the year ended December 31, 2021. Avenue Capital also waived their right to convert the outstanding principal into Series E Preferred Units.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16"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In April 2020, the Company received a $1.3 million small business loan under the Paycheck Protection Program (“PPP Loan”) as part of the CARES Act. The PPP Loan was due to mature in April 2022, and bore interest at a rate of 1.0% per annum. The PPP Loan was evidenced by a promissory note, which contained customary events of default relating to, among other things, payment defaults and breaches of representations and warranties. The PPP Loan could be prepaid at any time prior to maturity with no prepayment penalties.</w:t>
      </w:r>
    </w:p>
    <w:p>
      <w:pPr>
        <w:spacing w:after="0" w:line="181" w:lineRule="exact"/>
        <w:rPr>
          <w:sz w:val="20"/>
          <w:szCs w:val="20"/>
          <w:color w:val="auto"/>
        </w:r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Company used all proceeds from the PPP Loan to retain employees, maintain payroll and make lease and utility payments. In September 2021, the Company repaid in full the $1.3 million of principal and interest related to the PPP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1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13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3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1380" w:type="dxa"/>
            <w:vAlign w:val="bottom"/>
          </w:tcPr>
          <w:p>
            <w:pPr>
              <w:jc w:val="right"/>
              <w:ind w:right="1193"/>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780" w:type="dxa"/>
            <w:vAlign w:val="bottom"/>
            <w:gridSpan w:val="2"/>
          </w:tcPr>
          <w:p>
            <w:pPr>
              <w:jc w:val="right"/>
              <w:ind w:right="35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13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current tax expense</w:t>
            </w:r>
          </w:p>
        </w:tc>
        <w:tc>
          <w:tcPr>
            <w:tcW w:w="1380" w:type="dxa"/>
            <w:vAlign w:val="bottom"/>
          </w:tcPr>
          <w:p>
            <w:pPr>
              <w:jc w:val="right"/>
              <w:ind w:right="11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780" w:type="dxa"/>
            <w:vAlign w:val="bottom"/>
            <w:gridSpan w:val="2"/>
          </w:tcPr>
          <w:p>
            <w:pPr>
              <w:jc w:val="right"/>
              <w:ind w:right="3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7"/>
                <w:szCs w:val="17"/>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Deferred</w:t>
            </w:r>
          </w:p>
        </w:tc>
        <w:tc>
          <w:tcPr>
            <w:tcW w:w="13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34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Federal</w:t>
            </w:r>
          </w:p>
        </w:tc>
        <w:tc>
          <w:tcPr>
            <w:tcW w:w="1380" w:type="dxa"/>
            <w:vAlign w:val="bottom"/>
          </w:tcPr>
          <w:p>
            <w:pPr>
              <w:jc w:val="right"/>
              <w:ind w:right="1193"/>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5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r>
      <w:tr>
        <w:trPr>
          <w:trHeight w:val="203"/>
        </w:trPr>
        <w:tc>
          <w:tcPr>
            <w:tcW w:w="5340" w:type="dxa"/>
            <w:vAlign w:val="bottom"/>
            <w:tcBorders>
              <w:bottom w:val="single" w:sz="8" w:color="CFF0FC"/>
            </w:tcBorders>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State</w:t>
            </w:r>
          </w:p>
        </w:tc>
        <w:tc>
          <w:tcPr>
            <w:tcW w:w="13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3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Total deferred tax expense</w:t>
            </w:r>
          </w:p>
        </w:tc>
        <w:tc>
          <w:tcPr>
            <w:tcW w:w="1380" w:type="dxa"/>
            <w:vAlign w:val="bottom"/>
          </w:tcPr>
          <w:p>
            <w:pPr>
              <w:jc w:val="right"/>
              <w:ind w:right="11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r>
      <w:tr>
        <w:trPr>
          <w:trHeight w:val="236"/>
        </w:trPr>
        <w:tc>
          <w:tcPr>
            <w:tcW w:w="53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tcBorders>
              <w:top w:val="single" w:sz="8" w:color="auto"/>
              <w:bottom w:val="single" w:sz="8" w:color="auto"/>
            </w:tcBorders>
            <w:shd w:val="clear" w:color="auto" w:fill="CFF0FC"/>
          </w:tcPr>
          <w:p>
            <w:pPr>
              <w:jc w:val="right"/>
              <w:ind w:right="11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-828040</wp:posOffset>
            </wp:positionV>
            <wp:extent cx="431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-828040</wp:posOffset>
            </wp:positionV>
            <wp:extent cx="3429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-296545</wp:posOffset>
            </wp:positionV>
            <wp:extent cx="431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-296545</wp:posOffset>
            </wp:positionV>
            <wp:extent cx="3429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431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431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ind w:right="560" w:firstLine="1018"/>
        <w:spacing w:after="0" w:line="250" w:lineRule="auto"/>
        <w:rPr>
          <w:sz w:val="20"/>
          <w:szCs w:val="20"/>
          <w:color w:val="auto"/>
        </w:rPr>
      </w:pPr>
      <w:r>
        <w:rPr>
          <w:rFonts w:ascii="Times New Roman" w:cs="Times New Roman" w:eastAsia="Times New Roman" w:hAnsi="Times New Roman"/>
          <w:sz w:val="18"/>
          <w:szCs w:val="18"/>
          <w:color w:val="auto"/>
        </w:rPr>
        <w:t>The effective tax rate for the years ended December 31, 2021 and 2020 is different from the federal statutory rate primarily due to the valuation allowance against deferred tax assets as a result of insufficient sources of income and pass-through loss not subject to income tax. A reconciliation between the Company’s effective tax rate and the applicable U.S. federal statutory income tax rate is summarized as follows:</w:t>
      </w:r>
    </w:p>
    <w:p>
      <w:pPr>
        <w:spacing w:after="0" w:line="21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51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Federal statutory rate</w:t>
            </w:r>
          </w:p>
        </w:tc>
        <w:tc>
          <w:tcPr>
            <w:tcW w:w="1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21.0  %</w:t>
            </w:r>
          </w:p>
        </w:tc>
        <w:tc>
          <w:tcPr>
            <w:tcW w:w="200" w:type="dxa"/>
            <w:vAlign w:val="bottom"/>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21.0  %</w:t>
            </w:r>
          </w:p>
        </w:tc>
      </w:tr>
      <w:tr>
        <w:trPr>
          <w:trHeight w:val="203"/>
        </w:trPr>
        <w:tc>
          <w:tcPr>
            <w:tcW w:w="64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State tax, net of federal tax benefit</w:t>
            </w:r>
          </w:p>
        </w:tc>
        <w:tc>
          <w:tcPr>
            <w:tcW w:w="88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2260" w:type="dxa"/>
            <w:vAlign w:val="bottom"/>
            <w:gridSpan w:val="2"/>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(0.3 )</w:t>
            </w:r>
          </w:p>
        </w:tc>
      </w:tr>
      <w:tr>
        <w:trPr>
          <w:trHeight w:val="203"/>
        </w:trPr>
        <w:tc>
          <w:tcPr>
            <w:tcW w:w="640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Loss from non-controlling interest</w:t>
            </w:r>
          </w:p>
        </w:tc>
        <w:tc>
          <w:tcPr>
            <w:tcW w:w="880" w:type="dxa"/>
            <w:vAlign w:val="bottom"/>
            <w:shd w:val="clear" w:color="auto" w:fill="CFF0FC"/>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(5.3 )</w:t>
            </w:r>
          </w:p>
        </w:tc>
        <w:tc>
          <w:tcPr>
            <w:tcW w:w="200" w:type="dxa"/>
            <w:vAlign w:val="bottom"/>
            <w:shd w:val="clear" w:color="auto" w:fill="CFF0FC"/>
          </w:tcPr>
          <w:p>
            <w:pPr>
              <w:spacing w:after="0"/>
              <w:rPr>
                <w:sz w:val="17"/>
                <w:szCs w:val="17"/>
                <w:color w:val="auto"/>
              </w:rPr>
            </w:pPr>
          </w:p>
        </w:tc>
        <w:tc>
          <w:tcPr>
            <w:tcW w:w="2060" w:type="dxa"/>
            <w:vAlign w:val="bottom"/>
            <w:shd w:val="clear" w:color="auto" w:fill="CFF0FC"/>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4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Rate effect from pass-through entity</w:t>
            </w:r>
          </w:p>
        </w:tc>
        <w:tc>
          <w:tcPr>
            <w:tcW w:w="88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99"/>
              </w:rPr>
              <w:t>(12.6 )</w:t>
            </w:r>
          </w:p>
        </w:tc>
        <w:tc>
          <w:tcPr>
            <w:tcW w:w="2260" w:type="dxa"/>
            <w:vAlign w:val="bottom"/>
            <w:gridSpan w:val="2"/>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(21.9 )</w:t>
            </w:r>
          </w:p>
        </w:tc>
      </w:tr>
      <w:tr>
        <w:trPr>
          <w:trHeight w:val="203"/>
        </w:trPr>
        <w:tc>
          <w:tcPr>
            <w:tcW w:w="640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Permanent items</w:t>
            </w:r>
          </w:p>
        </w:tc>
        <w:tc>
          <w:tcPr>
            <w:tcW w:w="880" w:type="dxa"/>
            <w:vAlign w:val="bottom"/>
            <w:shd w:val="clear" w:color="auto" w:fill="CFF0FC"/>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(0.1 )</w:t>
            </w:r>
          </w:p>
        </w:tc>
        <w:tc>
          <w:tcPr>
            <w:tcW w:w="200" w:type="dxa"/>
            <w:vAlign w:val="bottom"/>
            <w:shd w:val="clear" w:color="auto" w:fill="CFF0FC"/>
          </w:tcPr>
          <w:p>
            <w:pPr>
              <w:spacing w:after="0"/>
              <w:rPr>
                <w:sz w:val="17"/>
                <w:szCs w:val="17"/>
                <w:color w:val="auto"/>
              </w:rPr>
            </w:pPr>
          </w:p>
        </w:tc>
        <w:tc>
          <w:tcPr>
            <w:tcW w:w="2060" w:type="dxa"/>
            <w:vAlign w:val="bottom"/>
            <w:shd w:val="clear" w:color="auto" w:fill="CFF0FC"/>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4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 credits</w:t>
            </w:r>
          </w:p>
        </w:tc>
        <w:tc>
          <w:tcPr>
            <w:tcW w:w="88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2260" w:type="dxa"/>
            <w:vAlign w:val="bottom"/>
            <w:gridSpan w:val="2"/>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3.8</w:t>
            </w:r>
          </w:p>
        </w:tc>
      </w:tr>
      <w:tr>
        <w:trPr>
          <w:trHeight w:val="203"/>
        </w:trPr>
        <w:tc>
          <w:tcPr>
            <w:tcW w:w="640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Uncertain tax positions</w:t>
            </w:r>
          </w:p>
        </w:tc>
        <w:tc>
          <w:tcPr>
            <w:tcW w:w="880" w:type="dxa"/>
            <w:vAlign w:val="bottom"/>
            <w:shd w:val="clear" w:color="auto" w:fill="CFF0FC"/>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(0.4 )</w:t>
            </w:r>
          </w:p>
        </w:tc>
        <w:tc>
          <w:tcPr>
            <w:tcW w:w="2260" w:type="dxa"/>
            <w:vAlign w:val="bottom"/>
            <w:gridSpan w:val="2"/>
            <w:shd w:val="clear" w:color="auto" w:fill="CFF0FC"/>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(0.6 )</w:t>
            </w:r>
          </w:p>
        </w:tc>
      </w:tr>
      <w:tr>
        <w:trPr>
          <w:trHeight w:val="203"/>
        </w:trPr>
        <w:tc>
          <w:tcPr>
            <w:tcW w:w="64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88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(6.6 )</w:t>
            </w:r>
          </w:p>
        </w:tc>
        <w:tc>
          <w:tcPr>
            <w:tcW w:w="2260" w:type="dxa"/>
            <w:vAlign w:val="bottom"/>
            <w:gridSpan w:val="2"/>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rPr>
              <w:t>(2.2 )</w:t>
            </w: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2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(0.1 ) %</w:t>
            </w:r>
          </w:p>
        </w:tc>
        <w:tc>
          <w:tcPr>
            <w:tcW w:w="200" w:type="dxa"/>
            <w:vAlign w:val="bottom"/>
            <w:tcBorders>
              <w:bottom w:val="single" w:sz="8" w:color="CFF0FC"/>
            </w:tcBorders>
            <w:shd w:val="clear" w:color="auto" w:fill="CFF0FC"/>
          </w:tcPr>
          <w:p>
            <w:pPr>
              <w:spacing w:after="0"/>
              <w:rPr>
                <w:sz w:val="20"/>
                <w:szCs w:val="20"/>
                <w:color w:val="auto"/>
              </w:rPr>
            </w:pPr>
          </w:p>
        </w:tc>
        <w:tc>
          <w:tcPr>
            <w:tcW w:w="20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(0.2 )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12001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12001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3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32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Investment in partnership</w:t>
            </w:r>
          </w:p>
        </w:tc>
        <w:tc>
          <w:tcPr>
            <w:tcW w:w="1180" w:type="dxa"/>
            <w:vAlign w:val="bottom"/>
          </w:tcPr>
          <w:p>
            <w:pPr>
              <w:jc w:val="right"/>
              <w:ind w:right="99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25,226</w:t>
            </w:r>
          </w:p>
        </w:tc>
        <w:tc>
          <w:tcPr>
            <w:tcW w:w="300" w:type="dxa"/>
            <w:vAlign w:val="bottom"/>
          </w:tcPr>
          <w:p>
            <w:pPr>
              <w:spacing w:after="0"/>
              <w:rPr>
                <w:sz w:val="17"/>
                <w:szCs w:val="17"/>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532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Net operating loss carryforward</w:t>
            </w:r>
          </w:p>
        </w:tc>
        <w:tc>
          <w:tcPr>
            <w:tcW w:w="1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1,952</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53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Research and development credits</w:t>
            </w:r>
          </w:p>
        </w:tc>
        <w:tc>
          <w:tcPr>
            <w:tcW w:w="1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1,458</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7"/>
                <w:szCs w:val="17"/>
                <w:color w:val="auto"/>
              </w:rPr>
            </w:pPr>
          </w:p>
        </w:tc>
      </w:tr>
      <w:tr>
        <w:trPr>
          <w:trHeight w:val="203"/>
        </w:trPr>
        <w:tc>
          <w:tcPr>
            <w:tcW w:w="5320" w:type="dxa"/>
            <w:vAlign w:val="bottom"/>
            <w:tcBorders>
              <w:bottom w:val="single" w:sz="8" w:color="CFF0FC"/>
            </w:tcBorders>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Accruals</w:t>
            </w:r>
          </w:p>
        </w:tc>
        <w:tc>
          <w:tcPr>
            <w:tcW w:w="1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55</w:t>
            </w:r>
          </w:p>
        </w:tc>
        <w:tc>
          <w:tcPr>
            <w:tcW w:w="3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deferred tax assets</w:t>
            </w:r>
          </w:p>
        </w:tc>
        <w:tc>
          <w:tcPr>
            <w:tcW w:w="1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28,691</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7"/>
                <w:szCs w:val="17"/>
                <w:color w:val="auto"/>
              </w:rPr>
            </w:pPr>
          </w:p>
        </w:tc>
      </w:tr>
      <w:tr>
        <w:trPr>
          <w:trHeight w:val="203"/>
        </w:trPr>
        <w:tc>
          <w:tcPr>
            <w:tcW w:w="532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Valuation allowance</w:t>
            </w:r>
          </w:p>
        </w:tc>
        <w:tc>
          <w:tcPr>
            <w:tcW w:w="1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(28,671 )</w:t>
            </w:r>
          </w:p>
        </w:tc>
        <w:tc>
          <w:tcPr>
            <w:tcW w:w="6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(369 )</w:t>
            </w:r>
          </w:p>
        </w:tc>
      </w:tr>
      <w:tr>
        <w:trPr>
          <w:trHeight w:val="196"/>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FF0FC"/>
            </w:tcBorders>
          </w:tcPr>
          <w:p>
            <w:pPr>
              <w:spacing w:after="0"/>
              <w:rPr>
                <w:sz w:val="17"/>
                <w:szCs w:val="17"/>
                <w:color w:val="auto"/>
              </w:rPr>
            </w:pPr>
          </w:p>
        </w:tc>
      </w:tr>
      <w:tr>
        <w:trPr>
          <w:trHeight w:val="203"/>
        </w:trPr>
        <w:tc>
          <w:tcPr>
            <w:tcW w:w="53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Deferred tax liability</w:t>
            </w:r>
          </w:p>
        </w:tc>
        <w:tc>
          <w:tcPr>
            <w:tcW w:w="1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2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Prepaid expenses</w:t>
            </w:r>
          </w:p>
        </w:tc>
        <w:tc>
          <w:tcPr>
            <w:tcW w:w="118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(20 )</w:t>
            </w:r>
          </w:p>
        </w:tc>
        <w:tc>
          <w:tcPr>
            <w:tcW w:w="680" w:type="dxa"/>
            <w:vAlign w:val="bottom"/>
          </w:tcPr>
          <w:p>
            <w:pPr>
              <w:spacing w:after="0"/>
              <w:rPr>
                <w:sz w:val="17"/>
                <w:szCs w:val="17"/>
                <w:color w:val="auto"/>
              </w:rPr>
            </w:pPr>
          </w:p>
        </w:tc>
        <w:tc>
          <w:tcPr>
            <w:tcW w:w="12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(13 )</w:t>
            </w:r>
          </w:p>
        </w:tc>
      </w:tr>
      <w:tr>
        <w:trPr>
          <w:trHeight w:val="236"/>
        </w:trPr>
        <w:tc>
          <w:tcPr>
            <w:tcW w:w="53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deferred tax asset</w:t>
            </w:r>
          </w:p>
        </w:tc>
        <w:tc>
          <w:tcPr>
            <w:tcW w:w="1180" w:type="dxa"/>
            <w:vAlign w:val="bottom"/>
            <w:tcBorders>
              <w:top w:val="single" w:sz="8" w:color="auto"/>
              <w:bottom w:val="single" w:sz="8" w:color="auto"/>
            </w:tcBorders>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-819150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-819150</wp:posOffset>
            </wp:positionV>
            <wp:extent cx="60325"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-553720</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-553720</wp:posOffset>
            </wp:positionV>
            <wp:extent cx="6032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7"/>
          <w:szCs w:val="17"/>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 timing and amount of which are uncertain. Because of the Company’s recent history of operating losses, the Company believes that recognition of the deferred tax assets arising from the above-mentioned future tax benefits is currently not likely to be realized and, accordingly, has recognized a full valuation allowance on its deferred tax assets. The valuation allowance increased by $28.3 million and $0.4 million for the years ended December 31, 2021 and 2020, respectively, primarily due to the increase in the Company’s net operating losses (“NOL”)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34" w:name="page135"/>
    <w:bookmarkEnd w:id="134"/>
    <w:p>
      <w:pPr>
        <w:ind w:left="1020"/>
        <w:spacing w:after="0"/>
        <w:rPr>
          <w:sz w:val="20"/>
          <w:szCs w:val="20"/>
          <w:color w:val="auto"/>
        </w:rPr>
      </w:pPr>
      <w:r>
        <w:rPr>
          <w:rFonts w:ascii="Times New Roman" w:cs="Times New Roman" w:eastAsia="Times New Roman" w:hAnsi="Times New Roman"/>
          <w:sz w:val="18"/>
          <w:szCs w:val="18"/>
          <w:color w:val="auto"/>
        </w:rPr>
        <w:t>As of December 31, 2021, the Company had the following tax attribute carryforwards that will expire on various dates as follows: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 (in thousands)</w:t>
            </w:r>
          </w:p>
        </w:tc>
        <w:tc>
          <w:tcPr>
            <w:tcW w:w="24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Years</w:t>
            </w:r>
          </w:p>
        </w:tc>
      </w:tr>
      <w:tr>
        <w:trPr>
          <w:trHeight w:val="196"/>
        </w:trPr>
        <w:tc>
          <w:tcPr>
            <w:tcW w:w="5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operating losses, federal (post December 31, 2017)</w:t>
            </w: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6,977</w:t>
            </w:r>
          </w:p>
        </w:tc>
        <w:tc>
          <w:tcPr>
            <w:tcW w:w="240" w:type="dxa"/>
            <w:vAlign w:val="bottom"/>
            <w:shd w:val="clear" w:color="auto" w:fill="CFF0FC"/>
          </w:tcPr>
          <w:p>
            <w:pPr>
              <w:spacing w:after="0"/>
              <w:rPr>
                <w:sz w:val="17"/>
                <w:szCs w:val="17"/>
                <w:color w:val="auto"/>
              </w:rPr>
            </w:pPr>
          </w:p>
        </w:tc>
        <w:tc>
          <w:tcPr>
            <w:tcW w:w="200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Indefinite</w:t>
            </w:r>
          </w:p>
        </w:tc>
      </w:tr>
      <w:tr>
        <w:trPr>
          <w:trHeight w:val="203"/>
        </w:trPr>
        <w:tc>
          <w:tcPr>
            <w:tcW w:w="53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operating loss, state (definite)</w:t>
            </w:r>
          </w:p>
        </w:tc>
        <w:tc>
          <w:tcPr>
            <w:tcW w:w="20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6,974</w:t>
            </w:r>
          </w:p>
        </w:tc>
        <w:tc>
          <w:tcPr>
            <w:tcW w:w="2240" w:type="dxa"/>
            <w:vAlign w:val="bottom"/>
            <w:gridSpan w:val="2"/>
          </w:tcPr>
          <w:p>
            <w:pPr>
              <w:jc w:val="right"/>
              <w:ind w:right="736"/>
              <w:spacing w:after="0" w:line="202" w:lineRule="exact"/>
              <w:rPr>
                <w:sz w:val="20"/>
                <w:szCs w:val="20"/>
                <w:color w:val="auto"/>
              </w:rPr>
            </w:pPr>
            <w:r>
              <w:rPr>
                <w:rFonts w:ascii="Times New Roman" w:cs="Times New Roman" w:eastAsia="Times New Roman" w:hAnsi="Times New Roman"/>
                <w:sz w:val="18"/>
                <w:szCs w:val="18"/>
                <w:color w:val="auto"/>
              </w:rPr>
              <w:t>2041</w:t>
            </w:r>
          </w:p>
        </w:tc>
      </w:tr>
      <w:tr>
        <w:trPr>
          <w:trHeight w:val="203"/>
        </w:trPr>
        <w:tc>
          <w:tcPr>
            <w:tcW w:w="530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Research and development tax credits, federal</w:t>
            </w:r>
          </w:p>
        </w:tc>
        <w:tc>
          <w:tcPr>
            <w:tcW w:w="20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1,021</w:t>
            </w:r>
          </w:p>
        </w:tc>
        <w:tc>
          <w:tcPr>
            <w:tcW w:w="2240" w:type="dxa"/>
            <w:vAlign w:val="bottom"/>
            <w:gridSpan w:val="2"/>
            <w:shd w:val="clear" w:color="auto" w:fill="CFF0FC"/>
          </w:tcPr>
          <w:p>
            <w:pPr>
              <w:jc w:val="right"/>
              <w:ind w:right="476"/>
              <w:spacing w:after="0" w:line="202" w:lineRule="exact"/>
              <w:rPr>
                <w:sz w:val="20"/>
                <w:szCs w:val="20"/>
                <w:color w:val="auto"/>
              </w:rPr>
            </w:pPr>
            <w:r>
              <w:rPr>
                <w:rFonts w:ascii="Times New Roman" w:cs="Times New Roman" w:eastAsia="Times New Roman" w:hAnsi="Times New Roman"/>
                <w:sz w:val="18"/>
                <w:szCs w:val="18"/>
                <w:color w:val="auto"/>
              </w:rPr>
              <w:t>2040 - 2041</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 state</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66"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Pursuant of Internal Revenue Code (“IRC”) Sections 382 and 383, annual use of the Company’s research and development credit carryforwards may be limited in the event accumulative change in ownership of more than 50% occurs within a three-year period. As of December 31, 2021,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5" w:lineRule="exact"/>
        <w:rPr>
          <w:sz w:val="20"/>
          <w:szCs w:val="20"/>
          <w:color w:val="auto"/>
        </w:rPr>
      </w:pPr>
    </w:p>
    <w:p>
      <w:pPr>
        <w:ind w:right="180" w:firstLine="1018"/>
        <w:spacing w:after="0" w:line="266" w:lineRule="auto"/>
        <w:rPr>
          <w:sz w:val="20"/>
          <w:szCs w:val="20"/>
          <w:color w:val="auto"/>
        </w:rPr>
      </w:pPr>
      <w:r>
        <w:rPr>
          <w:rFonts w:ascii="Times New Roman" w:cs="Times New Roman" w:eastAsia="Times New Roman" w:hAnsi="Times New Roman"/>
          <w:sz w:val="18"/>
          <w:szCs w:val="18"/>
          <w:color w:val="auto"/>
        </w:rPr>
        <w:t>The Company is subject to United States federal and California income taxes and is not currently under examination by any federal or state taxing authorities. The federal and California returns for tax years 2017 through 2021 remain open to examination.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changes in the amount of the unrecognized tax benefits (in thousands):</w:t>
      </w:r>
    </w:p>
    <w:p>
      <w:pPr>
        <w:spacing w:after="0" w:line="246"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3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the beginning of the year</w:t>
            </w:r>
          </w:p>
        </w:tc>
        <w:tc>
          <w:tcPr>
            <w:tcW w:w="1180" w:type="dxa"/>
            <w:vAlign w:val="bottom"/>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Gross increase related to current year positions</w:t>
            </w:r>
          </w:p>
        </w:tc>
        <w:tc>
          <w:tcPr>
            <w:tcW w:w="1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r>
      <w:tr>
        <w:trPr>
          <w:trHeight w:val="236"/>
        </w:trPr>
        <w:tc>
          <w:tcPr>
            <w:tcW w:w="53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Balance at the end of the year</w:t>
            </w:r>
          </w:p>
        </w:tc>
        <w:tc>
          <w:tcPr>
            <w:tcW w:w="1180" w:type="dxa"/>
            <w:vAlign w:val="bottom"/>
            <w:tcBorders>
              <w:bottom w:val="single" w:sz="8" w:color="auto"/>
            </w:tcBorders>
            <w:shd w:val="clear" w:color="auto" w:fill="CFF0FC"/>
          </w:tcPr>
          <w:p>
            <w:pPr>
              <w:jc w:val="right"/>
              <w:ind w:right="9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358</w:t>
            </w:r>
          </w:p>
        </w:tc>
        <w:tc>
          <w:tcPr>
            <w:tcW w:w="24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342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342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34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both"/>
        <w:ind w:right="200" w:firstLine="1018"/>
        <w:spacing w:after="0" w:line="250"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2021, is $0.3 million that if recognized would impact the Company’s income tax benefit and effective tax rate. The Company does not expect any significant increases or decreases in its unrecognized tax benefits within the next twelve months.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right="100" w:firstLine="1018"/>
        <w:spacing w:after="0" w:line="266" w:lineRule="auto"/>
        <w:rPr>
          <w:sz w:val="20"/>
          <w:szCs w:val="20"/>
          <w:color w:val="auto"/>
        </w:rPr>
      </w:pPr>
      <w:r>
        <w:rPr>
          <w:rFonts w:ascii="Times New Roman" w:cs="Times New Roman" w:eastAsia="Times New Roman" w:hAnsi="Times New Roman"/>
          <w:sz w:val="18"/>
          <w:szCs w:val="18"/>
          <w:color w:val="auto"/>
        </w:rPr>
        <w:t>The Company is party to a TRA with the Continuing LLC Owners (Note 2). As there have been no transactions that would trigger a liability under this agreement, the Company has not recognized any deferred tax assets or liabilities related to this agreement as of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16" w:lineRule="exact"/>
        <w:rPr>
          <w:sz w:val="20"/>
          <w:szCs w:val="20"/>
          <w:color w:val="auto"/>
        </w:rPr>
      </w:pPr>
    </w:p>
    <w:p>
      <w:pPr>
        <w:ind w:right="44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Class A common share attributable to Rani Holdings (in thousands, except per share data):</w:t>
      </w:r>
    </w:p>
    <w:p>
      <w:pPr>
        <w:sectPr>
          <w:pgSz w:w="11900" w:h="16838" w:orient="portrait"/>
          <w:cols w:equalWidth="0" w:num="1">
            <w:col w:w="11220"/>
          </w:cols>
          <w:pgMar w:left="320" w:top="5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-116840</wp:posOffset>
            </wp:positionV>
            <wp:extent cx="606044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-116840</wp:posOffset>
            </wp:positionV>
            <wp:extent cx="606044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60440" cy="128905"/>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Weighted average Class A common share outstanding—basic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4445</wp:posOffset>
            </wp:positionV>
            <wp:extent cx="6060440" cy="2400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60440" cy="240030"/>
                    </a:xfrm>
                    <a:prstGeom prst="rect">
                      <a:avLst/>
                    </a:prstGeom>
                    <a:noFill/>
                  </pic:spPr>
                </pic:pic>
              </a:graphicData>
            </a:graphic>
          </wp:anchor>
        </w:drawing>
      </w:r>
    </w:p>
    <w:p>
      <w:pPr>
        <w:ind w:left="860"/>
        <w:spacing w:after="0" w:line="226" w:lineRule="auto"/>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12515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2515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39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(8,331 )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2515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33020</wp:posOffset>
            </wp:positionV>
            <wp:extent cx="125158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3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19,534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12515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24"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(0.43 )</w:t>
      </w:r>
    </w:p>
    <w:p>
      <w:pPr>
        <w:sectPr>
          <w:pgSz w:w="11900" w:h="16838" w:orient="portrait"/>
          <w:cols w:equalWidth="0" w:num="2">
            <w:col w:w="7760" w:space="580"/>
            <w:col w:w="2880"/>
          </w:cols>
          <w:pgMar w:left="320" w:top="540" w:right="359" w:bottom="1440" w:gutter="0" w:footer="0" w:header="0"/>
          <w:type w:val="continuous"/>
        </w:sectPr>
      </w:pPr>
    </w:p>
    <w:bookmarkStart w:id="135" w:name="page136"/>
    <w:bookmarkEnd w:id="135"/>
    <w:p>
      <w:pPr>
        <w:ind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shows the total outstanding securities considered anti-dilutive and therefore excluded from the computation of diluted net loss per Class A common share attributable to Rani Holdings: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r>
      <w:tr>
        <w:trPr>
          <w:trHeight w:val="187"/>
        </w:trPr>
        <w:tc>
          <w:tcPr>
            <w:tcW w:w="752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6"/>
                <w:szCs w:val="16"/>
                <w:color w:val="auto"/>
              </w:rPr>
            </w:pPr>
          </w:p>
        </w:tc>
      </w:tr>
      <w:tr>
        <w:trPr>
          <w:trHeight w:val="156"/>
        </w:trPr>
        <w:tc>
          <w:tcPr>
            <w:tcW w:w="7520" w:type="dxa"/>
            <w:vAlign w:val="bottom"/>
          </w:tcPr>
          <w:p>
            <w:pPr>
              <w:spacing w:after="0"/>
              <w:rPr>
                <w:sz w:val="13"/>
                <w:szCs w:val="13"/>
                <w:color w:val="auto"/>
              </w:rPr>
            </w:pPr>
          </w:p>
        </w:tc>
        <w:tc>
          <w:tcPr>
            <w:tcW w:w="196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3"/>
                <w:szCs w:val="13"/>
                <w:color w:val="auto"/>
              </w:rPr>
            </w:pPr>
          </w:p>
        </w:tc>
      </w:tr>
      <w:tr>
        <w:trPr>
          <w:trHeight w:val="196"/>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Paired Interests</w:t>
            </w:r>
          </w:p>
        </w:tc>
        <w:tc>
          <w:tcPr>
            <w:tcW w:w="19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29,290,391</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Stock options</w:t>
            </w:r>
          </w:p>
        </w:tc>
        <w:tc>
          <w:tcPr>
            <w:tcW w:w="1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2,300,819</w:t>
            </w:r>
          </w:p>
        </w:tc>
        <w:tc>
          <w:tcPr>
            <w:tcW w:w="60" w:type="dxa"/>
            <w:vAlign w:val="bottom"/>
          </w:tcPr>
          <w:p>
            <w:pPr>
              <w:spacing w:after="0"/>
              <w:rPr>
                <w:sz w:val="17"/>
                <w:szCs w:val="17"/>
                <w:color w:val="auto"/>
              </w:rPr>
            </w:pPr>
          </w:p>
        </w:tc>
      </w:tr>
      <w:tr>
        <w:trPr>
          <w:trHeight w:val="203"/>
        </w:trPr>
        <w:tc>
          <w:tcPr>
            <w:tcW w:w="752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Class A Units of Rani LLC exchangeable for Class A common stock</w:t>
            </w:r>
          </w:p>
        </w:tc>
        <w:tc>
          <w:tcPr>
            <w:tcW w:w="1960" w:type="dxa"/>
            <w:vAlign w:val="bottom"/>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1,545,522</w:t>
            </w:r>
          </w:p>
        </w:tc>
        <w:tc>
          <w:tcPr>
            <w:tcW w:w="60" w:type="dxa"/>
            <w:vAlign w:val="bottom"/>
            <w:shd w:val="clear" w:color="auto" w:fill="CFF0FC"/>
          </w:tcPr>
          <w:p>
            <w:pPr>
              <w:spacing w:after="0"/>
              <w:rPr>
                <w:sz w:val="17"/>
                <w:szCs w:val="17"/>
                <w:color w:val="auto"/>
              </w:rPr>
            </w:pPr>
          </w:p>
        </w:tc>
      </w:tr>
      <w:tr>
        <w:trPr>
          <w:trHeight w:val="203"/>
        </w:trPr>
        <w:tc>
          <w:tcPr>
            <w:tcW w:w="75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Restricted stock units</w:t>
            </w:r>
          </w:p>
        </w:tc>
        <w:tc>
          <w:tcPr>
            <w:tcW w:w="1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596,500</w:t>
            </w:r>
          </w:p>
        </w:tc>
        <w:tc>
          <w:tcPr>
            <w:tcW w:w="60" w:type="dxa"/>
            <w:vAlign w:val="bottom"/>
          </w:tcPr>
          <w:p>
            <w:pPr>
              <w:spacing w:after="0"/>
              <w:rPr>
                <w:sz w:val="17"/>
                <w:szCs w:val="17"/>
                <w:color w:val="auto"/>
              </w:rPr>
            </w:pPr>
          </w:p>
        </w:tc>
      </w:tr>
      <w:tr>
        <w:trPr>
          <w:trHeight w:val="203"/>
        </w:trPr>
        <w:tc>
          <w:tcPr>
            <w:tcW w:w="7520" w:type="dxa"/>
            <w:vAlign w:val="bottom"/>
            <w:tcBorders>
              <w:bottom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Restricted stock awards</w:t>
            </w: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Times New Roman" w:cs="Times New Roman" w:eastAsia="Times New Roman" w:hAnsi="Times New Roman"/>
                <w:sz w:val="18"/>
                <w:szCs w:val="18"/>
                <w:color w:val="auto"/>
              </w:rPr>
              <w:t>113,173</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520" w:type="dxa"/>
            <w:vAlign w:val="bottom"/>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33,846,405</w:t>
            </w:r>
          </w:p>
        </w:tc>
        <w:tc>
          <w:tcPr>
            <w:tcW w:w="6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-937895</wp:posOffset>
            </wp:positionV>
            <wp:extent cx="5969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1454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-159385</wp:posOffset>
            </wp:positionV>
            <wp:extent cx="3429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78" w:lineRule="exact"/>
        <w:rPr>
          <w:sz w:val="20"/>
          <w:szCs w:val="20"/>
          <w:color w:val="auto"/>
        </w:rPr>
      </w:pPr>
    </w:p>
    <w:p>
      <w:pPr>
        <w:ind w:right="140" w:firstLine="1018"/>
        <w:spacing w:after="0" w:line="245" w:lineRule="auto"/>
        <w:rPr>
          <w:sz w:val="20"/>
          <w:szCs w:val="20"/>
          <w:color w:val="auto"/>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year ended December 31, 2021. Therefore, they are not included in the computation of net loss per Class A common share attributable to Rani Therapeutics Holdings,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16"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In March 2022, Rani LLC amended the Rani LLC-ICL Service Agreement, pursuant to which Rani LLC has a right to occupy certain facilities leased by ICL in Milpitas, California and San Antonio, Texas (“Occupancy Services”) for general office, research and development, and light manufacturing. The Occupancy Services in Milpitas, California have a term until February 2023, with the potential for two annual renewals, subject to approval by ICL upon a nine months’ notice of renewal prior to the end of the lease term, and the Occupancy Services in San Antonio, Texas continue until either party gives six months notice of termination. The future aggregate minimum lease payments associated with the Occupancy Services total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60" w:firstLine="1018"/>
        <w:spacing w:after="0" w:line="22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Annual Report on Form 10-K.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440" w:firstLine="1018"/>
        <w:spacing w:after="0" w:line="250" w:lineRule="auto"/>
        <w:rPr>
          <w:sz w:val="20"/>
          <w:szCs w:val="20"/>
          <w:color w:val="auto"/>
        </w:rPr>
      </w:pPr>
      <w:r>
        <w:rPr>
          <w:rFonts w:ascii="Times New Roman" w:cs="Times New Roman" w:eastAsia="Times New Roman" w:hAnsi="Times New Roman"/>
          <w:sz w:val="18"/>
          <w:szCs w:val="18"/>
          <w:color w:val="auto"/>
        </w:rPr>
        <w:t>In 2021, we implemented a stock plan administration system. As a result of this implementation, certain internal controls over financial reporting have been automated, modified or implemented to address the new environment associated with this type of system.</w:t>
      </w:r>
    </w:p>
    <w:p>
      <w:pPr>
        <w:spacing w:after="0" w:line="163" w:lineRule="exact"/>
        <w:rPr>
          <w:sz w:val="20"/>
          <w:szCs w:val="20"/>
          <w:color w:val="auto"/>
        </w:rPr>
      </w:pPr>
    </w:p>
    <w:p>
      <w:pPr>
        <w:ind w:right="140" w:firstLine="1018"/>
        <w:spacing w:after="0" w:line="236" w:lineRule="auto"/>
        <w:rPr>
          <w:sz w:val="20"/>
          <w:szCs w:val="20"/>
          <w:color w:val="auto"/>
        </w:rPr>
      </w:pPr>
      <w:r>
        <w:rPr>
          <w:rFonts w:ascii="Times New Roman" w:cs="Times New Roman" w:eastAsia="Times New Roman" w:hAnsi="Times New Roman"/>
          <w:sz w:val="18"/>
          <w:szCs w:val="18"/>
          <w:color w:val="auto"/>
        </w:rPr>
        <w:t>Other than the implementation of a stock plan administration system noted above, there have been no changes in our internal control over financial reporting, as such term is defined in Rules 13a-15(f) and 15d-15(f) under the Exchange Act, during the year ended December 31, 2021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02" w:lineRule="exact"/>
        <w:rPr>
          <w:sz w:val="20"/>
          <w:szCs w:val="20"/>
          <w:color w:val="auto"/>
        </w:rPr>
      </w:pPr>
    </w:p>
    <w:p>
      <w:pPr>
        <w:ind w:firstLine="1018"/>
        <w:spacing w:after="0" w:line="22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137" w:name="page138"/>
    <w:bookmarkEnd w:id="1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6" w:lineRule="exact"/>
        <w:rPr>
          <w:sz w:val="20"/>
          <w:szCs w:val="20"/>
          <w:color w:val="auto"/>
        </w:rPr>
      </w:pPr>
    </w:p>
    <w:p>
      <w:pPr>
        <w:jc w:val="both"/>
        <w:ind w:right="120" w:firstLine="1018"/>
        <w:spacing w:after="0" w:line="250" w:lineRule="auto"/>
        <w:rPr>
          <w:sz w:val="20"/>
          <w:szCs w:val="20"/>
          <w:color w:val="auto"/>
        </w:rPr>
      </w:pPr>
      <w:r>
        <w:rPr>
          <w:rFonts w:ascii="Times New Roman" w:cs="Times New Roman" w:eastAsia="Times New Roman" w:hAnsi="Times New Roman"/>
          <w:sz w:val="18"/>
          <w:szCs w:val="18"/>
          <w:color w:val="auto"/>
        </w:rPr>
        <w:t>The information required by this Item and not set forth below is incorporated by reference to the information set forth in the sections titled “—Election of Directors” and “Information Regarding the Board of Directors and Corporate Governance” in our definitive Proxy Statement for our 2022 Annual Meeting of Stockholders (the “Proxy Statement”) to be filed with the SEC within 120 days after December 31, 2021.</w:t>
      </w:r>
    </w:p>
    <w:p>
      <w:pPr>
        <w:spacing w:after="0" w:line="177"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7"/>
          <w:szCs w:val="17"/>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https://www.ranitherapeutics.com/ under the Corporate Governance section of our Investors page. We will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6" w:lineRule="exact"/>
        <w:rPr>
          <w:sz w:val="20"/>
          <w:szCs w:val="20"/>
          <w:color w:val="auto"/>
        </w:rPr>
      </w:pPr>
    </w:p>
    <w:p>
      <w:pPr>
        <w:ind w:right="940" w:firstLine="101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“—Executive Compensation” in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280" w:firstLine="101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in the section titled “Security Ownership of Certain Beneficial Owners and Management” in our Proxy Statement.</w:t>
      </w:r>
    </w:p>
    <w:p>
      <w:pPr>
        <w:spacing w:after="0" w:line="162"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201(d) of Regulation S-K will be set forth in the section headed “Executive Compensation” in our Proxy Statement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6" w:lineRule="exact"/>
        <w:rPr>
          <w:sz w:val="20"/>
          <w:szCs w:val="20"/>
          <w:color w:val="auto"/>
        </w:rPr>
      </w:pPr>
    </w:p>
    <w:p>
      <w:pPr>
        <w:ind w:right="500" w:firstLine="101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sections titled “Transactions with Related Persons” and “—Independence of The Board of Directors” in our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16"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information set forth in the section titled “Ratification of Selection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4" w:right="3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p>
      <w:pPr>
        <w:spacing w:after="0" w:line="216"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The financial statements and reports of independent registered public accounting firm are filed as part of this Annual Report (see “Index to Consolidated Financial Statements” at Item 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216" w:lineRule="exact"/>
        <w:rPr>
          <w:sz w:val="20"/>
          <w:szCs w:val="20"/>
          <w:color w:val="auto"/>
        </w:rPr>
      </w:pPr>
    </w:p>
    <w:p>
      <w:pPr>
        <w:ind w:right="460" w:firstLine="1018"/>
        <w:spacing w:after="0" w:line="266" w:lineRule="auto"/>
        <w:rPr>
          <w:sz w:val="20"/>
          <w:szCs w:val="20"/>
          <w:color w:val="auto"/>
        </w:rPr>
      </w:pPr>
      <w:r>
        <w:rPr>
          <w:rFonts w:ascii="Times New Roman" w:cs="Times New Roman" w:eastAsia="Times New Roman" w:hAnsi="Times New Roman"/>
          <w:sz w:val="18"/>
          <w:szCs w:val="18"/>
          <w:color w:val="auto"/>
        </w:rPr>
        <w:t>No financial statement schedules are included because the information is either provided in the consolidated financial statements, is not required under the instructions or is immaterial, and such schedules, therefore have been omitted.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The following is a list of all exhibits and financial statement schedules filed or furnished as part of this report:</w:t>
            </w:r>
          </w:p>
        </w:tc>
        <w:tc>
          <w:tcPr>
            <w:tcW w:w="0" w:type="dxa"/>
            <w:vAlign w:val="bottom"/>
          </w:tcPr>
          <w:p>
            <w:pPr>
              <w:spacing w:after="0"/>
              <w:rPr>
                <w:sz w:val="1"/>
                <w:szCs w:val="1"/>
                <w:color w:val="auto"/>
              </w:rPr>
            </w:pPr>
          </w:p>
        </w:tc>
      </w:tr>
      <w:tr>
        <w:trPr>
          <w:trHeight w:val="353"/>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gridSpan w:val="3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580" w:type="dxa"/>
            <w:vAlign w:val="bottom"/>
            <w:tcBorders>
              <w:bottom w:val="single" w:sz="8" w:color="auto"/>
            </w:tcBorders>
            <w:gridSpan w:val="3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3"/>
                <w:szCs w:val="13"/>
                <w:color w:val="auto"/>
              </w:rPr>
            </w:pPr>
          </w:p>
        </w:tc>
        <w:tc>
          <w:tcPr>
            <w:tcW w:w="10080" w:type="dxa"/>
            <w:vAlign w:val="bottom"/>
            <w:gridSpan w:val="39"/>
          </w:tcPr>
          <w:p>
            <w:pPr>
              <w:spacing w:after="0" w:line="15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Amended and Restated Certificate of Incorporation of the Registrant as currently in effect (incorporated by reference to Exhibit 3.1 to the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Registrant’s Registration Statement on Form S-1, as amended, filed with the SEC on July 26, 2021).</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4"/>
                <w:szCs w:val="14"/>
                <w:color w:val="auto"/>
              </w:rPr>
            </w:pPr>
          </w:p>
        </w:tc>
        <w:tc>
          <w:tcPr>
            <w:tcW w:w="72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Amended and Restated Bylaws of the Registrant as currently in effect (incorporated by reference to</w:t>
              </w:r>
            </w:hyperlink>
          </w:p>
        </w:tc>
        <w:tc>
          <w:tcPr>
            <w:tcW w:w="20" w:type="dxa"/>
            <w:vAlign w:val="bottom"/>
            <w:tcBorders>
              <w:top w:val="single" w:sz="8" w:color="0000EE"/>
            </w:tcBorders>
          </w:tcPr>
          <w:p>
            <w:pPr>
              <w:spacing w:after="0"/>
              <w:rPr>
                <w:sz w:val="14"/>
                <w:szCs w:val="14"/>
                <w:color w:val="auto"/>
              </w:rPr>
            </w:pPr>
          </w:p>
        </w:tc>
        <w:tc>
          <w:tcPr>
            <w:tcW w:w="2860" w:type="dxa"/>
            <w:vAlign w:val="bottom"/>
            <w:gridSpan w:val="21"/>
          </w:tcPr>
          <w:p>
            <w:pPr>
              <w:spacing w:after="0" w:line="169"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Exhibit 3.4 to the Registrant’s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Registration Statement on Form S-1, as amended, filed with the SEC on July 9,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31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4"/>
                <w:szCs w:val="14"/>
                <w:color w:val="auto"/>
              </w:rPr>
            </w:pPr>
          </w:p>
        </w:tc>
        <w:tc>
          <w:tcPr>
            <w:tcW w:w="6240" w:type="dxa"/>
            <w:vAlign w:val="bottom"/>
            <w:gridSpan w:val="11"/>
          </w:tcPr>
          <w:p>
            <w:pPr>
              <w:spacing w:after="0" w:line="169" w:lineRule="exact"/>
              <w:rPr>
                <w:rFonts w:ascii="Times New Roman" w:cs="Times New Roman" w:eastAsia="Times New Roman" w:hAnsi="Times New Roman"/>
                <w:sz w:val="18"/>
                <w:szCs w:val="18"/>
                <w:color w:val="0000FF"/>
                <w:w w:val="97"/>
              </w:rPr>
            </w:pPr>
            <w:hyperlink r:id="rId329">
              <w:r>
                <w:rPr>
                  <w:rFonts w:ascii="Times New Roman" w:cs="Times New Roman" w:eastAsia="Times New Roman" w:hAnsi="Times New Roman"/>
                  <w:sz w:val="18"/>
                  <w:szCs w:val="18"/>
                  <w:color w:val="0000FF"/>
                  <w:w w:val="97"/>
                </w:rPr>
                <w:t>Specimen Class A common stock certificate of the Registrant (incorporated by reference</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gridSpan w:val="26"/>
          </w:tcPr>
          <w:p>
            <w:pPr>
              <w:ind w:left="100"/>
              <w:spacing w:after="0" w:line="169"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to Exhibit 4.1 to the Registrant’s Registration</w:t>
              </w:r>
            </w:hyperlink>
          </w:p>
        </w:tc>
        <w:tc>
          <w:tcPr>
            <w:tcW w:w="0" w:type="dxa"/>
            <w:vAlign w:val="bottom"/>
          </w:tcPr>
          <w:p>
            <w:pPr>
              <w:spacing w:after="0"/>
              <w:rPr>
                <w:sz w:val="1"/>
                <w:szCs w:val="1"/>
                <w:color w:val="auto"/>
              </w:rPr>
            </w:pPr>
          </w:p>
        </w:tc>
      </w:tr>
      <w:tr>
        <w:trPr>
          <w:trHeight w:val="156"/>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3"/>
                <w:szCs w:val="13"/>
                <w:color w:val="auto"/>
              </w:rPr>
            </w:pPr>
          </w:p>
        </w:tc>
        <w:tc>
          <w:tcPr>
            <w:tcW w:w="97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Statement on Form S-1, as amended, filed with the SEC on July 26,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38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w:anchor="page142">
              <w:r>
                <w:rPr>
                  <w:rFonts w:ascii="Times New Roman" w:cs="Times New Roman" w:eastAsia="Times New Roman" w:hAnsi="Times New Roman"/>
                  <w:sz w:val="18"/>
                  <w:szCs w:val="18"/>
                  <w:color w:val="0000FF"/>
                </w:rPr>
                <w:t>Description of Securities</w:t>
              </w:r>
            </w:hyperlink>
          </w:p>
        </w:tc>
        <w:tc>
          <w:tcPr>
            <w:tcW w:w="20" w:type="dxa"/>
            <w:vAlign w:val="bottom"/>
          </w:tcPr>
          <w:p>
            <w:pPr>
              <w:spacing w:after="0"/>
              <w:rPr>
                <w:sz w:val="14"/>
                <w:szCs w:val="14"/>
                <w:color w:val="auto"/>
              </w:rPr>
            </w:pPr>
          </w:p>
        </w:tc>
        <w:tc>
          <w:tcPr>
            <w:tcW w:w="9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gridSpan w:val="39"/>
          </w:tcPr>
          <w:p>
            <w:pPr>
              <w:spacing w:after="0" w:line="169" w:lineRule="exact"/>
              <w:rPr>
                <w:rFonts w:ascii="Times New Roman" w:cs="Times New Roman" w:eastAsia="Times New Roman" w:hAnsi="Times New Roman"/>
                <w:sz w:val="18"/>
                <w:szCs w:val="18"/>
                <w:color w:val="0000FF"/>
              </w:rPr>
            </w:pPr>
            <w:hyperlink w:anchor="page148">
              <w:r>
                <w:rPr>
                  <w:rFonts w:ascii="Times New Roman" w:cs="Times New Roman" w:eastAsia="Times New Roman" w:hAnsi="Times New Roman"/>
                  <w:sz w:val="18"/>
                  <w:szCs w:val="18"/>
                  <w:color w:val="0000FF"/>
                </w:rPr>
                <w:t>Tax Receivable Agreement, effective as of August 3, 2021</w:t>
              </w:r>
            </w:hyperlink>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4"/>
                <w:szCs w:val="14"/>
                <w:color w:val="auto"/>
              </w:rPr>
            </w:pPr>
          </w:p>
        </w:tc>
        <w:tc>
          <w:tcPr>
            <w:tcW w:w="420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w:anchor="page209">
              <w:r>
                <w:rPr>
                  <w:rFonts w:ascii="Times New Roman" w:cs="Times New Roman" w:eastAsia="Times New Roman" w:hAnsi="Times New Roman"/>
                  <w:sz w:val="18"/>
                  <w:szCs w:val="18"/>
                  <w:color w:val="0000FF"/>
                  <w:w w:val="99"/>
                </w:rPr>
                <w:t>Class B Unit Exchange Agreement, effective as of August</w:t>
              </w:r>
            </w:hyperlink>
          </w:p>
        </w:tc>
        <w:tc>
          <w:tcPr>
            <w:tcW w:w="1080" w:type="dxa"/>
            <w:vAlign w:val="bottom"/>
            <w:gridSpan w:val="3"/>
          </w:tcPr>
          <w:p>
            <w:pPr>
              <w:jc w:val="right"/>
              <w:ind w:right="520"/>
              <w:spacing w:after="0" w:line="169" w:lineRule="exact"/>
              <w:rPr>
                <w:rFonts w:ascii="Times New Roman" w:cs="Times New Roman" w:eastAsia="Times New Roman" w:hAnsi="Times New Roman"/>
                <w:sz w:val="18"/>
                <w:szCs w:val="18"/>
                <w:color w:val="0000FF"/>
                <w:w w:val="99"/>
              </w:rPr>
            </w:pPr>
            <w:hyperlink w:anchor="page209">
              <w:r>
                <w:rPr>
                  <w:rFonts w:ascii="Times New Roman" w:cs="Times New Roman" w:eastAsia="Times New Roman" w:hAnsi="Times New Roman"/>
                  <w:sz w:val="18"/>
                  <w:szCs w:val="18"/>
                  <w:color w:val="0000FF"/>
                  <w:w w:val="99"/>
                </w:rPr>
                <w:t>3, 2021</w:t>
              </w:r>
            </w:hyperlink>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9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4"/>
                <w:szCs w:val="14"/>
                <w:color w:val="auto"/>
              </w:rPr>
            </w:pPr>
          </w:p>
        </w:tc>
        <w:tc>
          <w:tcPr>
            <w:tcW w:w="476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w:anchor="page243">
              <w:r>
                <w:rPr>
                  <w:rFonts w:ascii="Times New Roman" w:cs="Times New Roman" w:eastAsia="Times New Roman" w:hAnsi="Times New Roman"/>
                  <w:sz w:val="18"/>
                  <w:szCs w:val="18"/>
                  <w:color w:val="0000FF"/>
                </w:rPr>
                <w:t>Registration Rights Agreement, effective as of August 3, 2021</w:t>
              </w:r>
            </w:hyperlink>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9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300" w:type="dxa"/>
            <w:vAlign w:val="bottom"/>
            <w:tcBorders>
              <w:right w:val="single" w:sz="8" w:color="0000EE"/>
            </w:tcBorders>
            <w:gridSpan w:val="3"/>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gridSpan w:val="39"/>
          </w:tcPr>
          <w:p>
            <w:pPr>
              <w:spacing w:after="0" w:line="169" w:lineRule="exact"/>
              <w:rPr>
                <w:rFonts w:ascii="Times New Roman" w:cs="Times New Roman" w:eastAsia="Times New Roman" w:hAnsi="Times New Roman"/>
                <w:sz w:val="18"/>
                <w:szCs w:val="18"/>
                <w:color w:val="0000FF"/>
              </w:rPr>
            </w:pPr>
            <w:hyperlink w:anchor="page290">
              <w:r>
                <w:rPr>
                  <w:rFonts w:ascii="Times New Roman" w:cs="Times New Roman" w:eastAsia="Times New Roman" w:hAnsi="Times New Roman"/>
                  <w:sz w:val="18"/>
                  <w:szCs w:val="18"/>
                  <w:color w:val="0000FF"/>
                </w:rPr>
                <w:t>Fifth Amended and Restated Limited Liability Company Agreement of Rani Therapeutics, LLC, effective as of August 3, 2021</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gridSpan w:val="39"/>
          </w:tcPr>
          <w:p>
            <w:pPr>
              <w:spacing w:after="0" w:line="169"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Indemnification Agreement between the Registrant and each of its directors and executive officers (incorporated by reference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Exhibit 10.4 to the Registrant’s Registration Statement on Form S-1, filed with the SEC on July 9,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4"/>
                <w:szCs w:val="14"/>
                <w:color w:val="auto"/>
              </w:rPr>
            </w:pPr>
          </w:p>
        </w:tc>
        <w:tc>
          <w:tcPr>
            <w:tcW w:w="75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Rani Therapeutics, LLC 2016 Equity Incentive Plan and forms of agreement thereunder (incorporated by</w:t>
              </w:r>
            </w:hyperlink>
          </w:p>
        </w:tc>
        <w:tc>
          <w:tcPr>
            <w:tcW w:w="2520" w:type="dxa"/>
            <w:vAlign w:val="bottom"/>
            <w:gridSpan w:val="20"/>
          </w:tcPr>
          <w:p>
            <w:pPr>
              <w:ind w:left="40"/>
              <w:spacing w:after="0" w:line="169"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reference to Exhibit 10.5 to the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Registrant’s Registration Statement on Form S-1, as amended, filed with the SEC on July 9,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4"/>
                <w:szCs w:val="14"/>
                <w:color w:val="auto"/>
              </w:rPr>
            </w:pPr>
          </w:p>
        </w:tc>
        <w:tc>
          <w:tcPr>
            <w:tcW w:w="712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Rani Therapeutics Holdings, Inc. 2021 Equity Incentive Plan (incorporated by reference to Exhibit</w:t>
              </w:r>
            </w:hyperlink>
          </w:p>
        </w:tc>
        <w:tc>
          <w:tcPr>
            <w:tcW w:w="2960" w:type="dxa"/>
            <w:vAlign w:val="bottom"/>
            <w:gridSpan w:val="23"/>
          </w:tcPr>
          <w:p>
            <w:pPr>
              <w:ind w:left="20"/>
              <w:spacing w:after="0" w:line="169"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10.7 to the Registrant’s Registration</w:t>
              </w:r>
            </w:hyperlink>
          </w:p>
        </w:tc>
        <w:tc>
          <w:tcPr>
            <w:tcW w:w="0" w:type="dxa"/>
            <w:vAlign w:val="bottom"/>
          </w:tcPr>
          <w:p>
            <w:pPr>
              <w:spacing w:after="0"/>
              <w:rPr>
                <w:sz w:val="1"/>
                <w:szCs w:val="1"/>
                <w:color w:val="auto"/>
              </w:rPr>
            </w:pPr>
          </w:p>
        </w:tc>
      </w:tr>
      <w:tr>
        <w:trPr>
          <w:trHeight w:val="155"/>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Statement on Form S-1, as amended, filed with the SEC on July 26,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380" w:type="dxa"/>
            <w:vAlign w:val="bottom"/>
            <w:tcBorders>
              <w:top w:val="single" w:sz="8" w:color="0000FF"/>
            </w:tcBorders>
            <w:gridSpan w:val="24"/>
          </w:tcPr>
          <w:p>
            <w:pPr>
              <w:spacing w:after="0"/>
              <w:rPr>
                <w:sz w:val="13"/>
                <w:szCs w:val="13"/>
                <w:color w:val="auto"/>
              </w:rPr>
            </w:pPr>
          </w:p>
        </w:tc>
        <w:tc>
          <w:tcPr>
            <w:tcW w:w="14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70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w:anchor="page379">
              <w:r>
                <w:rPr>
                  <w:rFonts w:ascii="Times New Roman" w:cs="Times New Roman" w:eastAsia="Times New Roman" w:hAnsi="Times New Roman"/>
                  <w:sz w:val="18"/>
                  <w:szCs w:val="18"/>
                  <w:color w:val="0000FF"/>
                  <w:w w:val="99"/>
                </w:rPr>
                <w:t>Forms of Agreement under the Rani Therapeutics Holdings, Inc. 2021 Equity Incentive Plan.</w:t>
              </w:r>
            </w:hyperlink>
          </w:p>
        </w:tc>
        <w:tc>
          <w:tcPr>
            <w:tcW w:w="20" w:type="dxa"/>
            <w:vAlign w:val="bottom"/>
            <w:tcBorders>
              <w:bottom w:val="single" w:sz="8" w:color="0000EE"/>
            </w:tcBorders>
          </w:tcPr>
          <w:p>
            <w:pPr>
              <w:spacing w:after="0"/>
              <w:rPr>
                <w:sz w:val="14"/>
                <w:szCs w:val="14"/>
                <w:color w:val="auto"/>
              </w:rPr>
            </w:pPr>
          </w:p>
        </w:tc>
        <w:tc>
          <w:tcPr>
            <w:tcW w:w="3360" w:type="dxa"/>
            <w:vAlign w:val="bottom"/>
            <w:gridSpan w:val="2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4"/>
                <w:szCs w:val="14"/>
                <w:color w:val="auto"/>
              </w:rPr>
            </w:pPr>
          </w:p>
        </w:tc>
        <w:tc>
          <w:tcPr>
            <w:tcW w:w="10080" w:type="dxa"/>
            <w:vAlign w:val="bottom"/>
            <w:gridSpan w:val="39"/>
          </w:tcPr>
          <w:p>
            <w:pPr>
              <w:spacing w:after="0" w:line="169"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Rani Therapeutics Holdings, Inc. 2021 Employee Stock Purchase Plan (incorporated by reference to Exhibit 10.8 to the Registrant’s</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5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Registration Statement on Form S-1, as amended, filed with the SEC on July 26, 2021).</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4"/>
                <w:szCs w:val="14"/>
                <w:color w:val="auto"/>
              </w:rPr>
            </w:pPr>
          </w:p>
        </w:tc>
        <w:tc>
          <w:tcPr>
            <w:tcW w:w="63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Rani Therapeutics Holdings, Inc. Severance and Change in Control Plan (incorporated</w:t>
              </w:r>
            </w:hyperlink>
          </w:p>
        </w:tc>
        <w:tc>
          <w:tcPr>
            <w:tcW w:w="20" w:type="dxa"/>
            <w:vAlign w:val="bottom"/>
            <w:tcBorders>
              <w:top w:val="single" w:sz="8" w:color="0000EE"/>
            </w:tcBorders>
          </w:tcPr>
          <w:p>
            <w:pPr>
              <w:spacing w:after="0"/>
              <w:rPr>
                <w:sz w:val="14"/>
                <w:szCs w:val="14"/>
                <w:color w:val="auto"/>
              </w:rPr>
            </w:pPr>
          </w:p>
        </w:tc>
        <w:tc>
          <w:tcPr>
            <w:tcW w:w="3760" w:type="dxa"/>
            <w:vAlign w:val="bottom"/>
            <w:gridSpan w:val="26"/>
          </w:tcPr>
          <w:p>
            <w:pPr>
              <w:spacing w:after="0" w:line="169" w:lineRule="exact"/>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by reference to Exhibit 10.8 to the Registrant’s</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Registration Statement on Form S-1, filed with the SEC on July 9,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4380" w:type="dxa"/>
            <w:vAlign w:val="bottom"/>
            <w:tcBorders>
              <w:top w:val="single" w:sz="8" w:color="0000FF"/>
            </w:tcBorders>
            <w:gridSpan w:val="23"/>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4"/>
                <w:szCs w:val="14"/>
                <w:color w:val="auto"/>
              </w:rPr>
            </w:pPr>
          </w:p>
        </w:tc>
        <w:tc>
          <w:tcPr>
            <w:tcW w:w="5300" w:type="dxa"/>
            <w:vAlign w:val="bottom"/>
            <w:gridSpan w:val="7"/>
          </w:tcPr>
          <w:p>
            <w:pPr>
              <w:spacing w:after="0" w:line="169"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Form of Participation Agreement under the Rani Therapeutics Holdings,</w:t>
              </w:r>
            </w:hyperlink>
          </w:p>
        </w:tc>
        <w:tc>
          <w:tcPr>
            <w:tcW w:w="4780" w:type="dxa"/>
            <w:vAlign w:val="bottom"/>
            <w:gridSpan w:val="32"/>
          </w:tcPr>
          <w:p>
            <w:pPr>
              <w:jc w:val="right"/>
              <w:ind w:right="480"/>
              <w:spacing w:after="0" w:line="169" w:lineRule="exact"/>
              <w:rPr>
                <w:rFonts w:ascii="Times New Roman" w:cs="Times New Roman" w:eastAsia="Times New Roman" w:hAnsi="Times New Roman"/>
                <w:sz w:val="18"/>
                <w:szCs w:val="18"/>
                <w:color w:val="0000FF"/>
                <w:w w:val="98"/>
              </w:rPr>
            </w:pPr>
            <w:hyperlink r:id="rId335">
              <w:r>
                <w:rPr>
                  <w:rFonts w:ascii="Times New Roman" w:cs="Times New Roman" w:eastAsia="Times New Roman" w:hAnsi="Times New Roman"/>
                  <w:sz w:val="18"/>
                  <w:szCs w:val="18"/>
                  <w:color w:val="0000FF"/>
                  <w:w w:val="98"/>
                </w:rPr>
                <w:t>Inc. Severance and Change in Control Plan (incorporated by</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reference to Exhibit 10.9 to the Registrant’s Registration Statement on Form S-1, filed with the SEC on July 9, 2021).</w:t>
              </w:r>
            </w:hyperlink>
          </w:p>
        </w:tc>
        <w:tc>
          <w:tcPr>
            <w:tcW w:w="80" w:type="dxa"/>
            <w:vAlign w:val="bottom"/>
            <w:gridSpan w:val="3"/>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280" w:type="dxa"/>
            <w:vAlign w:val="bottom"/>
            <w:tcBorders>
              <w:right w:val="single" w:sz="8" w:color="0000EE"/>
            </w:tcBorders>
            <w:gridSpan w:val="19"/>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0080" w:type="dxa"/>
            <w:vAlign w:val="bottom"/>
            <w:gridSpan w:val="39"/>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Rani Therapeutics Holdings, Inc. Non-Employee Director Compensation Policy (incorporated by reference to Exhibit 10.11 to the</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Registrant’s Registration Statement on Form S-1, as amended, filed with the SEC on July 16, 2021).</w:t>
              </w:r>
            </w:hyperlink>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4"/>
                <w:szCs w:val="14"/>
                <w:color w:val="auto"/>
              </w:rPr>
            </w:pPr>
          </w:p>
        </w:tc>
        <w:tc>
          <w:tcPr>
            <w:tcW w:w="720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Service Agreement, by and between Rani Therapeutics, LLC and InCube Labs, LLC, dated January</w:t>
              </w:r>
            </w:hyperlink>
          </w:p>
        </w:tc>
        <w:tc>
          <w:tcPr>
            <w:tcW w:w="2880" w:type="dxa"/>
            <w:vAlign w:val="bottom"/>
            <w:gridSpan w:val="22"/>
          </w:tcPr>
          <w:p>
            <w:pPr>
              <w:ind w:left="20"/>
              <w:spacing w:after="0" w:line="169"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1, 2021 (incorporated by reference to</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Exhibit 10.15 to the Registrant’s Registration Statement on Form S-1, as amended, filed with the SEC on July 9, 2021).</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14"/>
                <w:szCs w:val="14"/>
                <w:color w:val="auto"/>
              </w:rPr>
            </w:pPr>
          </w:p>
        </w:tc>
        <w:tc>
          <w:tcPr>
            <w:tcW w:w="86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w:anchor="page423">
              <w:r>
                <w:rPr>
                  <w:rFonts w:ascii="Times New Roman" w:cs="Times New Roman" w:eastAsia="Times New Roman" w:hAnsi="Times New Roman"/>
                  <w:sz w:val="18"/>
                  <w:szCs w:val="18"/>
                  <w:color w:val="0000FF"/>
                </w:rPr>
                <w:t>Amendment No. 1 to Service Agreement, dated March 21, 2022, by and between Rani Therapeutics, LLC and InCube</w:t>
              </w:r>
            </w:hyperlink>
          </w:p>
        </w:tc>
        <w:tc>
          <w:tcPr>
            <w:tcW w:w="1480" w:type="dxa"/>
            <w:vAlign w:val="bottom"/>
            <w:gridSpan w:val="18"/>
          </w:tcPr>
          <w:p>
            <w:pPr>
              <w:spacing w:after="0" w:line="169" w:lineRule="exact"/>
              <w:rPr>
                <w:rFonts w:ascii="Times New Roman" w:cs="Times New Roman" w:eastAsia="Times New Roman" w:hAnsi="Times New Roman"/>
                <w:sz w:val="18"/>
                <w:szCs w:val="18"/>
                <w:color w:val="0000FF"/>
              </w:rPr>
            </w:pPr>
            <w:hyperlink w:anchor="page423">
              <w:r>
                <w:rPr>
                  <w:rFonts w:ascii="Times New Roman" w:cs="Times New Roman" w:eastAsia="Times New Roman" w:hAnsi="Times New Roman"/>
                  <w:sz w:val="18"/>
                  <w:szCs w:val="18"/>
                  <w:color w:val="0000FF"/>
                </w:rPr>
                <w:t>Labs, LLC.</w:t>
              </w:r>
            </w:hyperlink>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4"/>
                <w:szCs w:val="14"/>
                <w:color w:val="auto"/>
              </w:rPr>
            </w:pPr>
          </w:p>
        </w:tc>
        <w:tc>
          <w:tcPr>
            <w:tcW w:w="93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Service Agreement, by and between Rani Management Services, Inc. and InCube Labs, LLC, dated January 1, 2021 (incorporated</w:t>
              </w:r>
            </w:hyperlink>
          </w:p>
        </w:tc>
        <w:tc>
          <w:tcPr>
            <w:tcW w:w="720" w:type="dxa"/>
            <w:vAlign w:val="bottom"/>
            <w:gridSpan w:val="16"/>
          </w:tcPr>
          <w:p>
            <w:pPr>
              <w:jc w:val="right"/>
              <w:ind w:right="480"/>
              <w:spacing w:after="0" w:line="169"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reference to Exhibit 10.16 to the Registrant’s Registration Statement on Form S-1, as amended, filed with the SEC on July 9, 2021).</w:t>
              </w:r>
            </w:hyperlink>
          </w:p>
        </w:tc>
        <w:tc>
          <w:tcPr>
            <w:tcW w:w="10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4"/>
                <w:szCs w:val="14"/>
                <w:color w:val="auto"/>
              </w:rPr>
            </w:pPr>
          </w:p>
        </w:tc>
        <w:tc>
          <w:tcPr>
            <w:tcW w:w="950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Amended and Restated Exclusive License Agreement, by and between Rani Therapeutics, LLC and InCube Labs, LLC, dated June</w:t>
              </w:r>
            </w:hyperlink>
          </w:p>
        </w:tc>
        <w:tc>
          <w:tcPr>
            <w:tcW w:w="240" w:type="dxa"/>
            <w:vAlign w:val="bottom"/>
            <w:tcBorders>
              <w:bottom w:val="single" w:sz="8" w:color="0000FF"/>
            </w:tcBorders>
            <w:gridSpan w:val="6"/>
          </w:tcPr>
          <w:p>
            <w:pPr>
              <w:jc w:val="right"/>
              <w:ind w:right="40"/>
              <w:spacing w:after="0" w:line="169" w:lineRule="exact"/>
              <w:rPr>
                <w:rFonts w:ascii="Times New Roman" w:cs="Times New Roman" w:eastAsia="Times New Roman" w:hAnsi="Times New Roman"/>
                <w:sz w:val="18"/>
                <w:szCs w:val="18"/>
                <w:color w:val="0000FF"/>
                <w:w w:val="79"/>
              </w:rPr>
            </w:pPr>
            <w:hyperlink r:id="rId339">
              <w:r>
                <w:rPr>
                  <w:rFonts w:ascii="Times New Roman" w:cs="Times New Roman" w:eastAsia="Times New Roman" w:hAnsi="Times New Roman"/>
                  <w:sz w:val="18"/>
                  <w:szCs w:val="18"/>
                  <w:color w:val="0000FF"/>
                  <w:w w:val="79"/>
                </w:rPr>
                <w:t>22,</w:t>
              </w:r>
            </w:hyperlink>
          </w:p>
        </w:tc>
        <w:tc>
          <w:tcPr>
            <w:tcW w:w="18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80" w:type="dxa"/>
            <w:vAlign w:val="bottom"/>
            <w:gridSpan w:val="39"/>
          </w:tcPr>
          <w:p>
            <w:pPr>
              <w:spacing w:after="0" w:line="15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2021 (incorporated by reference to Exhibit 10.17 to the Registrant’s Registration Statement on Form S-1, as amended, filed with the SEC</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on July 9, 2021).</w:t>
              </w:r>
            </w:hyperlink>
          </w:p>
        </w:tc>
        <w:tc>
          <w:tcPr>
            <w:tcW w:w="1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527"/>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9" w:name="page140"/>
    <w:bookmarkEnd w:id="139"/>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Non-Exclusive License Agreement, by and between Rani Therapeutics, LLC and InCube Labs, LLC, dated June 22, 2021 (incorporated by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tcBorders>
              <w:bottom w:val="single" w:sz="8" w:color="0000EE"/>
            </w:tcBorders>
          </w:tcPr>
          <w:p>
            <w:pPr>
              <w:spacing w:after="0"/>
              <w:rPr>
                <w:sz w:val="13"/>
                <w:szCs w:val="13"/>
                <w:color w:val="auto"/>
              </w:rPr>
            </w:pPr>
          </w:p>
        </w:tc>
        <w:tc>
          <w:tcPr>
            <w:tcW w:w="94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reference to Exhibit 10.18 to the Registrant’s Registration Statement on Form S-1, as amended, filed with the SEC on July 9, 2021).</w:t>
              </w:r>
            </w:hyperlink>
          </w:p>
        </w:tc>
        <w:tc>
          <w:tcPr>
            <w:tcW w:w="5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500" w:type="dxa"/>
            <w:vAlign w:val="bottom"/>
            <w:gridSpan w:val="11"/>
          </w:tcPr>
          <w:p>
            <w:pPr>
              <w:spacing w:after="0" w:line="169"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Intellectual Property Agreement, by and between Rani Therapeutics, LLC and Mir A. Imran, dated June 22, 2021 (incorporated by</w:t>
              </w:r>
            </w:hyperlink>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Borders>
              <w:bottom w:val="single" w:sz="8" w:color="0000EE"/>
            </w:tcBorders>
          </w:tcPr>
          <w:p>
            <w:pPr>
              <w:spacing w:after="0"/>
              <w:rPr>
                <w:sz w:val="13"/>
                <w:szCs w:val="13"/>
                <w:color w:val="auto"/>
              </w:rPr>
            </w:pPr>
          </w:p>
        </w:tc>
        <w:tc>
          <w:tcPr>
            <w:tcW w:w="94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reference to Exhibit 10.19 to the Registrant’s Registration Statement on Form S-1, as amended, filed with the SEC on July 9, 2021)</w:t>
              </w:r>
            </w:hyperlink>
          </w:p>
        </w:tc>
        <w:tc>
          <w:tcPr>
            <w:tcW w:w="60" w:type="dxa"/>
            <w:vAlign w:val="bottom"/>
            <w:tcBorders>
              <w:bottom w:val="single" w:sz="8" w:color="0000FF"/>
            </w:tcBorders>
            <w:gridSpan w:val="2"/>
          </w:tcPr>
          <w:p>
            <w:pPr>
              <w:jc w:val="right"/>
              <w:spacing w:after="0" w:line="156" w:lineRule="exact"/>
              <w:rPr>
                <w:rFonts w:ascii="Times New Roman" w:cs="Times New Roman" w:eastAsia="Times New Roman" w:hAnsi="Times New Roman"/>
                <w:sz w:val="18"/>
                <w:szCs w:val="18"/>
                <w:color w:val="0000FF"/>
                <w:w w:val="87"/>
              </w:rPr>
            </w:pPr>
            <w:hyperlink r:id="rId343">
              <w:r>
                <w:rPr>
                  <w:rFonts w:ascii="Times New Roman" w:cs="Times New Roman" w:eastAsia="Times New Roman" w:hAnsi="Times New Roman"/>
                  <w:sz w:val="18"/>
                  <w:szCs w:val="18"/>
                  <w:color w:val="0000FF"/>
                  <w:w w:val="87"/>
                </w:rPr>
                <w:t>.</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0040" w:type="dxa"/>
            <w:vAlign w:val="bottom"/>
            <w:gridSpan w:val="16"/>
          </w:tcPr>
          <w:p>
            <w:pPr>
              <w:spacing w:after="0" w:line="169"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Amended and Restated Employment Agreement, dated June 17, 2021, by and between Rani Management Services, Inc. and Talat Imran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2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(incorporated by reference to Exhibit 10.23 to the Registrant’s Registration Statement on Form S-1, as amended, filed with the SEC on July</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Borders>
              <w:bottom w:val="single" w:sz="8" w:color="0000EE"/>
            </w:tcBorders>
          </w:tcPr>
          <w:p>
            <w:pPr>
              <w:spacing w:after="0"/>
              <w:rPr>
                <w:sz w:val="13"/>
                <w:szCs w:val="13"/>
                <w:color w:val="auto"/>
              </w:rPr>
            </w:pPr>
          </w:p>
        </w:tc>
        <w:tc>
          <w:tcPr>
            <w:tcW w:w="6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344">
              <w:r>
                <w:rPr>
                  <w:rFonts w:ascii="Times New Roman" w:cs="Times New Roman" w:eastAsia="Times New Roman" w:hAnsi="Times New Roman"/>
                  <w:sz w:val="18"/>
                  <w:szCs w:val="18"/>
                  <w:color w:val="0000FF"/>
                  <w:w w:val="92"/>
                </w:rPr>
                <w:t>9, 2021).</w:t>
              </w:r>
            </w:hyperlink>
          </w:p>
        </w:tc>
        <w:tc>
          <w:tcPr>
            <w:tcW w:w="20" w:type="dxa"/>
            <w:vAlign w:val="bottom"/>
            <w:tcBorders>
              <w:bottom w:val="single" w:sz="8" w:color="0000EE"/>
            </w:tcBorders>
          </w:tcPr>
          <w:p>
            <w:pPr>
              <w:spacing w:after="0"/>
              <w:rPr>
                <w:sz w:val="13"/>
                <w:szCs w:val="13"/>
                <w:color w:val="auto"/>
              </w:rPr>
            </w:pPr>
          </w:p>
        </w:tc>
        <w:tc>
          <w:tcPr>
            <w:tcW w:w="9380" w:type="dxa"/>
            <w:vAlign w:val="bottom"/>
            <w:gridSpan w:val="13"/>
            <w:vMerge w:val="restart"/>
          </w:tcPr>
          <w:p>
            <w:pPr>
              <w:ind w:left="80"/>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and Restated Employment Agreement, dated June 17, 2021, by and between Rani Management Services, Inc. and Mir Hashim</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660" w:type="dxa"/>
            <w:vAlign w:val="bottom"/>
            <w:gridSpan w:val="3"/>
          </w:tcPr>
          <w:p>
            <w:pPr>
              <w:spacing w:after="0" w:line="169" w:lineRule="exact"/>
              <w:rPr>
                <w:rFonts w:ascii="Times New Roman" w:cs="Times New Roman" w:eastAsia="Times New Roman" w:hAnsi="Times New Roman"/>
                <w:sz w:val="18"/>
                <w:szCs w:val="18"/>
                <w:color w:val="0000FF"/>
                <w:w w:val="91"/>
              </w:rPr>
            </w:pPr>
            <w:hyperlink r:id="rId345">
              <w:r>
                <w:rPr>
                  <w:rFonts w:ascii="Times New Roman" w:cs="Times New Roman" w:eastAsia="Times New Roman" w:hAnsi="Times New Roman"/>
                  <w:sz w:val="18"/>
                  <w:szCs w:val="18"/>
                  <w:color w:val="0000FF"/>
                  <w:w w:val="91"/>
                </w:rPr>
                <w:t>Amended</w:t>
              </w:r>
            </w:hyperlink>
          </w:p>
        </w:tc>
        <w:tc>
          <w:tcPr>
            <w:tcW w:w="9380" w:type="dxa"/>
            <w:vAlign w:val="bottom"/>
            <w:gridSpan w:val="1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2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(incorporated by reference to Exhibit 10.24 to the Registrant’s Registration Statement on Form S-1, as amended, filed with the SEC on July</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Borders>
              <w:bottom w:val="single" w:sz="8" w:color="0000EE"/>
            </w:tcBorders>
          </w:tcPr>
          <w:p>
            <w:pPr>
              <w:spacing w:after="0"/>
              <w:rPr>
                <w:sz w:val="13"/>
                <w:szCs w:val="13"/>
                <w:color w:val="auto"/>
              </w:rPr>
            </w:pPr>
          </w:p>
        </w:tc>
        <w:tc>
          <w:tcPr>
            <w:tcW w:w="6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345">
              <w:r>
                <w:rPr>
                  <w:rFonts w:ascii="Times New Roman" w:cs="Times New Roman" w:eastAsia="Times New Roman" w:hAnsi="Times New Roman"/>
                  <w:sz w:val="18"/>
                  <w:szCs w:val="18"/>
                  <w:color w:val="0000FF"/>
                  <w:w w:val="92"/>
                </w:rPr>
                <w:t>9, 2021).</w:t>
              </w:r>
            </w:hyperlink>
          </w:p>
        </w:tc>
        <w:tc>
          <w:tcPr>
            <w:tcW w:w="20" w:type="dxa"/>
            <w:vAlign w:val="bottom"/>
            <w:tcBorders>
              <w:bottom w:val="single" w:sz="8" w:color="0000EE"/>
            </w:tcBorders>
          </w:tcPr>
          <w:p>
            <w:pPr>
              <w:spacing w:after="0"/>
              <w:rPr>
                <w:sz w:val="13"/>
                <w:szCs w:val="13"/>
                <w:color w:val="auto"/>
              </w:rPr>
            </w:pPr>
          </w:p>
        </w:tc>
        <w:tc>
          <w:tcPr>
            <w:tcW w:w="9380" w:type="dxa"/>
            <w:vAlign w:val="bottom"/>
            <w:gridSpan w:val="13"/>
            <w:vMerge w:val="restart"/>
          </w:tcPr>
          <w:p>
            <w:pPr>
              <w:ind w:left="80"/>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and Restated Employment Agreement, dated June 17, 2021, by and between Rani Management Services, Inc. and Svai Sanford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660" w:type="dxa"/>
            <w:vAlign w:val="bottom"/>
            <w:gridSpan w:val="3"/>
          </w:tcPr>
          <w:p>
            <w:pPr>
              <w:spacing w:after="0" w:line="169" w:lineRule="exact"/>
              <w:rPr>
                <w:rFonts w:ascii="Times New Roman" w:cs="Times New Roman" w:eastAsia="Times New Roman" w:hAnsi="Times New Roman"/>
                <w:sz w:val="18"/>
                <w:szCs w:val="18"/>
                <w:color w:val="0000FF"/>
                <w:w w:val="91"/>
              </w:rPr>
            </w:pPr>
            <w:hyperlink r:id="rId346">
              <w:r>
                <w:rPr>
                  <w:rFonts w:ascii="Times New Roman" w:cs="Times New Roman" w:eastAsia="Times New Roman" w:hAnsi="Times New Roman"/>
                  <w:sz w:val="18"/>
                  <w:szCs w:val="18"/>
                  <w:color w:val="0000FF"/>
                  <w:w w:val="91"/>
                </w:rPr>
                <w:t>Amended</w:t>
              </w:r>
            </w:hyperlink>
          </w:p>
        </w:tc>
        <w:tc>
          <w:tcPr>
            <w:tcW w:w="9380" w:type="dxa"/>
            <w:vAlign w:val="bottom"/>
            <w:gridSpan w:val="13"/>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2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(incorporated by reference to Exhibit 10.25 to the Registrant’s Registration Statement on Form S-1, as amended, filed with the SEC on July</w:t>
              </w:r>
            </w:hyperlink>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0000EE"/>
            </w:tcBorders>
          </w:tcPr>
          <w:p>
            <w:pPr>
              <w:spacing w:after="0"/>
              <w:rPr>
                <w:sz w:val="13"/>
                <w:szCs w:val="13"/>
                <w:color w:val="auto"/>
              </w:rPr>
            </w:pPr>
          </w:p>
        </w:tc>
        <w:tc>
          <w:tcPr>
            <w:tcW w:w="62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2"/>
              </w:rPr>
            </w:pPr>
            <w:hyperlink r:id="rId346">
              <w:r>
                <w:rPr>
                  <w:rFonts w:ascii="Times New Roman" w:cs="Times New Roman" w:eastAsia="Times New Roman" w:hAnsi="Times New Roman"/>
                  <w:sz w:val="18"/>
                  <w:szCs w:val="18"/>
                  <w:color w:val="0000FF"/>
                  <w:w w:val="92"/>
                </w:rPr>
                <w:t>9, 2021).</w:t>
              </w:r>
            </w:hyperlink>
          </w:p>
        </w:tc>
        <w:tc>
          <w:tcPr>
            <w:tcW w:w="20" w:type="dxa"/>
            <w:vAlign w:val="bottom"/>
            <w:tcBorders>
              <w:bottom w:val="single" w:sz="8" w:color="0000EE"/>
            </w:tcBorders>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0040" w:type="dxa"/>
            <w:vAlign w:val="bottom"/>
            <w:gridSpan w:val="16"/>
          </w:tcPr>
          <w:p>
            <w:pPr>
              <w:spacing w:after="0" w:line="169"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Subsidiaries of the Registrant (incorporated by reference to Exhibit 21.1 to the Registrant’s Registration Statement on Form S-1,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3"/>
                <w:szCs w:val="13"/>
                <w:color w:val="auto"/>
              </w:rPr>
            </w:pPr>
          </w:p>
        </w:tc>
        <w:tc>
          <w:tcPr>
            <w:tcW w:w="94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amended, filed with the SEC on July 9, 2021).</w:t>
              </w:r>
            </w:hyperlink>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320" w:type="dxa"/>
            <w:vAlign w:val="bottom"/>
            <w:tcBorders>
              <w:right w:val="single" w:sz="8" w:color="0000EE"/>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0040" w:type="dxa"/>
            <w:vAlign w:val="bottom"/>
            <w:gridSpan w:val="16"/>
          </w:tcPr>
          <w:p>
            <w:pPr>
              <w:spacing w:after="0" w:line="169" w:lineRule="exact"/>
              <w:rPr>
                <w:rFonts w:ascii="Times New Roman" w:cs="Times New Roman" w:eastAsia="Times New Roman" w:hAnsi="Times New Roman"/>
                <w:sz w:val="18"/>
                <w:szCs w:val="18"/>
                <w:color w:val="0000FF"/>
              </w:rPr>
            </w:pPr>
            <w:hyperlink w:anchor="page431">
              <w:r>
                <w:rPr>
                  <w:rFonts w:ascii="Times New Roman" w:cs="Times New Roman" w:eastAsia="Times New Roman" w:hAnsi="Times New Roman"/>
                  <w:sz w:val="18"/>
                  <w:szCs w:val="18"/>
                  <w:color w:val="0000FF"/>
                </w:rPr>
                <w:t>Consent of Independent Registered Public Accounting Firm.</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2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5660" w:type="dxa"/>
            <w:vAlign w:val="bottom"/>
            <w:gridSpan w:val="10"/>
            <w:vMerge w:val="restart"/>
          </w:tcPr>
          <w:p>
            <w:pPr>
              <w:spacing w:after="0" w:line="189" w:lineRule="exact"/>
              <w:rPr>
                <w:rFonts w:ascii="Times New Roman" w:cs="Times New Roman" w:eastAsia="Times New Roman" w:hAnsi="Times New Roman"/>
                <w:sz w:val="18"/>
                <w:szCs w:val="18"/>
                <w:color w:val="0000FF"/>
              </w:rPr>
            </w:pPr>
            <w:hyperlink w:anchor="page141">
              <w:r>
                <w:rPr>
                  <w:rFonts w:ascii="Times New Roman" w:cs="Times New Roman" w:eastAsia="Times New Roman" w:hAnsi="Times New Roman"/>
                  <w:sz w:val="18"/>
                  <w:szCs w:val="18"/>
                  <w:color w:val="0000FF"/>
                </w:rPr>
                <w:t>hereto.</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380" w:type="dxa"/>
            <w:vAlign w:val="bottom"/>
            <w:gridSpan w:val="6"/>
          </w:tcPr>
          <w:p>
            <w:pPr>
              <w:spacing w:after="0" w:line="169" w:lineRule="exact"/>
              <w:rPr>
                <w:rFonts w:ascii="Times New Roman" w:cs="Times New Roman" w:eastAsia="Times New Roman" w:hAnsi="Times New Roman"/>
                <w:sz w:val="18"/>
                <w:szCs w:val="18"/>
                <w:color w:val="0000FF"/>
              </w:rPr>
            </w:pPr>
            <w:hyperlink w:anchor="page141">
              <w:r>
                <w:rPr>
                  <w:rFonts w:ascii="Times New Roman" w:cs="Times New Roman" w:eastAsia="Times New Roman" w:hAnsi="Times New Roman"/>
                  <w:sz w:val="18"/>
                  <w:szCs w:val="18"/>
                  <w:color w:val="0000FF"/>
                </w:rPr>
                <w:t>Power of Attorney. Reference is made to the signature page</w:t>
              </w:r>
            </w:hyperlink>
          </w:p>
        </w:tc>
        <w:tc>
          <w:tcPr>
            <w:tcW w:w="5660" w:type="dxa"/>
            <w:vAlign w:val="bottom"/>
            <w:gridSpan w:val="10"/>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2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220" w:type="dxa"/>
            <w:vAlign w:val="bottom"/>
            <w:gridSpan w:val="9"/>
            <w:vMerge w:val="restart"/>
          </w:tcPr>
          <w:p>
            <w:pPr>
              <w:spacing w:after="0" w:line="189" w:lineRule="exact"/>
              <w:rPr>
                <w:rFonts w:ascii="Times New Roman" w:cs="Times New Roman" w:eastAsia="Times New Roman" w:hAnsi="Times New Roman"/>
                <w:sz w:val="18"/>
                <w:szCs w:val="18"/>
                <w:color w:val="0000FF"/>
              </w:rPr>
            </w:pPr>
            <w:hyperlink w:anchor="page432">
              <w:r>
                <w:rPr>
                  <w:rFonts w:ascii="Times New Roman" w:cs="Times New Roman" w:eastAsia="Times New Roman" w:hAnsi="Times New Roman"/>
                  <w:sz w:val="18"/>
                  <w:szCs w:val="18"/>
                  <w:color w:val="0000FF"/>
                </w:rPr>
                <w:t>14(a) and 15d-14(a) under the Securities Exchange Act of 1934, as</w:t>
              </w:r>
            </w:hyperlink>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4820" w:type="dxa"/>
            <w:vAlign w:val="bottom"/>
            <w:gridSpan w:val="7"/>
          </w:tcPr>
          <w:p>
            <w:pPr>
              <w:spacing w:after="0" w:line="169" w:lineRule="exact"/>
              <w:rPr>
                <w:rFonts w:ascii="Times New Roman" w:cs="Times New Roman" w:eastAsia="Times New Roman" w:hAnsi="Times New Roman"/>
                <w:sz w:val="18"/>
                <w:szCs w:val="18"/>
                <w:color w:val="0000FF"/>
                <w:w w:val="99"/>
              </w:rPr>
            </w:pPr>
            <w:hyperlink w:anchor="page432">
              <w:r>
                <w:rPr>
                  <w:rFonts w:ascii="Times New Roman" w:cs="Times New Roman" w:eastAsia="Times New Roman" w:hAnsi="Times New Roman"/>
                  <w:sz w:val="18"/>
                  <w:szCs w:val="18"/>
                  <w:color w:val="0000FF"/>
                  <w:w w:val="99"/>
                </w:rPr>
                <w:t>Certification of Principal Executive Officer Pursuant to Rules 13a-</w:t>
              </w:r>
            </w:hyperlink>
          </w:p>
        </w:tc>
        <w:tc>
          <w:tcPr>
            <w:tcW w:w="5220" w:type="dxa"/>
            <w:vAlign w:val="bottom"/>
            <w:gridSpan w:val="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Borders>
              <w:bottom w:val="single" w:sz="8" w:color="0000EE"/>
            </w:tcBorders>
          </w:tcPr>
          <w:p>
            <w:pPr>
              <w:spacing w:after="0"/>
              <w:rPr>
                <w:sz w:val="13"/>
                <w:szCs w:val="13"/>
                <w:color w:val="auto"/>
              </w:rPr>
            </w:pPr>
          </w:p>
        </w:tc>
        <w:tc>
          <w:tcPr>
            <w:tcW w:w="4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w:anchor="page432">
              <w:r>
                <w:rPr>
                  <w:rFonts w:ascii="Times New Roman" w:cs="Times New Roman" w:eastAsia="Times New Roman" w:hAnsi="Times New Roman"/>
                  <w:sz w:val="18"/>
                  <w:szCs w:val="18"/>
                  <w:color w:val="0000FF"/>
                  <w:w w:val="99"/>
                </w:rPr>
                <w:t>Adopted Pursuant to Section 302 of the Sarbanes-Oxley Act of 2002.</w:t>
              </w:r>
            </w:hyperlink>
          </w:p>
        </w:tc>
        <w:tc>
          <w:tcPr>
            <w:tcW w:w="4680" w:type="dxa"/>
            <w:vAlign w:val="bottom"/>
            <w:tcBorders>
              <w:top w:val="single" w:sz="8" w:color="0000FF"/>
            </w:tcBorders>
            <w:gridSpan w:val="5"/>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10040" w:type="dxa"/>
            <w:vAlign w:val="bottom"/>
            <w:gridSpan w:val="16"/>
          </w:tcPr>
          <w:p>
            <w:pPr>
              <w:spacing w:after="0" w:line="169" w:lineRule="exact"/>
              <w:rPr>
                <w:rFonts w:ascii="Times New Roman" w:cs="Times New Roman" w:eastAsia="Times New Roman" w:hAnsi="Times New Roman"/>
                <w:sz w:val="18"/>
                <w:szCs w:val="18"/>
                <w:color w:val="0000FF"/>
              </w:rPr>
            </w:pPr>
            <w:hyperlink w:anchor="page433">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9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w:anchor="page433">
              <w:r>
                <w:rPr>
                  <w:rFonts w:ascii="Times New Roman" w:cs="Times New Roman" w:eastAsia="Times New Roman" w:hAnsi="Times New Roman"/>
                  <w:sz w:val="18"/>
                  <w:szCs w:val="18"/>
                  <w:color w:val="0000FF"/>
                  <w:w w:val="99"/>
                </w:rPr>
                <w:t>Adopted Pursuant to Section 302 of the Sarbanes-Oxley Act of 2002.</w:t>
              </w:r>
            </w:hyperlink>
          </w:p>
        </w:tc>
        <w:tc>
          <w:tcPr>
            <w:tcW w:w="4620" w:type="dxa"/>
            <w:vAlign w:val="bottom"/>
            <w:tcBorders>
              <w:top w:val="single" w:sz="8" w:color="0000FF"/>
            </w:tcBorders>
            <w:gridSpan w:val="4"/>
          </w:tcPr>
          <w:p>
            <w:pPr>
              <w:spacing w:after="0"/>
              <w:rPr>
                <w:sz w:val="13"/>
                <w:szCs w:val="13"/>
                <w:color w:val="auto"/>
              </w:rPr>
            </w:pPr>
          </w:p>
        </w:tc>
        <w:tc>
          <w:tcPr>
            <w:tcW w:w="24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8"/>
          </w:tcPr>
          <w:p>
            <w:pPr>
              <w:spacing w:after="0" w:line="169" w:lineRule="exact"/>
              <w:rPr>
                <w:rFonts w:ascii="Times New Roman" w:cs="Times New Roman" w:eastAsia="Times New Roman" w:hAnsi="Times New Roman"/>
                <w:sz w:val="18"/>
                <w:szCs w:val="18"/>
                <w:color w:val="0000FF"/>
              </w:rPr>
            </w:pPr>
            <w:hyperlink w:anchor="page434">
              <w:r>
                <w:rPr>
                  <w:rFonts w:ascii="Times New Roman" w:cs="Times New Roman" w:eastAsia="Times New Roman" w:hAnsi="Times New Roman"/>
                  <w:sz w:val="18"/>
                  <w:szCs w:val="18"/>
                  <w:color w:val="0000FF"/>
                </w:rPr>
                <w:t>Certification of Principal Executive Officer and Principal Financial</w:t>
              </w:r>
            </w:hyperlink>
          </w:p>
        </w:tc>
        <w:tc>
          <w:tcPr>
            <w:tcW w:w="5060" w:type="dxa"/>
            <w:vAlign w:val="bottom"/>
            <w:gridSpan w:val="8"/>
          </w:tcPr>
          <w:p>
            <w:pPr>
              <w:spacing w:after="0" w:line="169" w:lineRule="exact"/>
              <w:rPr>
                <w:rFonts w:ascii="Times New Roman" w:cs="Times New Roman" w:eastAsia="Times New Roman" w:hAnsi="Times New Roman"/>
                <w:sz w:val="18"/>
                <w:szCs w:val="18"/>
                <w:color w:val="0000FF"/>
              </w:rPr>
            </w:pPr>
            <w:hyperlink w:anchor="page434">
              <w:r>
                <w:rPr>
                  <w:rFonts w:ascii="Times New Roman" w:cs="Times New Roman" w:eastAsia="Times New Roman" w:hAnsi="Times New Roman"/>
                  <w:sz w:val="18"/>
                  <w:szCs w:val="18"/>
                  <w:color w:val="0000FF"/>
                </w:rPr>
                <w:t>Officer Pursuant to 18 U.S.C. Section 1350, as Adopted Pursuant to</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w:anchor="page434">
              <w:r>
                <w:rPr>
                  <w:rFonts w:ascii="Times New Roman" w:cs="Times New Roman" w:eastAsia="Times New Roman" w:hAnsi="Times New Roman"/>
                  <w:sz w:val="18"/>
                  <w:szCs w:val="18"/>
                  <w:color w:val="0000FF"/>
                  <w:w w:val="98"/>
                </w:rPr>
                <w:t>Section 906 of the Sarbanes-Oxley Act of 2002.</w:t>
              </w:r>
            </w:hyperlink>
          </w:p>
        </w:tc>
        <w:tc>
          <w:tcPr>
            <w:tcW w:w="6380" w:type="dxa"/>
            <w:vAlign w:val="bottom"/>
            <w:tcBorders>
              <w:top w:val="single" w:sz="8" w:color="0000FF"/>
            </w:tcBorders>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101.INS</w:t>
            </w:r>
          </w:p>
        </w:tc>
        <w:tc>
          <w:tcPr>
            <w:tcW w:w="346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580" w:type="dxa"/>
            <w:vAlign w:val="bottom"/>
            <w:gridSpan w:val="11"/>
          </w:tcPr>
          <w:p>
            <w:pPr>
              <w:spacing w:after="0" w:line="156"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XBRL tags are embedded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1004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9512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580" w:hanging="559"/>
        <w:spacing w:after="0"/>
        <w:tabs>
          <w:tab w:leader="none" w:pos="580" w:val="left"/>
        </w:tabs>
        <w:numPr>
          <w:ilvl w:val="0"/>
          <w:numId w:val="6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herewith.</w:t>
      </w:r>
    </w:p>
    <w:p>
      <w:pPr>
        <w:ind w:left="580" w:right="160" w:hanging="559"/>
        <w:spacing w:after="0" w:line="207" w:lineRule="auto"/>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which accompanies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Form 10-K), irrespective of any general incorporation language contained in such filing.</w:t>
      </w:r>
    </w:p>
    <w:p>
      <w:pPr>
        <w:spacing w:after="0" w:line="1" w:lineRule="exact"/>
        <w:rPr>
          <w:sz w:val="20"/>
          <w:szCs w:val="20"/>
          <w:color w:val="auto"/>
        </w:rPr>
      </w:pPr>
    </w:p>
    <w:p>
      <w:pPr>
        <w:ind w:left="580" w:hanging="559"/>
        <w:spacing w:after="0"/>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ind w:left="20"/>
        <w:spacing w:after="0"/>
        <w:tabs>
          <w:tab w:leader="none" w:pos="8120" w:val="left"/>
        </w:tabs>
        <w:rPr>
          <w:sz w:val="20"/>
          <w:szCs w:val="20"/>
          <w:color w:val="auto"/>
        </w:rPr>
      </w:pPr>
      <w:r>
        <w:rPr>
          <w:rFonts w:ascii="Times New Roman" w:cs="Times New Roman" w:eastAsia="Times New Roman" w:hAnsi="Times New Roman"/>
          <w:sz w:val="18"/>
          <w:szCs w:val="18"/>
          <w:color w:val="auto"/>
        </w:rPr>
        <w:t>Date: March 30, 2022</w:t>
      </w:r>
      <w:r>
        <w:rPr>
          <w:sz w:val="20"/>
          <w:szCs w:val="20"/>
          <w:color w:val="auto"/>
        </w:rPr>
        <w:tab/>
      </w:r>
      <w:r>
        <w:rPr>
          <w:rFonts w:ascii="Times New Roman" w:cs="Times New Roman" w:eastAsia="Times New Roman" w:hAnsi="Times New Roman"/>
          <w:sz w:val="17"/>
          <w:szCs w:val="17"/>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-12065</wp:posOffset>
            </wp:positionV>
            <wp:extent cx="32829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14"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Talat Imran</w:t>
      </w:r>
    </w:p>
    <w:p>
      <w:pPr>
        <w:spacing w:after="0" w:line="160"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19" w:lineRule="exact"/>
        <w:rPr>
          <w:sz w:val="20"/>
          <w:szCs w:val="20"/>
          <w:color w:val="auto"/>
        </w:rPr>
      </w:pPr>
    </w:p>
    <w:p>
      <w:pPr>
        <w:ind w:right="100" w:firstLine="1018"/>
        <w:spacing w:after="0" w:line="24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Talat Imran and Svai Sanford,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12" w:lineRule="exact"/>
        <w:rPr>
          <w:sz w:val="20"/>
          <w:szCs w:val="20"/>
          <w:color w:val="auto"/>
        </w:rPr>
      </w:pPr>
    </w:p>
    <w:p>
      <w:pPr>
        <w:ind w:right="580" w:firstLine="101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62"/>
        </w:trPr>
        <w:tc>
          <w:tcPr>
            <w:tcW w:w="3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Talat Imran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Talat Imran</w:t>
            </w:r>
          </w:p>
        </w:tc>
        <w:tc>
          <w:tcPr>
            <w:tcW w:w="1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Svai Sanford</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Svai Sanford</w:t>
            </w:r>
          </w:p>
        </w:tc>
        <w:tc>
          <w:tcPr>
            <w:tcW w:w="1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Mir Imran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Mir Imran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Dennis Ausiello</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Dennis Ausiello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Lyn Baranowski</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Lyn Baranowski</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Jean-Luc Butel</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Jean-Luc Butel</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Laureen DeBuono</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8"/>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Laureen DeBuono</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Andrew Farquharson</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9"/>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Farquharson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Maulik Nanavaty</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9"/>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Maulik Nanavaty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Lisa Rometty</w:t>
            </w:r>
          </w:p>
        </w:tc>
        <w:tc>
          <w:tcPr>
            <w:tcW w:w="12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2022</w:t>
            </w:r>
          </w:p>
        </w:tc>
        <w:tc>
          <w:tcPr>
            <w:tcW w:w="0" w:type="dxa"/>
            <w:vAlign w:val="bottom"/>
          </w:tcPr>
          <w:p>
            <w:pPr>
              <w:spacing w:after="0"/>
              <w:rPr>
                <w:sz w:val="1"/>
                <w:szCs w:val="1"/>
                <w:color w:val="auto"/>
              </w:rPr>
            </w:pPr>
          </w:p>
        </w:tc>
      </w:tr>
      <w:tr>
        <w:trPr>
          <w:trHeight w:val="149"/>
        </w:trPr>
        <w:tc>
          <w:tcPr>
            <w:tcW w:w="3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Lisa Rometty</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4"/>
        </w:trPr>
        <w:tc>
          <w:tcPr>
            <w:tcW w:w="3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and Exchange Act of 1934</w:t>
      </w:r>
    </w:p>
    <w:p>
      <w:pPr>
        <w:spacing w:after="0" w:line="192"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The following is a description of the Class A common stock, par value $0.0001 per share (the “Class A common stock”) of Rani Therapeutics Holdings, Inc. (“Rani”, the “Company”, “we”, “our” or “us”) which is our only class of security registered under Section 12 of the Securities Exchange Act of 1934, as amended (the “Exchange Act”). The following also contains a description of our Class B common stock, par value $0.0001 per share of the Company (the “Class B common stock”), which is not registered pursuant to Section 12 of the Exchange Act but Class B common stockholders who are members of Rani Therapeutics, LLC (“Rani LLC”) have the right to exchange their membership interests of Rani LLC (the “LLC Interests”) (with automatic cancellation of an equal number of shares of Class B common stock) for shares of our Class A common stock. The description of the Class B common stock is necessary to understand the material terms of the Class A common stock. The following also contains a description of our Class C common stock, par value $0.0001 per share (the “Class C common stock”) and our preferred stock, par value $0.0001 per share (the “preferred stock”). As of March 28, 2022, there are no shares of Class C common stock and no shares of preferred stock outstanding. The description of the Class C common stock and the preferred stock is necessary to understand the terms of the Class A common stock as the issuance of Class C common stock or preferred stock could have an adverse impact on the market price of the Class A common stock.</w:t>
      </w:r>
    </w:p>
    <w:p>
      <w:pPr>
        <w:spacing w:after="0" w:line="18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amended and restated certificate of incorporation, as currently in effect, as well as our amended and restated bylaws, as currently in effect, and the applicable provisions of the Delaware General Corporation Law (the “DGCL”). This information is qualified entirely by reference to the applicable provisions of our amended and restated certificate of incorporation, amended and restated bylaws, and the DGCL. Our amended and restated certificate of incorporation and amended and restated bylaws have previously been filed as exhibits with the Securities and Exchange Commission.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0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authorized capital stock consists of 800,000,000 shares of Class A common stock, par value $0.0001, 40,000,000 shares of Class B common stock, par value $0.0001 per share, 20,000,000 shares of Class C common stock, par value $0.0001 per share and 20,000,000 shares of preferred stock, par value $0.0001 per share.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p>
      <w:pPr>
        <w:spacing w:after="0" w:line="106"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ind w:right="100"/>
        <w:spacing w:after="0" w:line="266" w:lineRule="auto"/>
        <w:rPr>
          <w:sz w:val="20"/>
          <w:szCs w:val="20"/>
          <w:color w:val="auto"/>
        </w:rPr>
      </w:pPr>
      <w:r>
        <w:rPr>
          <w:rFonts w:ascii="Times New Roman" w:cs="Times New Roman" w:eastAsia="Times New Roman" w:hAnsi="Times New Roman"/>
          <w:sz w:val="18"/>
          <w:szCs w:val="18"/>
          <w:color w:val="auto"/>
        </w:rPr>
        <w:t>of Class A common stock and Class C common stock, unless different treatment is approved by the majority of the voting power of the outstanding shares of Class A common stock and Class B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0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0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Shares of Class B common stock will only be issued in the future to the extent necessary to maintain a one-to-one ratio between the number of LLC Interests held by our Class B common stockholders who are members of Rani LLC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(the “Rani LLC Agreement”), a copy of which has previously been filed as an exhibit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7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185" w:lineRule="exact"/>
        <w:rPr>
          <w:sz w:val="20"/>
          <w:szCs w:val="20"/>
          <w:color w:val="auto"/>
        </w:rPr>
      </w:pPr>
    </w:p>
    <w:p>
      <w:pPr>
        <w:jc w:val="both"/>
        <w:ind w:left="760" w:right="440" w:hanging="378"/>
        <w:spacing w:after="0" w:line="250"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176"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176"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0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3" w:name="page144"/>
    <w:bookmarkEnd w:id="143"/>
    <w:p>
      <w:pPr>
        <w:ind w:right="40" w:firstLine="8"/>
        <w:spacing w:after="0" w:line="266" w:lineRule="auto"/>
        <w:tabs>
          <w:tab w:leader="none" w:pos="2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Transfer (as defined therein), other than a Permitted Transfer (as defined therein) of such share of Class B common stock and (b) on the Final Conversion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06"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0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0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20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0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06"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45" w:name="page146"/>
    <w:bookmarkEnd w:id="145"/>
    <w:p>
      <w:pPr>
        <w:ind w:right="100"/>
        <w:spacing w:after="0" w:line="242" w:lineRule="auto"/>
        <w:rPr>
          <w:sz w:val="20"/>
          <w:szCs w:val="20"/>
          <w:color w:val="auto"/>
        </w:rPr>
      </w:pPr>
      <w:r>
        <w:rPr>
          <w:rFonts w:ascii="Times New Roman" w:cs="Times New Roman" w:eastAsia="Times New Roman" w:hAnsi="Times New Roman"/>
          <w:sz w:val="18"/>
          <w:szCs w:val="18"/>
          <w:color w:val="auto"/>
        </w:rPr>
        <w:t>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0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0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0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74"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6" w:name="page147"/>
    <w:bookmarkEnd w:id="146"/>
    <w:p>
      <w:pPr>
        <w:spacing w:after="0" w:line="237"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RANI THERAPEUTICS HOLDINGS, INC.</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PERSONS NAMED HEREIN</w:t>
      </w:r>
    </w:p>
    <w:p>
      <w:pPr>
        <w:spacing w:after="0" w:line="21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August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148" w:name="page149"/>
    <w:bookmarkEnd w:id="148"/>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ARTICLE I</w:t>
        <w:tab/>
        <w:t>DEFINITIONS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color w:val="auto"/>
        </w:rPr>
        <w:t>Definitions</w:t>
      </w:r>
    </w:p>
    <w:p>
      <w:pPr>
        <w:spacing w:after="0" w:line="10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ARTICLE II</w:t>
      </w:r>
      <w:r>
        <w:rPr>
          <w:sz w:val="20"/>
          <w:szCs w:val="20"/>
          <w:color w:val="auto"/>
        </w:rPr>
        <w:tab/>
      </w:r>
      <w:r>
        <w:rPr>
          <w:rFonts w:ascii="Times New Roman" w:cs="Times New Roman" w:eastAsia="Times New Roman" w:hAnsi="Times New Roman"/>
          <w:sz w:val="17"/>
          <w:szCs w:val="17"/>
          <w:color w:val="auto"/>
        </w:rPr>
        <w:t>DETERMINATION OF CERTAIN REALIZED TAX BENEFIT</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color w:val="auto"/>
        </w:rPr>
        <w:t>Basis Schedule</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color w:val="auto"/>
        </w:rPr>
        <w:t>Tax Benefit Schedule</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color w:val="auto"/>
        </w:rPr>
        <w:t>Procedures, Amendments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color w:val="auto"/>
        </w:rPr>
        <w:t>Basis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 TAX BENEFIT PAYMENTS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color w:val="auto"/>
        </w:rPr>
        <w:t>Payments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color w:val="auto"/>
        </w:rPr>
        <w:t>No Duplicative Payments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color w:val="auto"/>
        </w:rPr>
        <w:t>Pro Rata Payments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color w:val="auto"/>
        </w:rPr>
        <w:t>Payment Ordering</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7"/>
          <w:szCs w:val="17"/>
          <w:color w:val="auto"/>
        </w:rPr>
        <w:t>Excess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 TERMINATION</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color w:val="auto"/>
        </w:rPr>
        <w:t>Early Termination of Agreement; Breach of Agreement</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color w:val="auto"/>
        </w:rPr>
        <w:t>Early Termination Notice</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color w:val="auto"/>
        </w:rPr>
        <w:t>Payment upon Early Termination</w:t>
      </w:r>
    </w:p>
    <w:p>
      <w:pPr>
        <w:spacing w:after="0" w:line="10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ARTICLE V</w:t>
      </w:r>
      <w:r>
        <w:rPr>
          <w:sz w:val="20"/>
          <w:szCs w:val="20"/>
          <w:color w:val="auto"/>
        </w:rPr>
        <w:tab/>
      </w:r>
      <w:r>
        <w:rPr>
          <w:rFonts w:ascii="Times New Roman" w:cs="Times New Roman" w:eastAsia="Times New Roman" w:hAnsi="Times New Roman"/>
          <w:sz w:val="17"/>
          <w:szCs w:val="17"/>
          <w:color w:val="auto"/>
        </w:rPr>
        <w:t>SUBORDINATION AND LATE PAYMENTS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color w:val="auto"/>
        </w:rPr>
        <w:t>Subordination</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color w:val="auto"/>
        </w:rPr>
        <w:t>Late Payments by the Corporate Taxpayer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 NO DISPUTES; CONSISTENCY; COOPERATION</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color w:val="auto"/>
        </w:rPr>
        <w:t>Participation in the Corporate Taxpayer’s and OpCo’s Tax Matters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color w:val="auto"/>
        </w:rPr>
        <w:t>Consistency</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color w:val="auto"/>
        </w:rPr>
        <w:t>Cooperation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 MISCELLANEOUS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color w:val="auto"/>
        </w:rPr>
        <w:t>Notices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color w:val="auto"/>
        </w:rPr>
        <w:t>Counterparts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color w:val="auto"/>
        </w:rPr>
        <w:t>Entire Agreement; No Third Party Beneficiaries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8"/>
          <w:szCs w:val="18"/>
          <w:color w:val="auto"/>
        </w:rPr>
        <w:t>Governing Law</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color w:val="auto"/>
        </w:rPr>
        <w:t>Severability</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7"/>
          <w:szCs w:val="17"/>
          <w:color w:val="auto"/>
        </w:rPr>
        <w:t>Successors; Assignment; Amendments; Waivers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color w:val="auto"/>
        </w:rPr>
        <w:t>Titles and Subtitles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color w:val="auto"/>
        </w:rPr>
        <w:t>Resolution of Disputes</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7"/>
          <w:szCs w:val="17"/>
          <w:color w:val="auto"/>
        </w:rPr>
        <w:t>Reconciliation</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7"/>
          <w:szCs w:val="17"/>
          <w:color w:val="auto"/>
        </w:rPr>
        <w:t>Withholding</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color w:val="auto"/>
        </w:rPr>
        <w:t>Admission of the Corporate Taxpayer into a Consolidated Group; Transfers of Corporate Assets</w:t>
      </w: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49" w:name="page150"/>
    <w:bookmarkEnd w:id="149"/>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(continued)</w:t>
      </w: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151"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7"/>
          <w:szCs w:val="17"/>
          <w:color w:val="auto"/>
        </w:rPr>
        <w:t>Confidentiality</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color w:val="auto"/>
        </w:rPr>
        <w:t>Change in Law</w:t>
      </w:r>
    </w:p>
    <w:p>
      <w:pPr>
        <w:spacing w:after="0" w:line="104" w:lineRule="exact"/>
        <w:rPr>
          <w:sz w:val="20"/>
          <w:szCs w:val="20"/>
          <w:color w:val="auto"/>
        </w:rPr>
      </w:pPr>
    </w:p>
    <w:p>
      <w:pPr>
        <w:ind w:left="92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7.14</w:t>
        <w:tab/>
        <w:t>Electronic Signature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2"/>
              </w:rPr>
              <w:t>A-1</w:t>
            </w:r>
          </w:p>
        </w:tc>
      </w:tr>
      <w:tr>
        <w:trPr>
          <w:trHeight w:val="31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B-1</w:t>
            </w:r>
          </w:p>
        </w:tc>
      </w:tr>
    </w:tbl>
    <w:p>
      <w:pPr>
        <w:spacing w:after="0" w:line="200" w:lineRule="exact"/>
        <w:rPr>
          <w:sz w:val="20"/>
          <w:szCs w:val="20"/>
          <w:color w:val="auto"/>
        </w:rPr>
      </w:pPr>
    </w:p>
    <w:p>
      <w:pPr>
        <w:spacing w:after="0" w:line="2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212"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August 3, 2021, and is between Rani Therapeutics Holdings, Inc., a Delaware corporation, each of the undersigned parties, and each of the other persons from time to time that becomes a party hereto (each, excluding the Corporate Taxpayer and OpCo (each as defined below), a “</w:t>
      </w: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TRA 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2" w:lineRule="exact"/>
        <w:rPr>
          <w:sz w:val="20"/>
          <w:szCs w:val="20"/>
          <w:color w:val="auto"/>
        </w:rPr>
      </w:pPr>
    </w:p>
    <w:p>
      <w:pPr>
        <w:ind w:right="24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TRA Parties directly or indirectly hold Class A Common Units (the “</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in Rani Therapeutics, LLC, a Delaware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w:t>
      </w:r>
      <w:r>
        <w:rPr>
          <w:rFonts w:ascii="Times New Roman" w:cs="Times New Roman" w:eastAsia="Times New Roman" w:hAnsi="Times New Roman"/>
          <w:sz w:val="18"/>
          <w:szCs w:val="18"/>
          <w:b w:val="1"/>
          <w:bCs w:val="1"/>
          <w:u w:val="single" w:color="auto"/>
          <w:color w:val="auto"/>
        </w:rPr>
        <w:t>OpCo</w:t>
      </w:r>
      <w:r>
        <w:rPr>
          <w:rFonts w:ascii="Times New Roman" w:cs="Times New Roman" w:eastAsia="Times New Roman" w:hAnsi="Times New Roman"/>
          <w:sz w:val="18"/>
          <w:szCs w:val="18"/>
          <w:color w:val="auto"/>
        </w:rPr>
        <w:t>”), which is classified as a partnership for U.S. federal income Tax purposes;</w:t>
      </w:r>
    </w:p>
    <w:p>
      <w:pPr>
        <w:spacing w:after="0" w:line="154" w:lineRule="exact"/>
        <w:rPr>
          <w:sz w:val="20"/>
          <w:szCs w:val="20"/>
          <w:color w:val="auto"/>
        </w:rPr>
      </w:pPr>
    </w:p>
    <w:p>
      <w:pPr>
        <w:ind w:right="34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the Pre-IPO Exchanges (as defined in the LLC Agreement), the Corporate Taxpayer will be the sole managing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OpCo, and will hold, directly and/or indirectly, Units;</w:t>
      </w:r>
    </w:p>
    <w:p>
      <w:pPr>
        <w:spacing w:after="0" w:line="154"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from time to time following the Lock-Up Period (as defined in the LLC Agreement), each holder of Units (other than the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Taxpayer) has the right to require OpCo to redeem (a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color w:val="auto"/>
        </w:rPr>
        <w:t>”) all or a portion of such holder’s Units for, at the Corporate Taxpayer’s election, cash or shares of Class A common stock (the “</w:t>
      </w:r>
      <w:r>
        <w:rPr>
          <w:rFonts w:ascii="Times New Roman" w:cs="Times New Roman" w:eastAsia="Times New Roman" w:hAnsi="Times New Roman"/>
          <w:sz w:val="18"/>
          <w:szCs w:val="18"/>
          <w:b w:val="1"/>
          <w:bCs w:val="1"/>
          <w:u w:val="single" w:color="auto"/>
          <w:color w:val="auto"/>
        </w:rPr>
        <w:t>Class A Shares</w:t>
      </w:r>
      <w:r>
        <w:rPr>
          <w:rFonts w:ascii="Times New Roman" w:cs="Times New Roman" w:eastAsia="Times New Roman" w:hAnsi="Times New Roman"/>
          <w:sz w:val="18"/>
          <w:szCs w:val="18"/>
          <w:color w:val="auto"/>
        </w:rPr>
        <w:t xml:space="preserve">”) of the Corporate Taxpayer, in either case contributed to OpCo by the Corporate Taxpayer,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election of the Corporate Taxpayer in its sole discretion, the Corporate Taxpayer may effect a direct exchange (a “</w:t>
      </w:r>
      <w:r>
        <w:rPr>
          <w:rFonts w:ascii="Times New Roman" w:cs="Times New Roman" w:eastAsia="Times New Roman" w:hAnsi="Times New Roman"/>
          <w:sz w:val="18"/>
          <w:szCs w:val="18"/>
          <w:b w:val="1"/>
          <w:bCs w:val="1"/>
          <w:u w:val="single" w:color="auto"/>
          <w:color w:val="auto"/>
        </w:rPr>
        <w:t>Direct Exchange</w:t>
      </w:r>
      <w:r>
        <w:rPr>
          <w:rFonts w:ascii="Times New Roman" w:cs="Times New Roman" w:eastAsia="Times New Roman" w:hAnsi="Times New Roman"/>
          <w:sz w:val="18"/>
          <w:szCs w:val="18"/>
          <w:color w:val="auto"/>
        </w:rPr>
        <w:t>”) of such cash or Class A Shares for such Units, all in accordance with and subject to the provisions of the LLC Agreement (as defined below);</w:t>
      </w:r>
    </w:p>
    <w:p>
      <w:pPr>
        <w:spacing w:after="0" w:line="181"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OpCo and each of its direct and indirect Subsidiaries (as defined below) treated as a partnership for U.S. federal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currently have and will have in effect an election under Section 754 of the Code, for each Taxable Year (as defined below) that includes the IPO Date and for each Taxable Year in which a taxable acquisition (including a deemed taxable acquisition under Section 707(a) of the Code) of Units by the Corporate Taxpayer or by OpCo from any of the TRA Parties (an “</w:t>
      </w:r>
      <w:r>
        <w:rPr>
          <w:rFonts w:ascii="Times New Roman" w:cs="Times New Roman" w:eastAsia="Times New Roman" w:hAnsi="Times New Roman"/>
          <w:sz w:val="18"/>
          <w:szCs w:val="18"/>
          <w:b w:val="1"/>
          <w:bCs w:val="1"/>
          <w:u w:val="single" w:color="auto"/>
          <w:color w:val="auto"/>
        </w:rPr>
        <w:t>Exchanging Holder</w:t>
      </w:r>
      <w:r>
        <w:rPr>
          <w:rFonts w:ascii="Times New Roman" w:cs="Times New Roman" w:eastAsia="Times New Roman" w:hAnsi="Times New Roman"/>
          <w:sz w:val="18"/>
          <w:szCs w:val="18"/>
          <w:color w:val="auto"/>
        </w:rPr>
        <w:t>”) for Class A Shares and/or other consideration occurs;</w:t>
      </w:r>
    </w:p>
    <w:p>
      <w:pPr>
        <w:spacing w:after="0" w:line="177" w:lineRule="exact"/>
        <w:rPr>
          <w:sz w:val="20"/>
          <w:szCs w:val="20"/>
          <w:color w:val="auto"/>
        </w:rPr>
      </w:pPr>
    </w:p>
    <w:p>
      <w:pPr>
        <w:jc w:val="both"/>
        <w:ind w:right="24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income, gain, loss, expense and other Tax items of the Corporate Taxpayer may be affected by the (i) Basis Adjustments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 Imputed Interest (each as defined below) (collectively, the “</w:t>
      </w:r>
      <w:r>
        <w:rPr>
          <w:rFonts w:ascii="Times New Roman" w:cs="Times New Roman" w:eastAsia="Times New Roman" w:hAnsi="Times New Roman"/>
          <w:sz w:val="18"/>
          <w:szCs w:val="18"/>
          <w:b w:val="1"/>
          <w:bCs w:val="1"/>
          <w:u w:val="single" w:color="auto"/>
          <w:color w:val="auto"/>
        </w:rPr>
        <w:t>Tax Attributes</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right="4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to this Agreement desire to provide for certain payments and make certain arrangements with respect to the effect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Attributes on the liability for Taxes (as defined below) of the Corporate Taxpayer.</w:t>
      </w:r>
    </w:p>
    <w:p>
      <w:pPr>
        <w:spacing w:after="0" w:line="154" w:lineRule="exact"/>
        <w:rPr>
          <w:sz w:val="20"/>
          <w:szCs w:val="20"/>
          <w:color w:val="auto"/>
        </w:rPr>
      </w:pPr>
    </w:p>
    <w:p>
      <w:pPr>
        <w:ind w:right="50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covenants and agreements set forth herein, and intending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legally bound hereby, the parties hereto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12" w:lineRule="exact"/>
        <w:rPr>
          <w:sz w:val="20"/>
          <w:szCs w:val="20"/>
          <w:color w:val="auto"/>
        </w:rPr>
      </w:pPr>
    </w:p>
    <w:p>
      <w:pPr>
        <w:ind w:left="2720" w:right="60" w:hanging="1954"/>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terms set forth in this Article I shall have the following meanings (such meanings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equally applicable to both the singular and plural forms of the terms defined).</w:t>
      </w:r>
    </w:p>
    <w:p>
      <w:pPr>
        <w:spacing w:after="0" w:line="154" w:lineRule="exact"/>
        <w:rPr>
          <w:sz w:val="20"/>
          <w:szCs w:val="20"/>
          <w:color w:val="auto"/>
        </w:rPr>
      </w:pPr>
    </w:p>
    <w:p>
      <w:pPr>
        <w:jc w:val="both"/>
        <w:ind w:right="240"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Tax Liability</w:t>
      </w:r>
      <w:r>
        <w:rPr>
          <w:rFonts w:ascii="Times New Roman" w:cs="Times New Roman" w:eastAsia="Times New Roman" w:hAnsi="Times New Roman"/>
          <w:sz w:val="18"/>
          <w:szCs w:val="18"/>
          <w:color w:val="auto"/>
        </w:rPr>
        <w:t>” means, with respect to any Taxable Year, an amount, not less than zero, equal to the actual liability for Taxes of (i) the Corporate Taxpayer and (ii) without duplication, OpCo (and OpCo’s applicable subsidiaries), but in the case of this clause (ii) only with respect to Taxes imposed on OpCo (and OpCo’s applicable subsidiaries) and allocable to the Corporate taxpayer; provided, that the actual liability for Taxes described in clauses (i) and (ii) shall be calculated (a) using the Assumed Rate, solely for purposes of calculating the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1" w:name="page152"/>
    <w:bookmarkEnd w:id="151"/>
    <w:p>
      <w:pPr>
        <w:ind w:right="220"/>
        <w:spacing w:after="0" w:line="250" w:lineRule="auto"/>
        <w:rPr>
          <w:sz w:val="20"/>
          <w:szCs w:val="20"/>
          <w:color w:val="auto"/>
        </w:rPr>
      </w:pPr>
      <w:r>
        <w:rPr>
          <w:rFonts w:ascii="Times New Roman" w:cs="Times New Roman" w:eastAsia="Times New Roman" w:hAnsi="Times New Roman"/>
          <w:sz w:val="18"/>
          <w:szCs w:val="18"/>
          <w:color w:val="auto"/>
        </w:rPr>
        <w:t>U.S. state and local Actual Tax Liability of the Corporate Taxpayer, and (b) assuming, solely for purposes of calculating the liability for U.S. federal income Taxes, in order to prevent double counting, that U.S. state and local Taxes are not deductible by the Corporate Taxpayer for U.S. federal income Tax purposes.</w:t>
      </w:r>
    </w:p>
    <w:p>
      <w:pPr>
        <w:spacing w:after="0" w:line="173" w:lineRule="exact"/>
        <w:rPr>
          <w:sz w:val="20"/>
          <w:szCs w:val="20"/>
          <w:color w:val="auto"/>
        </w:rPr>
      </w:pPr>
    </w:p>
    <w:p>
      <w:pPr>
        <w:ind w:right="44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first Person.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Agreed Rate</w:t>
      </w:r>
      <w:r>
        <w:rPr>
          <w:rFonts w:ascii="Times New Roman" w:cs="Times New Roman" w:eastAsia="Times New Roman" w:hAnsi="Times New Roman"/>
          <w:sz w:val="18"/>
          <w:szCs w:val="18"/>
          <w:color w:val="auto"/>
        </w:rPr>
        <w:t>” means a per annum rate of the lesser of (i) 6.5% and (ii) LIBOR plus 100 basis points.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Amended Schedule</w:t>
      </w:r>
      <w:r>
        <w:rPr>
          <w:rFonts w:ascii="Times New Roman" w:cs="Times New Roman" w:eastAsia="Times New Roman" w:hAnsi="Times New Roman"/>
          <w:sz w:val="18"/>
          <w:szCs w:val="18"/>
          <w:color w:val="auto"/>
        </w:rPr>
        <w:t>” has the meaning set forth in Section 2.3(b) of this Agreement.</w:t>
      </w:r>
    </w:p>
    <w:p>
      <w:pPr>
        <w:spacing w:after="0" w:line="212"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Assumed Rate</w:t>
      </w:r>
      <w:r>
        <w:rPr>
          <w:rFonts w:ascii="Times New Roman" w:cs="Times New Roman" w:eastAsia="Times New Roman" w:hAnsi="Times New Roman"/>
          <w:sz w:val="18"/>
          <w:szCs w:val="18"/>
          <w:color w:val="auto"/>
        </w:rPr>
        <w:t xml:space="preserve">” means, with respect to any Taxable Year, the tax rate equal to the sum of the product of (x) OpCo’s income and franchise Tax apportionment percentage(s) for each U.S. state and local jurisdiction in which OpCo files income or franchise Tax Returns for the relevant Taxable Year and (y) the highest corporate income and franchise Tax rate(s) for each such U.S. state and local jurisdiction in which OpCo files income or franchise Tax Returns for each relevant Taxable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Assumed Rate calculated pursuant to the foregoing shall be reduced by the assumed U.S. federal income Tax benefit received by the Corporate Taxpayer with respect to U.S. state and local jurisdiction income and franchise Taxes (with such benefit calculated as the product of (a) the Corporate Taxpayer’s marginal U.S. federal income Tax rate for such Taxable Year and (b) the Assumed Rate (without regard to this proviso)).</w:t>
      </w:r>
    </w:p>
    <w:p>
      <w:pPr>
        <w:spacing w:after="0" w:line="185"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Attributable</w:t>
      </w:r>
      <w:r>
        <w:rPr>
          <w:rFonts w:ascii="Times New Roman" w:cs="Times New Roman" w:eastAsia="Times New Roman" w:hAnsi="Times New Roman"/>
          <w:sz w:val="18"/>
          <w:szCs w:val="18"/>
          <w:color w:val="auto"/>
        </w:rPr>
        <w:t>” means the portion of any Tax Attribute of the Corporate Taxpayer that is “Attributable” to any present or former holder of Units, other than the Corporate Taxpayer, and shall be determined by reference to the Tax Attributes, under the following principles:</w:t>
      </w:r>
    </w:p>
    <w:p>
      <w:pPr>
        <w:spacing w:after="0" w:line="158" w:lineRule="exact"/>
        <w:rPr>
          <w:sz w:val="20"/>
          <w:szCs w:val="20"/>
          <w:color w:val="auto"/>
        </w:rPr>
      </w:pPr>
    </w:p>
    <w:p>
      <w:pPr>
        <w:ind w:left="760" w:firstLine="745"/>
        <w:spacing w:after="0" w:line="264" w:lineRule="auto"/>
        <w:tabs>
          <w:tab w:leader="none" w:pos="186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Basis Adjustments shall be determined separately with respect to each Exchanging Holder, using reasonable methods for tracking such Basis Adjustments, and are Attributable to each Exchanging Holder in an amount equal to the total Basis Adjustments relating to such Units Exchanged by such Exchanging Holder (determined without regard to any dilutive or antidilutive effect of any contribution to or distribution from OpCo after the date of an applicable Exchange, and taking into account any adjustment under Section 743(b) of the Code); and</w:t>
      </w:r>
    </w:p>
    <w:p>
      <w:pPr>
        <w:spacing w:after="0" w:line="165" w:lineRule="exact"/>
        <w:rPr>
          <w:rFonts w:ascii="Times New Roman" w:cs="Times New Roman" w:eastAsia="Times New Roman" w:hAnsi="Times New Roman"/>
          <w:sz w:val="17"/>
          <w:szCs w:val="17"/>
          <w:color w:val="auto"/>
        </w:rPr>
      </w:pPr>
    </w:p>
    <w:p>
      <w:pPr>
        <w:ind w:left="760" w:right="380" w:firstLine="745"/>
        <w:spacing w:after="0" w:line="296" w:lineRule="auto"/>
        <w:tabs>
          <w:tab w:leader="none" w:pos="186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deduction to the Corporate Taxpayer with respect to a Taxable Year in respect of Imputed Interest is Attributable to the Person that is required to include the Imputed Interest in income (without regard to whether such Person is actually subject to Tax thereon).</w:t>
      </w:r>
    </w:p>
    <w:p>
      <w:pPr>
        <w:spacing w:after="0" w:line="135"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Basis Adjustment</w:t>
      </w:r>
      <w:r>
        <w:rPr>
          <w:rFonts w:ascii="Times New Roman" w:cs="Times New Roman" w:eastAsia="Times New Roman" w:hAnsi="Times New Roman"/>
          <w:sz w:val="18"/>
          <w:szCs w:val="18"/>
          <w:color w:val="auto"/>
        </w:rPr>
        <w:t>” means the adjustment to the Tax basis of a Reference Asset under Sections 732, 734(b) and/or 1012 of the Code (in situations where, as a result of one or more Exchanges, OpCo becomes an entity that is disregarded as separate from its owner for U.S. federal income Tax purposes) or under Sections 734(b), 743(b) and/or 754 of the Code (in situations where, following an Exchange, OpCo remains in existence as an entity treated as a partnership for U.S. federal income Tax purposes) and, in each case, analogous sections of state, local and foreign Tax laws, as a result of an Exchange and the payments made pursuant to this Agreement in respect of such Exchange. For the avoidance of doubt, the amount of any Basis Adjustment resulting from an Exchange of one or more Units shall be determined without regard to any Pre-Exchange Transfer of such Units and as if any such Pre-Exchange Transfer had not occurred. The amount of any Basis Adjustment shall be determined using the Market Value at the time of the Exchange.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Basis Schedule</w:t>
      </w:r>
      <w:r>
        <w:rPr>
          <w:rFonts w:ascii="Times New Roman" w:cs="Times New Roman" w:eastAsia="Times New Roman" w:hAnsi="Times New Roman"/>
          <w:sz w:val="18"/>
          <w:szCs w:val="18"/>
          <w:color w:val="auto"/>
        </w:rPr>
        <w:t>” has the meaning set forth in Section 2.1 of this Agreement.</w:t>
      </w:r>
    </w:p>
    <w:p>
      <w:pPr>
        <w:spacing w:after="0" w:line="212" w:lineRule="exact"/>
        <w:rPr>
          <w:sz w:val="20"/>
          <w:szCs w:val="20"/>
          <w:color w:val="auto"/>
        </w:rPr>
      </w:pPr>
    </w:p>
    <w:p>
      <w:pPr>
        <w:jc w:val="both"/>
        <w:ind w:right="6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color w:val="auto"/>
        </w:rPr>
        <w:t>” means, with respect to any security, a Person who directly or indirectly, through any contract, arrangement, understanding, relationship or otherwise, has or shares: (i) voting power, which includes the power to vote, or to direct the voting of, such security; and/or (ii) investment power, which includes the power to</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color w:val="auto"/>
        </w:rPr>
        <w:t>dispose of, or to direct the disposition of, such security. The term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shall have a correlative meaning.</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Corporate Taxpayer.</w:t>
      </w:r>
    </w:p>
    <w:p>
      <w:pPr>
        <w:spacing w:after="0" w:line="212" w:lineRule="exact"/>
        <w:rPr>
          <w:sz w:val="20"/>
          <w:szCs w:val="20"/>
          <w:color w:val="auto"/>
        </w:rPr>
      </w:pPr>
    </w:p>
    <w:p>
      <w:pPr>
        <w:ind w:right="5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each day that is not a Saturday, Sunday or other day on which banking institutions in San Francisco, California are authorized or required by law to close.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16" w:lineRule="exact"/>
        <w:rPr>
          <w:sz w:val="20"/>
          <w:szCs w:val="20"/>
          <w:color w:val="auto"/>
        </w:rPr>
      </w:pPr>
    </w:p>
    <w:p>
      <w:pPr>
        <w:ind w:left="760" w:right="20" w:firstLine="745"/>
        <w:spacing w:after="0"/>
        <w:tabs>
          <w:tab w:leader="none" w:pos="18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any group of Persons acting together that would constitute a “group” for purposes of Section 13(d) of the Securities Exchange Act of 1934, as amended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Affiliates of the Founder Members,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 or</w:t>
      </w:r>
    </w:p>
    <w:p>
      <w:pPr>
        <w:spacing w:after="0" w:line="184" w:lineRule="exact"/>
        <w:rPr>
          <w:rFonts w:ascii="Times New Roman" w:cs="Times New Roman" w:eastAsia="Times New Roman" w:hAnsi="Times New Roman"/>
          <w:sz w:val="18"/>
          <w:szCs w:val="18"/>
          <w:color w:val="auto"/>
        </w:rPr>
      </w:pPr>
    </w:p>
    <w:p>
      <w:pPr>
        <w:ind w:left="760" w:firstLine="745"/>
        <w:spacing w:after="0" w:line="242" w:lineRule="auto"/>
        <w:tabs>
          <w:tab w:leader="none" w:pos="18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of the Corporate Taxpayer then serving: individuals who, on the IPO Date, constitute the Board and any new director whose appointment or election by the Board or nomination for election by the Corporate Taxpayer’s stockholders was approved or recommended by a vote of at least two-thirds (2/3) of the directors then still in office who either were directors on the IPO Date or whose appointment, election or nomination for election was previously so approved or recommended by the directors referred to in this clause (ii); or</w:t>
      </w:r>
    </w:p>
    <w:p>
      <w:pPr>
        <w:spacing w:after="0" w:line="184" w:lineRule="exact"/>
        <w:rPr>
          <w:rFonts w:ascii="Times New Roman" w:cs="Times New Roman" w:eastAsia="Times New Roman" w:hAnsi="Times New Roman"/>
          <w:sz w:val="18"/>
          <w:szCs w:val="18"/>
          <w:color w:val="auto"/>
        </w:rPr>
      </w:pPr>
    </w:p>
    <w:p>
      <w:pPr>
        <w:ind w:left="760" w:right="80" w:firstLine="745"/>
        <w:spacing w:after="0" w:line="241" w:lineRule="auto"/>
        <w:tabs>
          <w:tab w:leader="none" w:pos="18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of the Corporate Taxpayer with any other corporation or other entity, and, immediately after the consummation of such merger or consolidation, either (x) the Board immediately prior to the merger or consolidation does not constitute at least a majority of the board of directors of the company surviving the merger or, if the surviving company is a Subsidiary, the ultimate parent thereof, or (y)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83" w:lineRule="exact"/>
        <w:rPr>
          <w:rFonts w:ascii="Times New Roman" w:cs="Times New Roman" w:eastAsia="Times New Roman" w:hAnsi="Times New Roman"/>
          <w:sz w:val="18"/>
          <w:szCs w:val="18"/>
          <w:color w:val="auto"/>
        </w:rPr>
      </w:pPr>
    </w:p>
    <w:p>
      <w:pPr>
        <w:ind w:left="760" w:firstLine="745"/>
        <w:spacing w:after="0" w:line="241" w:lineRule="auto"/>
        <w:tabs>
          <w:tab w:leader="none" w:pos="186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Corporate Taxpayer’s assets, other than such sale or other disposition by the Corporate Taxpayer of all or substantially all of the Corporate Taxpayer’s assets to an entity at least 50% of the combined voting power of the voting securities of which are owned by stockholders of the Corporate Taxpayer in substantially the same proportions as their ownership of the Corporate Taxpayer immediately prior to such sale.</w:t>
      </w:r>
    </w:p>
    <w:p>
      <w:pPr>
        <w:spacing w:after="0" w:line="18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Notwithstanding the foregoing, except with respect to clause (ii) and clause (iii)(x) above,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Class A Shares</w:t>
      </w:r>
      <w:r>
        <w:rPr>
          <w:rFonts w:ascii="Times New Roman" w:cs="Times New Roman" w:eastAsia="Times New Roman" w:hAnsi="Times New Roman"/>
          <w:sz w:val="18"/>
          <w:szCs w:val="18"/>
          <w:color w:val="auto"/>
        </w:rPr>
        <w:t>” has the meaning set forth in the Recitals of this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3" w:name="page154"/>
    <w:bookmarkEnd w:id="153"/>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12" w:lineRule="exact"/>
        <w:rPr>
          <w:sz w:val="20"/>
          <w:szCs w:val="20"/>
          <w:color w:val="auto"/>
        </w:rPr>
      </w:pPr>
    </w:p>
    <w:p>
      <w:pPr>
        <w:ind w:right="40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54" w:lineRule="exact"/>
        <w:rPr>
          <w:sz w:val="20"/>
          <w:szCs w:val="20"/>
          <w:color w:val="auto"/>
        </w:rPr>
      </w:pPr>
    </w:p>
    <w:p>
      <w:pPr>
        <w:ind w:right="6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Corporate Taxpayer</w:t>
      </w:r>
      <w:r>
        <w:rPr>
          <w:rFonts w:ascii="Times New Roman" w:cs="Times New Roman" w:eastAsia="Times New Roman" w:hAnsi="Times New Roman"/>
          <w:sz w:val="18"/>
          <w:szCs w:val="18"/>
          <w:color w:val="auto"/>
        </w:rPr>
        <w:t>” means Rani Therapeutics Holdings, Inc. and any successor corporation and shall include any Person that is a member of any consolidated Tax Return of which Rani Therapeutics Holdings, Inc. is a member.</w:t>
      </w:r>
    </w:p>
    <w:p>
      <w:pPr>
        <w:spacing w:after="0" w:line="154" w:lineRule="exact"/>
        <w:rPr>
          <w:sz w:val="20"/>
          <w:szCs w:val="20"/>
          <w:color w:val="auto"/>
        </w:rPr>
      </w:pPr>
    </w:p>
    <w:p>
      <w:pPr>
        <w:ind w:right="8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Corporate Taxpayer Return</w:t>
      </w:r>
      <w:r>
        <w:rPr>
          <w:rFonts w:ascii="Times New Roman" w:cs="Times New Roman" w:eastAsia="Times New Roman" w:hAnsi="Times New Roman"/>
          <w:sz w:val="18"/>
          <w:szCs w:val="18"/>
          <w:color w:val="auto"/>
        </w:rPr>
        <w:t>” means the U.S. federal income Tax Return of the Corporate Taxpayer filed with respect to Taxes of any Taxable Year, including any consolidated Tax Return.</w:t>
      </w:r>
    </w:p>
    <w:p>
      <w:pPr>
        <w:spacing w:after="0" w:line="154"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Cumulative Net Realized Tax Benefit</w:t>
      </w:r>
      <w:r>
        <w:rPr>
          <w:rFonts w:ascii="Times New Roman" w:cs="Times New Roman" w:eastAsia="Times New Roman" w:hAnsi="Times New Roman"/>
          <w:sz w:val="18"/>
          <w:szCs w:val="18"/>
          <w:color w:val="auto"/>
        </w:rPr>
        <w:t xml:space="preserve">” for a Taxable Year means the cumulative amount of Realized Tax Benefits for all Taxable Years of the Corporate Taxpayer, up to and including such Taxable Year net of the Realized Tax Detriment for the same period. The Realized Tax Benefit and Realized Tax Detriment for each Taxable Year shall be determined based on the most recent Tax Benefit Schedules or Amended Schedules, if any, in existence at the time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computation of the Cumulative Net Realized Tax Benefit shall be adjusted to reflect any applicable Determination with respect to any Realized Tax Benefits and/or Realized Tax Detriments.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Cap</w:t>
      </w:r>
      <w:r>
        <w:rPr>
          <w:rFonts w:ascii="Times New Roman" w:cs="Times New Roman" w:eastAsia="Times New Roman" w:hAnsi="Times New Roman"/>
          <w:sz w:val="18"/>
          <w:szCs w:val="18"/>
          <w:color w:val="auto"/>
        </w:rPr>
        <w:t>” has the meaning set forth in Section 3.1(c)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color w:val="auto"/>
        </w:rPr>
        <w:t>” means a per annum rate of LIBOR plus 500 basis points.</w:t>
      </w:r>
    </w:p>
    <w:p>
      <w:pPr>
        <w:spacing w:after="0" w:line="212"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Determination</w:t>
      </w:r>
      <w:r>
        <w:rPr>
          <w:rFonts w:ascii="Times New Roman" w:cs="Times New Roman" w:eastAsia="Times New Roman" w:hAnsi="Times New Roman"/>
          <w:sz w:val="18"/>
          <w:szCs w:val="18"/>
          <w:color w:val="auto"/>
        </w:rPr>
        <w:t>” shall have the meaning ascribed to such term in Section 1313(a) of the Code or any other event (including the execution of IRS Form 870-AD), including a settlement with the applicable Taxing Authority, that establishes the amount of any liability for Tax.</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Direct Exchange</w:t>
      </w:r>
      <w:r>
        <w:rPr>
          <w:rFonts w:ascii="Times New Roman" w:cs="Times New Roman" w:eastAsia="Times New Roman" w:hAnsi="Times New Roman"/>
          <w:sz w:val="18"/>
          <w:szCs w:val="18"/>
          <w:color w:val="auto"/>
        </w:rPr>
        <w:t>” has the meaning set forth in the Recitals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Dispute</w:t>
      </w:r>
      <w:r>
        <w:rPr>
          <w:rFonts w:ascii="Times New Roman" w:cs="Times New Roman" w:eastAsia="Times New Roman" w:hAnsi="Times New Roman"/>
          <w:sz w:val="18"/>
          <w:szCs w:val="18"/>
          <w:color w:val="auto"/>
        </w:rPr>
        <w:t>” has the meaning set forth in Section 7.8(a)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Date</w:t>
      </w:r>
      <w:r>
        <w:rPr>
          <w:rFonts w:ascii="Times New Roman" w:cs="Times New Roman" w:eastAsia="Times New Roman" w:hAnsi="Times New Roman"/>
          <w:sz w:val="18"/>
          <w:szCs w:val="18"/>
          <w:color w:val="auto"/>
        </w:rPr>
        <w:t>” means the date of an Early Termination Notice for purposes of determining the Early Termination Payment.</w:t>
      </w:r>
    </w:p>
    <w:p>
      <w:pPr>
        <w:spacing w:after="0" w:line="212" w:lineRule="exact"/>
        <w:rPr>
          <w:sz w:val="20"/>
          <w:szCs w:val="20"/>
          <w:color w:val="auto"/>
        </w:rPr>
      </w:pPr>
    </w:p>
    <w:p>
      <w:pPr>
        <w:ind w:right="20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Effective Date</w:t>
      </w:r>
      <w:r>
        <w:rPr>
          <w:rFonts w:ascii="Times New Roman" w:cs="Times New Roman" w:eastAsia="Times New Roman" w:hAnsi="Times New Roman"/>
          <w:sz w:val="18"/>
          <w:szCs w:val="18"/>
          <w:color w:val="auto"/>
        </w:rPr>
        <w:t>” means the date on which an Early Termination Schedule becomes binding pursuant to Section 4.2 of this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Notice</w:t>
      </w:r>
      <w:r>
        <w:rPr>
          <w:rFonts w:ascii="Times New Roman" w:cs="Times New Roman" w:eastAsia="Times New Roman" w:hAnsi="Times New Roman"/>
          <w:sz w:val="18"/>
          <w:szCs w:val="18"/>
          <w:color w:val="auto"/>
        </w:rPr>
        <w:t>” has the meaning set forth in Section 4.2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Payment</w:t>
      </w:r>
      <w:r>
        <w:rPr>
          <w:rFonts w:ascii="Times New Roman" w:cs="Times New Roman" w:eastAsia="Times New Roman" w:hAnsi="Times New Roman"/>
          <w:sz w:val="18"/>
          <w:szCs w:val="18"/>
          <w:color w:val="auto"/>
        </w:rPr>
        <w:t>” has the meaning set forth in Section 4.3(b)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Rate</w:t>
      </w:r>
      <w:r>
        <w:rPr>
          <w:rFonts w:ascii="Times New Roman" w:cs="Times New Roman" w:eastAsia="Times New Roman" w:hAnsi="Times New Roman"/>
          <w:sz w:val="18"/>
          <w:szCs w:val="18"/>
          <w:color w:val="auto"/>
        </w:rPr>
        <w:t>” means the lesser of (i) 6.5% and (ii) LIBOR plus 100 basis points.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Schedule</w:t>
      </w:r>
      <w:r>
        <w:rPr>
          <w:rFonts w:ascii="Times New Roman" w:cs="Times New Roman" w:eastAsia="Times New Roman" w:hAnsi="Times New Roman"/>
          <w:sz w:val="18"/>
          <w:szCs w:val="18"/>
          <w:color w:val="auto"/>
        </w:rPr>
        <w:t>” has the meaning set forth in Section 4.2 of this Agreement.</w:t>
      </w:r>
    </w:p>
    <w:p>
      <w:pPr>
        <w:spacing w:after="0" w:line="212" w:lineRule="exact"/>
        <w:rPr>
          <w:sz w:val="20"/>
          <w:szCs w:val="20"/>
          <w:color w:val="auto"/>
        </w:rPr>
      </w:pPr>
    </w:p>
    <w:p>
      <w:pPr>
        <w:ind w:right="8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 means any taxable acquisition (including a deemed taxable acquisition under Section 707(a) of the Code) of Units by the Corporate Taxpayer in exchange for Class A Shares and/or other consideration, and any deemed Exchange of Units pursuant to this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Date</w:t>
      </w:r>
      <w:r>
        <w:rPr>
          <w:rFonts w:ascii="Times New Roman" w:cs="Times New Roman" w:eastAsia="Times New Roman" w:hAnsi="Times New Roman"/>
          <w:sz w:val="18"/>
          <w:szCs w:val="18"/>
          <w:color w:val="auto"/>
        </w:rPr>
        <w:t>” means the date of any Exchange.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Exchanging Holder</w:t>
      </w:r>
      <w:r>
        <w:rPr>
          <w:rFonts w:ascii="Times New Roman" w:cs="Times New Roman" w:eastAsia="Times New Roman" w:hAnsi="Times New Roman"/>
          <w:sz w:val="18"/>
          <w:szCs w:val="18"/>
          <w:color w:val="auto"/>
        </w:rPr>
        <w:t>” has the meaning set forth in the Recitals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has the meaning set forth in Section 7.9 of this Agreement.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4" w:name="page155"/>
    <w:bookmarkEnd w:id="154"/>
    <w:p>
      <w:pPr>
        <w:ind w:right="8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Founder Members</w:t>
      </w:r>
      <w:r>
        <w:rPr>
          <w:rFonts w:ascii="Times New Roman" w:cs="Times New Roman" w:eastAsia="Times New Roman" w:hAnsi="Times New Roman"/>
          <w:sz w:val="18"/>
          <w:szCs w:val="18"/>
          <w:color w:val="auto"/>
        </w:rPr>
        <w:t>” means ICL, Mir Imran, InCube Ventures II, LP, Rani Investment Corp., Biologix Partners, LP, and VH Rani, LP, and their respective Permitted Transferees.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Future TRAs</w:t>
      </w:r>
      <w:r>
        <w:rPr>
          <w:rFonts w:ascii="Times New Roman" w:cs="Times New Roman" w:eastAsia="Times New Roman" w:hAnsi="Times New Roman"/>
          <w:sz w:val="18"/>
          <w:szCs w:val="18"/>
          <w:color w:val="auto"/>
        </w:rPr>
        <w:t>” has the meaning set forth in Section 5.1 of this Agreement.</w:t>
      </w:r>
    </w:p>
    <w:p>
      <w:pPr>
        <w:spacing w:after="0" w:line="21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Hypothetical Tax Liability</w:t>
      </w:r>
      <w:r>
        <w:rPr>
          <w:rFonts w:ascii="Times New Roman" w:cs="Times New Roman" w:eastAsia="Times New Roman" w:hAnsi="Times New Roman"/>
          <w:sz w:val="18"/>
          <w:szCs w:val="18"/>
          <w:color w:val="auto"/>
        </w:rPr>
        <w:t>” means, with respect to any Taxable Year, an amount, not less than zero, equal to the liability for Taxes of (i) the Corporate Taxpayer and (ii) without duplication, OpCo (and OpCo’s applicable subsidiaries), but in the case of this clause (ii) only with respect to Taxes imposed on OpCo (and OpCo’s applicable subsidiaries) and allocable to the Corporate Taxpayer, in each case using the same methods, elections, conventions, and practices used on the relevant Tax Return of the Corporate Taxpayer, but (a) using the Non-Stepped Up Tax Basis as reflected on the Basis Schedule including amendments thereto for the Taxable Year, (b) excluding any deduction attributable to Imputed Interest attributable to any payment made under this Agreement for the Taxable Year, (c) using the Assumed Rate, solely for purposes of calculating the U.S. state and local Hypothetical Tax Liability of the Corporate Taxpayer, and (d) assuming, solely for purposes of calculating the liability for U.S. federal income Taxes, in order to prevent double counting, that U.S. state and local Taxes are not deductible by the Corporate Taxpayer for U.S. federal income Tax purposes. For the avoidance of doubt, Hypothetical Tax Liability shall be determined without taking into account the carryover or carryback of any Tax item (or portions thereof) that is attributable to a Tax Attribute as applicable.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ICL</w:t>
      </w:r>
      <w:r>
        <w:rPr>
          <w:rFonts w:ascii="Times New Roman" w:cs="Times New Roman" w:eastAsia="Times New Roman" w:hAnsi="Times New Roman"/>
          <w:sz w:val="18"/>
          <w:szCs w:val="18"/>
          <w:color w:val="auto"/>
        </w:rPr>
        <w:t>” means InCube Labs, LLC, a Delaware limited liability company.</w:t>
      </w:r>
    </w:p>
    <w:p>
      <w:pPr>
        <w:spacing w:after="0" w:line="212" w:lineRule="exact"/>
        <w:rPr>
          <w:sz w:val="20"/>
          <w:szCs w:val="20"/>
          <w:color w:val="auto"/>
        </w:rPr>
      </w:pPr>
    </w:p>
    <w:p>
      <w:pPr>
        <w:ind w:right="16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Imputed Interest</w:t>
      </w:r>
      <w:r>
        <w:rPr>
          <w:rFonts w:ascii="Times New Roman" w:cs="Times New Roman" w:eastAsia="Times New Roman" w:hAnsi="Times New Roman"/>
          <w:sz w:val="18"/>
          <w:szCs w:val="18"/>
          <w:color w:val="auto"/>
        </w:rPr>
        <w:t>” in respect of a TRA Party shall mean any interest imputed under Section 1272, 1274, 7872 or 483 or other provision of the Code with respect to the Corporate Taxpayer’s payment obligations in respect of such TRA Party under this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has the meaning set forth in Section 3.1(b)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means the initial public offering of Class A Shares by the Corporate Taxpayer (including any greenshoe related to such initial public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IPO Date</w:t>
      </w:r>
      <w:r>
        <w:rPr>
          <w:rFonts w:ascii="Times New Roman" w:cs="Times New Roman" w:eastAsia="Times New Roman" w:hAnsi="Times New Roman"/>
          <w:sz w:val="18"/>
          <w:szCs w:val="18"/>
          <w:color w:val="auto"/>
        </w:rPr>
        <w:t>” means the initial closing date of the IPO.</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Joinder</w:t>
      </w:r>
      <w:r>
        <w:rPr>
          <w:rFonts w:ascii="Times New Roman" w:cs="Times New Roman" w:eastAsia="Times New Roman" w:hAnsi="Times New Roman"/>
          <w:sz w:val="18"/>
          <w:szCs w:val="18"/>
          <w:color w:val="auto"/>
        </w:rPr>
        <w:t>” has the meaning set forth in Section 7.6(a) of this Agreement.</w:t>
      </w:r>
    </w:p>
    <w:p>
      <w:pPr>
        <w:spacing w:after="0" w:line="212"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LIBOR</w:t>
      </w:r>
      <w:r>
        <w:rPr>
          <w:rFonts w:ascii="Times New Roman" w:cs="Times New Roman" w:eastAsia="Times New Roman" w:hAnsi="Times New Roman"/>
          <w:sz w:val="18"/>
          <w:szCs w:val="18"/>
          <w:color w:val="auto"/>
        </w:rPr>
        <w:t>” means during any period, the rate which appears on the Bloomberg Page BBAM1 (or on such other substitute Bloomberg page that displays rates at which U.S. dollar deposits are offered by leading banks in the London interbank deposit market), or the rate which is quoted by another source selected by the Corporate Taxpayer as an authorized information vendor for the purpose of displaying rates at which U.S. dollar deposits are offered by leading banks in the London interbank deposit market (an “</w:t>
      </w:r>
      <w:r>
        <w:rPr>
          <w:rFonts w:ascii="Times New Roman" w:cs="Times New Roman" w:eastAsia="Times New Roman" w:hAnsi="Times New Roman"/>
          <w:sz w:val="18"/>
          <w:szCs w:val="18"/>
          <w:b w:val="1"/>
          <w:bCs w:val="1"/>
          <w:u w:val="single" w:color="auto"/>
          <w:color w:val="auto"/>
        </w:rPr>
        <w:t>Alternate Source</w:t>
      </w:r>
      <w:r>
        <w:rPr>
          <w:rFonts w:ascii="Times New Roman" w:cs="Times New Roman" w:eastAsia="Times New Roman" w:hAnsi="Times New Roman"/>
          <w:sz w:val="18"/>
          <w:szCs w:val="18"/>
          <w:color w:val="auto"/>
        </w:rPr>
        <w:t>”), at approximately 11:00 a.m., London time, two (2) Business Days prior to the first day of such period as the London interbank offered rate for U.S. dollars having a borrowing date and a maturity comparable to such period or, if such period is longer than one year, the London interbank offered rate for U.S. dollars having a maturity of one year (or if there shall at any time, for any reason, no longer exist a Bloomberg Page BBAM1 (or any substitute page) or any LIBOR Alternate Source, a comparable replacement rate determined by the Corporate Taxpayer at such time, which determination shall be conclusive absent manifest error); provided, that at no time shall LIBOR be less than 0%. If the Corporate Taxpayer has made the determination (such determination to be conclusive absent manifest error) that (i) LIBOR is no longer a widely recognized benchmark rate for newly originated loans in the U.S. loan market in U.S. dollars or (ii) the applicable supervisor or administrator (if any) of LIBOR has made a public statement identifying a specific date after which LIBOR shall no longer be used for determining interest rates for loans in the U.S. loan market in U.S. dollars, then the Corporate Taxpayer shall, subject to the prior written consent of the TRA Party Representative, which consent shall not be unreasonably withheld, conditioned or delayed, establish a replacement interest rate (the “</w:t>
      </w:r>
      <w:r>
        <w:rPr>
          <w:rFonts w:ascii="Times New Roman" w:cs="Times New Roman" w:eastAsia="Times New Roman" w:hAnsi="Times New Roman"/>
          <w:sz w:val="18"/>
          <w:szCs w:val="18"/>
          <w:b w:val="1"/>
          <w:bCs w:val="1"/>
          <w:u w:val="single" w:color="auto"/>
          <w:color w:val="auto"/>
        </w:rPr>
        <w:t>Replacement Rate</w:t>
      </w:r>
      <w:r>
        <w:rPr>
          <w:rFonts w:ascii="Times New Roman" w:cs="Times New Roman" w:eastAsia="Times New Roman" w:hAnsi="Times New Roman"/>
          <w:sz w:val="18"/>
          <w:szCs w:val="18"/>
          <w:color w:val="auto"/>
        </w:rPr>
        <w:t>”), after giving due consideration to any evolving or then prevailing conventions for similar loans in the U.S. loan market in U.S. dollars for such alternative benchmark, and including any mathematical 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5" w:name="page156"/>
    <w:bookmarkEnd w:id="155"/>
    <w:p>
      <w:pPr>
        <w:spacing w:after="0" w:line="239" w:lineRule="auto"/>
        <w:rPr>
          <w:sz w:val="20"/>
          <w:szCs w:val="20"/>
          <w:color w:val="auto"/>
        </w:rPr>
      </w:pPr>
      <w:r>
        <w:rPr>
          <w:rFonts w:ascii="Times New Roman" w:cs="Times New Roman" w:eastAsia="Times New Roman" w:hAnsi="Times New Roman"/>
          <w:sz w:val="18"/>
          <w:szCs w:val="18"/>
          <w:color w:val="auto"/>
        </w:rPr>
        <w:t>other adjustments to such benchmark giving due consideration to any evolving or then prevailing convention for similar loans in the U.S. loan market in U.S. dollars for such benchmark, which adjustment, method for calculating such adjustment and benchmark shall be published on an information service as selected from time to time by the Corporate Taxpayer. The Replacement Rate shall, subject to the next two sentences, replace LIBOR for all purposes under this Agreement. In connection with the establishment and application of the Replacement Rate, this Agreement shall be amended solely with the consent of the Corporate Taxpayer and OpCo, as may be necessary or appropriate, in the reasonable judgment of the Corporate Taxpayer, to effect the provisions of this definition. The Replacement Rate shall be applied in a manner consistent with market practice; provided that, in each case, to the extent such market practice is not administratively feasible for the Corporate Taxpayer, such Replacement Rate shall be applied as otherwise reasonably determined by the Corporate Taxpayer.</w:t>
      </w:r>
    </w:p>
    <w:p>
      <w:pPr>
        <w:spacing w:after="0" w:line="183" w:lineRule="exact"/>
        <w:rPr>
          <w:sz w:val="20"/>
          <w:szCs w:val="20"/>
          <w:color w:val="auto"/>
        </w:rPr>
      </w:pPr>
    </w:p>
    <w:p>
      <w:pPr>
        <w:ind w:right="8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LLC Agreement</w:t>
      </w:r>
      <w:r>
        <w:rPr>
          <w:rFonts w:ascii="Times New Roman" w:cs="Times New Roman" w:eastAsia="Times New Roman" w:hAnsi="Times New Roman"/>
          <w:sz w:val="18"/>
          <w:szCs w:val="18"/>
          <w:color w:val="auto"/>
        </w:rPr>
        <w:t>” means, with respect to OpCo, the Fifth Amended and Restated Limited Liability Company Agreement of OpCo, dated on or about the date hereof, as such agreement may be further amended, restated, supplemented and/or otherwise modified from time to time.</w:t>
      </w:r>
    </w:p>
    <w:p>
      <w:pPr>
        <w:spacing w:after="0" w:line="154"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Market Value</w:t>
      </w:r>
      <w:r>
        <w:rPr>
          <w:rFonts w:ascii="Times New Roman" w:cs="Times New Roman" w:eastAsia="Times New Roman" w:hAnsi="Times New Roman"/>
          <w:sz w:val="18"/>
          <w:szCs w:val="18"/>
          <w:color w:val="auto"/>
        </w:rPr>
        <w:t>” shall mean, (i) with respect to an Exchange, the value of the Class A Shares on the applicable Exchange Date determined by the Corporate Taxpayer on a reasonable and consistent basis and used by the Corporate Taxpayer in its U.S. federal income Tax reporting with respect to such Exchange, and (ii) with respect to a deemed Exchange pursuant to Valuation Assumption (6), (A) if the Class A Common Stock trades on a National Securities Exchange (as defined in the LLC Agreement) or automated or electronic quotation system, the arithmetic average of the high trading price on such date (or if such date is not a Trading Day (as used in this definition, as defined in the LLC Agreement), the immediately preceding Trading Day) and the low trading price on such date (or if such date is not a Trading Day, the immediately preceding Trading Day) or (B) if the Class A Common Stock is not then traded on a National Securities Exchange or automated or electronic quotation system, as applicable, the Appraiser FMV (as defined in the LLC Agreement) of one (1) share of Class A Common Stock on such date.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Objection Notice</w:t>
      </w:r>
      <w:r>
        <w:rPr>
          <w:rFonts w:ascii="Times New Roman" w:cs="Times New Roman" w:eastAsia="Times New Roman" w:hAnsi="Times New Roman"/>
          <w:sz w:val="18"/>
          <w:szCs w:val="18"/>
          <w:color w:val="auto"/>
        </w:rPr>
        <w:t>” has the meaning set forth in Section 4.2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has the meaning set forth in Section 3.1(b) of this Agreement.</w:t>
      </w:r>
    </w:p>
    <w:p>
      <w:pPr>
        <w:spacing w:after="0" w:line="212" w:lineRule="exact"/>
        <w:rPr>
          <w:sz w:val="20"/>
          <w:szCs w:val="20"/>
          <w:color w:val="auto"/>
        </w:rPr>
      </w:pPr>
    </w:p>
    <w:p>
      <w:pPr>
        <w:ind w:right="4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Non-Stepped Up Tax Basis</w:t>
      </w:r>
      <w:r>
        <w:rPr>
          <w:rFonts w:ascii="Times New Roman" w:cs="Times New Roman" w:eastAsia="Times New Roman" w:hAnsi="Times New Roman"/>
          <w:sz w:val="18"/>
          <w:szCs w:val="18"/>
          <w:color w:val="auto"/>
        </w:rPr>
        <w:t>” means, with respect to any Reference Asset at any time, the Tax basis that such asset would have had at such time if no Basis Adjustments had been made.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Objection Notice</w:t>
      </w:r>
      <w:r>
        <w:rPr>
          <w:rFonts w:ascii="Times New Roman" w:cs="Times New Roman" w:eastAsia="Times New Roman" w:hAnsi="Times New Roman"/>
          <w:sz w:val="18"/>
          <w:szCs w:val="18"/>
          <w:color w:val="auto"/>
        </w:rPr>
        <w:t>” has the meaning set forth in Section 2.3(a)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OpCo</w:t>
      </w:r>
      <w:r>
        <w:rPr>
          <w:rFonts w:ascii="Times New Roman" w:cs="Times New Roman" w:eastAsia="Times New Roman" w:hAnsi="Times New Roman"/>
          <w:sz w:val="18"/>
          <w:szCs w:val="18"/>
          <w:color w:val="auto"/>
        </w:rPr>
        <w:t>” has the meaning set forth in the Recitals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Opt-Out Notice</w:t>
      </w:r>
      <w:r>
        <w:rPr>
          <w:rFonts w:ascii="Times New Roman" w:cs="Times New Roman" w:eastAsia="Times New Roman" w:hAnsi="Times New Roman"/>
          <w:sz w:val="18"/>
          <w:szCs w:val="18"/>
          <w:color w:val="auto"/>
        </w:rPr>
        <w:t>” has the meaning set forth in Section 4.1(c)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Transferee</w:t>
      </w:r>
      <w:r>
        <w:rPr>
          <w:rFonts w:ascii="Times New Roman" w:cs="Times New Roman" w:eastAsia="Times New Roman" w:hAnsi="Times New Roman"/>
          <w:sz w:val="18"/>
          <w:szCs w:val="18"/>
          <w:color w:val="auto"/>
        </w:rPr>
        <w:t>” has the meaning set forth in the LLC Agreement.</w:t>
      </w:r>
    </w:p>
    <w:p>
      <w:pPr>
        <w:spacing w:after="0" w:line="212" w:lineRule="exact"/>
        <w:rPr>
          <w:sz w:val="20"/>
          <w:szCs w:val="20"/>
          <w:color w:val="auto"/>
        </w:rPr>
      </w:pPr>
    </w:p>
    <w:p>
      <w:pPr>
        <w:ind w:right="60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firm, partnership, joint venture, limited liability company, estate, trust, business association, organization, governmental entity or other entity.</w:t>
      </w:r>
    </w:p>
    <w:p>
      <w:pPr>
        <w:spacing w:after="0" w:line="154" w:lineRule="exact"/>
        <w:rPr>
          <w:sz w:val="20"/>
          <w:szCs w:val="20"/>
          <w:color w:val="auto"/>
        </w:rPr>
      </w:pPr>
    </w:p>
    <w:p>
      <w:pPr>
        <w:ind w:right="26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Pre-Exchange Transfer</w:t>
      </w:r>
      <w:r>
        <w:rPr>
          <w:rFonts w:ascii="Times New Roman" w:cs="Times New Roman" w:eastAsia="Times New Roman" w:hAnsi="Times New Roman"/>
          <w:sz w:val="18"/>
          <w:szCs w:val="18"/>
          <w:color w:val="auto"/>
        </w:rPr>
        <w:t>” means any transfer (including upon death) or distribution in respect of one or more Units (i) that occurs prior to an Exchange of such Units, and (ii) to which Section 734(b) or 743(b) of the Code applies.</w:t>
      </w:r>
    </w:p>
    <w:p>
      <w:pPr>
        <w:spacing w:after="0" w:line="154"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Realized Tax Benefit</w:t>
      </w:r>
      <w:r>
        <w:rPr>
          <w:rFonts w:ascii="Times New Roman" w:cs="Times New Roman" w:eastAsia="Times New Roman" w:hAnsi="Times New Roman"/>
          <w:sz w:val="18"/>
          <w:szCs w:val="18"/>
          <w:color w:val="auto"/>
        </w:rPr>
        <w:t>” means, for a Taxable Year, the excess, if any, of the Hypothetical Tax Liability over the Actual Tax Liability of (i) the Corporate Taxpayer and (ii) without duplication, OpCo (and OpCo’s applicable subsidiaries), but only with respect to Taxes imposed on OpCo (and OpCo’s applicable subsidiaries) that are allocable to the Corporate Taxpayer under Section 704 of the Code. If all or a portion of the Actual Tax Liability for the Taxable Year arises as a result of an audit by a Taxing Authority of any Taxable Year, such liability shall not be included in determining the Realized Tax Benefit unless and until there has been a Determination.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6" w:name="page157"/>
    <w:bookmarkEnd w:id="156"/>
    <w:p>
      <w:pPr>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Realized Tax Detriment</w:t>
      </w:r>
      <w:r>
        <w:rPr>
          <w:rFonts w:ascii="Times New Roman" w:cs="Times New Roman" w:eastAsia="Times New Roman" w:hAnsi="Times New Roman"/>
          <w:sz w:val="18"/>
          <w:szCs w:val="18"/>
          <w:color w:val="auto"/>
        </w:rPr>
        <w:t>” means, for a Taxable Year, the excess, if any, of the Actual Tax Liability over the Hypothetical Tax Liability of (i) the Corporate Taxpayer and (ii) without duplication, OpCo (and OpCo’s applicable subsidiaries), but only with respect to Taxes imposed on OpCo (and OpCo’s applicable subsidiaries) that are allocable to the Corporate Taxpayer under Section 704 of the Code. If all or a portion of the Actual Tax Liability for the Taxable Year arises as a result of an audit by a Taxing Authority of any Taxable Year, such liability shall not be included in determining the Realized Tax Detriment unless and until there has been a Determination.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Dispute</w:t>
      </w:r>
      <w:r>
        <w:rPr>
          <w:rFonts w:ascii="Times New Roman" w:cs="Times New Roman" w:eastAsia="Times New Roman" w:hAnsi="Times New Roman"/>
          <w:sz w:val="18"/>
          <w:szCs w:val="18"/>
          <w:color w:val="auto"/>
        </w:rPr>
        <w:t>” has the meaning set forth in Section 7.9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Reconciliation Procedures</w:t>
      </w:r>
      <w:r>
        <w:rPr>
          <w:rFonts w:ascii="Times New Roman" w:cs="Times New Roman" w:eastAsia="Times New Roman" w:hAnsi="Times New Roman"/>
          <w:sz w:val="18"/>
          <w:szCs w:val="18"/>
          <w:color w:val="auto"/>
        </w:rPr>
        <w:t>” has the meaning set forth in Section 2.3(a)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color w:val="auto"/>
        </w:rPr>
        <w:t>” has the meaning set forth in the Recitals of this Agreement.</w:t>
      </w:r>
    </w:p>
    <w:p>
      <w:pPr>
        <w:spacing w:after="0" w:line="212"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Reference Asset</w:t>
      </w:r>
      <w:r>
        <w:rPr>
          <w:rFonts w:ascii="Times New Roman" w:cs="Times New Roman" w:eastAsia="Times New Roman" w:hAnsi="Times New Roman"/>
          <w:sz w:val="18"/>
          <w:szCs w:val="18"/>
          <w:color w:val="auto"/>
        </w:rPr>
        <w:t>” means any tangible or intangible asset that is held by OpCo, or by any of its direct or indirect Subsidiaries treated as a partnership or disregarded entity (but only to the extent such indirect Subsidiaries are held through Subsidiaries treated as partnerships or disregarded entities) for purposes of the applicable Tax, at the time of an Exchange. A Reference Asset also includes any asset that is “substituted basis property” under Section 7701(a)(42) of the Code with respect to a Reference Asset. For the avoidance of doubt, a Reference Asset does not include an asset held directly or indirectly by a Subsidiary treated as a corporation for U.S. federal income Tax purposes.</w:t>
      </w:r>
    </w:p>
    <w:p>
      <w:pPr>
        <w:spacing w:after="0" w:line="18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means any of the following: (i) a Basis Schedule; (ii) a Tax Benefit Schedule; or (iii) the Early Termination Schedule.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Senior Obligations</w:t>
      </w:r>
      <w:r>
        <w:rPr>
          <w:rFonts w:ascii="Times New Roman" w:cs="Times New Roman" w:eastAsia="Times New Roman" w:hAnsi="Times New Roman"/>
          <w:sz w:val="18"/>
          <w:szCs w:val="18"/>
          <w:color w:val="auto"/>
        </w:rPr>
        <w:t>” has the meaning set forth in Section 5.1 of this Agreement.</w:t>
      </w:r>
    </w:p>
    <w:p>
      <w:pPr>
        <w:spacing w:after="0" w:line="212" w:lineRule="exact"/>
        <w:rPr>
          <w:sz w:val="20"/>
          <w:szCs w:val="20"/>
          <w:color w:val="auto"/>
        </w:rPr>
      </w:pPr>
    </w:p>
    <w:p>
      <w:pPr>
        <w:jc w:val="both"/>
        <w:ind w:right="16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 Stock</w:t>
      </w:r>
      <w:r>
        <w:rPr>
          <w:rFonts w:ascii="Times New Roman" w:cs="Times New Roman" w:eastAsia="Times New Roman" w:hAnsi="Times New Roman"/>
          <w:sz w:val="18"/>
          <w:szCs w:val="18"/>
          <w:color w:val="auto"/>
        </w:rPr>
        <w:t>” means stock or other equity interest in a Subsidiary of OpCo that is treated as a corporation for U.S. federal income Tax</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Attributes</w:t>
      </w:r>
      <w:r>
        <w:rPr>
          <w:rFonts w:ascii="Times New Roman" w:cs="Times New Roman" w:eastAsia="Times New Roman" w:hAnsi="Times New Roman"/>
          <w:sz w:val="18"/>
          <w:szCs w:val="18"/>
          <w:color w:val="auto"/>
        </w:rPr>
        <w:t>” has the meaning set forth in the Recitals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Payment</w:t>
      </w:r>
      <w:r>
        <w:rPr>
          <w:rFonts w:ascii="Times New Roman" w:cs="Times New Roman" w:eastAsia="Times New Roman" w:hAnsi="Times New Roman"/>
          <w:sz w:val="18"/>
          <w:szCs w:val="18"/>
          <w:color w:val="auto"/>
        </w:rPr>
        <w:t>” has the meaning set forth in Section 3.1(b) of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has the meaning set forth in Section 2.2 of this Agreement.</w:t>
      </w:r>
    </w:p>
    <w:p>
      <w:pPr>
        <w:spacing w:after="0" w:line="212" w:lineRule="exact"/>
        <w:rPr>
          <w:sz w:val="20"/>
          <w:szCs w:val="20"/>
          <w:color w:val="auto"/>
        </w:rPr>
      </w:pPr>
    </w:p>
    <w:p>
      <w:pPr>
        <w:ind w:right="6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54"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Taxable Year</w:t>
      </w:r>
      <w:r>
        <w:rPr>
          <w:rFonts w:ascii="Times New Roman" w:cs="Times New Roman" w:eastAsia="Times New Roman" w:hAnsi="Times New Roman"/>
          <w:sz w:val="18"/>
          <w:szCs w:val="18"/>
          <w:color w:val="auto"/>
        </w:rPr>
        <w:t>” means a taxable year of the Corporate Taxpayer as defined in Section 441(b) of the Code or comparable section of state or local Tax law, as applicable (and, therefore, for the avoidance of doubt, may include a period of less than twelve (12) months for which a Tax Return is made), ending after the IPO Date.</w:t>
      </w:r>
    </w:p>
    <w:p>
      <w:pPr>
        <w:spacing w:after="0" w:line="171"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any and all U.S. federal, state, local and foreign taxes, assessments or similar charges that are based on or measured with respect to net income or profits (including alternative minimum taxes and any franchise taxes that are based on or measured by net income or profits), and any interest related to such Tax.</w:t>
      </w:r>
    </w:p>
    <w:p>
      <w:pPr>
        <w:spacing w:after="0" w:line="171" w:lineRule="exact"/>
        <w:rPr>
          <w:sz w:val="20"/>
          <w:szCs w:val="20"/>
          <w:color w:val="auto"/>
        </w:rPr>
      </w:pPr>
    </w:p>
    <w:p>
      <w:pPr>
        <w:ind w:right="480"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Taxing Authority</w:t>
      </w:r>
      <w:r>
        <w:rPr>
          <w:rFonts w:ascii="Times New Roman" w:cs="Times New Roman" w:eastAsia="Times New Roman" w:hAnsi="Times New Roman"/>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7" w:name="page158"/>
    <w:bookmarkEnd w:id="157"/>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Party</w:t>
      </w:r>
      <w:r>
        <w:rPr>
          <w:rFonts w:ascii="Times New Roman" w:cs="Times New Roman" w:eastAsia="Times New Roman" w:hAnsi="Times New Roman"/>
          <w:sz w:val="18"/>
          <w:szCs w:val="18"/>
          <w:color w:val="auto"/>
        </w:rPr>
        <w:t>” has the meaning set forth in the Preamble to this Agreement.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 Party Representative</w:t>
      </w:r>
      <w:r>
        <w:rPr>
          <w:rFonts w:ascii="Times New Roman" w:cs="Times New Roman" w:eastAsia="Times New Roman" w:hAnsi="Times New Roman"/>
          <w:sz w:val="18"/>
          <w:szCs w:val="18"/>
          <w:color w:val="auto"/>
        </w:rPr>
        <w:t>” means ICL.</w:t>
      </w:r>
    </w:p>
    <w:p>
      <w:pPr>
        <w:spacing w:after="0" w:line="212" w:lineRule="exact"/>
        <w:rPr>
          <w:sz w:val="20"/>
          <w:szCs w:val="20"/>
          <w:color w:val="auto"/>
        </w:rPr>
      </w:pPr>
    </w:p>
    <w:p>
      <w:pPr>
        <w:ind w:right="64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has the meaning set forth in the Recitals of this Agreement.</w:t>
      </w:r>
    </w:p>
    <w:p>
      <w:pPr>
        <w:spacing w:after="0" w:line="212"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Valuation Assumptions</w:t>
      </w:r>
      <w:r>
        <w:rPr>
          <w:rFonts w:ascii="Times New Roman" w:cs="Times New Roman" w:eastAsia="Times New Roman" w:hAnsi="Times New Roman"/>
          <w:sz w:val="18"/>
          <w:szCs w:val="18"/>
          <w:color w:val="auto"/>
        </w:rPr>
        <w:t xml:space="preserve">” shall mean, as of an Early Termination Date, the assumptions that in each Taxable Year ending on or after such Early Termination Date, (1) the Corporate Taxpayer will have taxable income sufficient to fully utilize the Tax items arising from the Tax Attributes (other than any items addressed in clause (2) below) during such Taxable Year or future Taxable Years (including, for the avoidance of doubt, Basis Adjustments and Imputed Interest that would result from future payments made under this Agreement that would be paid in accordance with the Valuation Assumptions) in which such deductions would become available, (2) loss carryovers generated by deductions arising from any Tax Attributes or Imputed Interest that are available as of the date of such Early Termination Date will be used by the Corporate Taxpayer on a pro rata basis from the date of such Early Termination Date through the earlier of (x) the scheduled expiration date under applicable Tax law of such loss carryovers or (y) the fifth (5th) anniversary of the Early Termination Date, (3) the U.S. federal income Tax rates that will be in effect for each such Taxable Year will be those specified for each such Taxable Year by the Code and other law as in effect on the Early Termination Date, the Assumed Rate will be calculated based on such rates and the apportionment factors applicable in the most recently ended Taxable Year (except to the extent any change to such Tax rates has already been enacted into law), and LIBOR or the Replacement Rate, as applicable, that will be in effect for each such Taxable Year will be the rate in effect on the Early Termination Date, (4) any non-amortizable, non-depreciable assets (other than any Subsidiary Stock) will be disposed of on the fifteenth (15th) anniversary of the applicable Exchange and any cash equivalents will be disposed of twelve (12) months following the Early Termination Date, unless such date has passed in which case such assets will be deemed disposed of on the fifth (5th) anniversary of the Early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of a Change of Control, such non-amortizable, non-depreciable assets shall be deemed disposed of at the time of sale (if applicable) of the relevant asset in the Change of Control (if earlier than such fifteenth (15th) anniversary), (5) any Subsidiary Stock will not be deemed to be disposed unless actually disposed, and (6) if, at the Early Termination Date, there are Units that have not been Exchanged, then each such Unit shall be deemed Exchanged for the Market Value (as determined in accordance with clause (ii) of the definition thereof) of the Class A Shares that would be transferred if the Exchange occurred on the Early Termination Date.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DETERMINATION OF CERTAIN REALIZED TAX BENEFIT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Basis Schedule</w:t>
      </w:r>
      <w:r>
        <w:rPr>
          <w:rFonts w:ascii="Times New Roman" w:cs="Times New Roman" w:eastAsia="Times New Roman" w:hAnsi="Times New Roman"/>
          <w:sz w:val="18"/>
          <w:szCs w:val="18"/>
          <w:color w:val="auto"/>
        </w:rPr>
        <w:t>. Within ninety (90) calendar days after the due date (including extensions) of IRS Form 1120 (or any successor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the Corporate Taxpayer for each relevant Taxable Year, the Corporate Taxpayer shall deliver to the TRA Party Representative a schedule (the</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Basis Schedule</w:t>
      </w:r>
      <w:r>
        <w:rPr>
          <w:rFonts w:ascii="Times New Roman" w:cs="Times New Roman" w:eastAsia="Times New Roman" w:hAnsi="Times New Roman"/>
          <w:sz w:val="18"/>
          <w:szCs w:val="18"/>
          <w:color w:val="auto"/>
        </w:rPr>
        <w:t>”) that shows, in reasonable detail necessary to perform the calculations required by this Agreement, (i) the Non-Stepped Up Tax Basis of</w:t>
      </w:r>
    </w:p>
    <w:p>
      <w:pPr>
        <w:spacing w:after="0" w:line="235" w:lineRule="auto"/>
        <w:rPr>
          <w:sz w:val="20"/>
          <w:szCs w:val="20"/>
          <w:color w:val="auto"/>
        </w:rPr>
      </w:pPr>
      <w:r>
        <w:rPr>
          <w:rFonts w:ascii="Times New Roman" w:cs="Times New Roman" w:eastAsia="Times New Roman" w:hAnsi="Times New Roman"/>
          <w:sz w:val="18"/>
          <w:szCs w:val="18"/>
          <w:color w:val="auto"/>
        </w:rPr>
        <w:t>the Reference Assets as of each applicable Exchange Date, if any, (ii) the Basis Adjustment with respect to the Reference Assets as a result of the</w:t>
      </w:r>
    </w:p>
    <w:p>
      <w:pPr>
        <w:spacing w:after="0" w:line="235" w:lineRule="auto"/>
        <w:rPr>
          <w:sz w:val="20"/>
          <w:szCs w:val="20"/>
          <w:color w:val="auto"/>
        </w:rPr>
      </w:pPr>
      <w:r>
        <w:rPr>
          <w:rFonts w:ascii="Times New Roman" w:cs="Times New Roman" w:eastAsia="Times New Roman" w:hAnsi="Times New Roman"/>
          <w:sz w:val="18"/>
          <w:szCs w:val="18"/>
          <w:color w:val="auto"/>
        </w:rPr>
        <w:t>Exchanges effected in such Taxable Year or any prior Taxable Year, if any, calculated (1) in the aggregate and (2) with respect to Exchanges by each TRA</w:t>
      </w:r>
    </w:p>
    <w:p>
      <w:pPr>
        <w:spacing w:after="0" w:line="235" w:lineRule="auto"/>
        <w:rPr>
          <w:sz w:val="20"/>
          <w:szCs w:val="20"/>
          <w:color w:val="auto"/>
        </w:rPr>
      </w:pPr>
      <w:r>
        <w:rPr>
          <w:rFonts w:ascii="Times New Roman" w:cs="Times New Roman" w:eastAsia="Times New Roman" w:hAnsi="Times New Roman"/>
          <w:sz w:val="18"/>
          <w:szCs w:val="18"/>
          <w:color w:val="auto"/>
        </w:rPr>
        <w:t>Party, and (iii) the period (or periods) over which each such Basis Adjustment is amortizable and/or depreciable. All costs and expenses incurred in</w:t>
      </w:r>
    </w:p>
    <w:p>
      <w:pPr>
        <w:spacing w:after="0"/>
        <w:rPr>
          <w:sz w:val="20"/>
          <w:szCs w:val="20"/>
          <w:color w:val="auto"/>
        </w:rPr>
      </w:pPr>
      <w:r>
        <w:rPr>
          <w:rFonts w:ascii="Times New Roman" w:cs="Times New Roman" w:eastAsia="Times New Roman" w:hAnsi="Times New Roman"/>
          <w:sz w:val="18"/>
          <w:szCs w:val="18"/>
          <w:color w:val="auto"/>
        </w:rPr>
        <w:t>connection with the provision and preparation of the Basis Schedules and Tax Benefit Schedules under this Agreement shall be borne by OpCo.</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right="460" w:firstLine="1505"/>
        <w:spacing w:after="0" w:line="250" w:lineRule="auto"/>
        <w:tabs>
          <w:tab w:leader="none" w:pos="1857"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Tax Benefit Schedule</w:t>
      </w:r>
      <w:r>
        <w:rPr>
          <w:rFonts w:ascii="Times New Roman" w:cs="Times New Roman" w:eastAsia="Times New Roman" w:hAnsi="Times New Roman"/>
          <w:sz w:val="18"/>
          <w:szCs w:val="18"/>
          <w:color w:val="auto"/>
        </w:rPr>
        <w:t>. Within ninety (90) calendar days after the due date (including extensions) of IRS Form 1120 (or any successor form) of the Corporate Taxpayer for any Taxable Year in which there is a Realized Tax Benefit or a Realized Tax Detriment, the Corporate Taxpayer shall provide to the TRA Party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8" w:name="page159"/>
    <w:bookmarkEnd w:id="158"/>
    <w:p>
      <w:pPr>
        <w:ind w:right="60"/>
        <w:spacing w:after="0" w:line="250" w:lineRule="auto"/>
        <w:rPr>
          <w:sz w:val="20"/>
          <w:szCs w:val="20"/>
          <w:color w:val="auto"/>
        </w:rPr>
      </w:pPr>
      <w:r>
        <w:rPr>
          <w:rFonts w:ascii="Times New Roman" w:cs="Times New Roman" w:eastAsia="Times New Roman" w:hAnsi="Times New Roman"/>
          <w:sz w:val="18"/>
          <w:szCs w:val="18"/>
          <w:color w:val="auto"/>
        </w:rPr>
        <w:t>Representative a schedule showing, in reasonable detail, the calculation of the Realized Tax Benefit and Tax Benefit Payment, or the Realized Tax Detriment, as applicable, in respect of each TRA Party for such Taxable Year (a “</w:t>
      </w:r>
      <w:r>
        <w:rPr>
          <w:rFonts w:ascii="Times New Roman" w:cs="Times New Roman" w:eastAsia="Times New Roman" w:hAnsi="Times New Roman"/>
          <w:sz w:val="18"/>
          <w:szCs w:val="18"/>
          <w:b w:val="1"/>
          <w:bCs w:val="1"/>
          <w:u w:val="single" w:color="auto"/>
          <w:color w:val="auto"/>
        </w:rPr>
        <w:t>Tax Benefit Schedule</w:t>
      </w:r>
      <w:r>
        <w:rPr>
          <w:rFonts w:ascii="Times New Roman" w:cs="Times New Roman" w:eastAsia="Times New Roman" w:hAnsi="Times New Roman"/>
          <w:sz w:val="18"/>
          <w:szCs w:val="18"/>
          <w:color w:val="auto"/>
        </w:rPr>
        <w:t>”). Each Tax Benefit Schedule will become final as provided in Section 2.3(a) and may be amended as provided in Section 2.3(b) (subject to the procedures set forth in Section 2.3(b)).</w:t>
      </w:r>
    </w:p>
    <w:p>
      <w:pPr>
        <w:spacing w:after="0" w:line="177" w:lineRule="exact"/>
        <w:rPr>
          <w:sz w:val="20"/>
          <w:szCs w:val="20"/>
          <w:color w:val="auto"/>
        </w:rPr>
      </w:pPr>
    </w:p>
    <w:p>
      <w:pPr>
        <w:ind w:firstLine="1505"/>
        <w:spacing w:after="0" w:line="250" w:lineRule="auto"/>
        <w:tabs>
          <w:tab w:leader="none" w:pos="1857"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Applicable Principles</w:t>
      </w:r>
      <w:r>
        <w:rPr>
          <w:rFonts w:ascii="Times New Roman" w:cs="Times New Roman" w:eastAsia="Times New Roman" w:hAnsi="Times New Roman"/>
          <w:sz w:val="17"/>
          <w:szCs w:val="17"/>
          <w:color w:val="auto"/>
        </w:rPr>
        <w:t>. Subject to Section 3.3, the Realized Tax Benefit (or the Realized Tax Detriment) for each Taxable Year is intended to measure the decrease (or increase) in the actual liability for Taxes of the Corporate Taxpayer for such Taxable Year attributable to the Tax Attributes, determined using a “with and without” methodology. Carryovers or carrybacks of any Tax item attributable to any of the Tax Attributes shall be considered to be subject to the rules of the Code and the Treasury Regulations or the appropriate provisions of U.S. state and local Tax law, as applicable, governing the use, limitation and expiration of carryovers or carrybacks of the relevant type. If a carryover or carryback of any Tax item includes a portion that is attributable to any Tax Attribute (“</w:t>
      </w:r>
      <w:r>
        <w:rPr>
          <w:rFonts w:ascii="Times New Roman" w:cs="Times New Roman" w:eastAsia="Times New Roman" w:hAnsi="Times New Roman"/>
          <w:sz w:val="17"/>
          <w:szCs w:val="17"/>
          <w:b w:val="1"/>
          <w:bCs w:val="1"/>
          <w:u w:val="single" w:color="auto"/>
          <w:color w:val="auto"/>
        </w:rPr>
        <w:t>TRA Portion</w:t>
      </w:r>
      <w:r>
        <w:rPr>
          <w:rFonts w:ascii="Times New Roman" w:cs="Times New Roman" w:eastAsia="Times New Roman" w:hAnsi="Times New Roman"/>
          <w:sz w:val="17"/>
          <w:szCs w:val="17"/>
          <w:color w:val="auto"/>
        </w:rPr>
        <w:t>”) and another portion that is not (“</w:t>
      </w:r>
      <w:r>
        <w:rPr>
          <w:rFonts w:ascii="Times New Roman" w:cs="Times New Roman" w:eastAsia="Times New Roman" w:hAnsi="Times New Roman"/>
          <w:sz w:val="17"/>
          <w:szCs w:val="17"/>
          <w:b w:val="1"/>
          <w:bCs w:val="1"/>
          <w:u w:val="single" w:color="auto"/>
          <w:color w:val="auto"/>
        </w:rPr>
        <w:t>Non-TRA Portion</w:t>
      </w:r>
      <w:r>
        <w:rPr>
          <w:rFonts w:ascii="Times New Roman" w:cs="Times New Roman" w:eastAsia="Times New Roman" w:hAnsi="Times New Roman"/>
          <w:sz w:val="17"/>
          <w:szCs w:val="17"/>
          <w:color w:val="auto"/>
        </w:rPr>
        <w:t>”),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 For the avoidance of doubt, the Corporate Taxpayer shall be entitled to make reasonable simplifying assumptions in making determinations contemplated by this Agreement, including reasonable assumptions regarding basis recovery periods based on available balance sheet information and including the assumption that the Assumed Rate is to be applied against the amount of taxable income of the Corporate Taxpayer for U.S. federal income Tax purposes that is used in calculating the Actual Tax Liability and the Hypothetical Tax Liability (and the parties hereby agree that that the Corporate Taxpayer’s determination of the Realized Tax Benefit and Realized Tax Detriment with respect to U.S. state and local Taxes will not take into account jurisdiction-specific U.S. state and local adjustments to the U.S. federal taxable income base or to the U.S. federal rules regarding the utilization of Tax attribute carryovers). The parties agree that (A) all Tax Benefit Payments (other than the portion of the Tax Benefit Payments treated as Imputed Interest) attributable to the Basis Adjustments will be treated as subsequent upward purchase price adjustments that have the effect of creating additional Basis Adjustments to Reference Assets for the Corporate Taxpayer in the year of payment, (B) as a result, such additional Basis Adjustments will be incorporated into the current year calculation and into future year calculations, as appropriate, on an iterative basis continuing until any incremental Basis Adjustment is immaterial as reasonably determined by the TRA Party Representative and the Corporate Taxpayer in good faith, (C) the Actual Tax Liability will take into account the deduction of the portion of the Tax Benefit Payment that must be accounted for as Imputed Interest, and (D) the liability for U.S. federal income Taxes of the Corporate Taxpayer and the amount of taxable income of the Corporate Taxpayer for U.S. federal income Tax purposes as determined for purposes of calculating the Actual Tax Liability and the Hypothetical Tax Liability shall include, without duplication, such liability for U.S. federal income Taxes and such U.S. federal taxable income that is economically borne by or allocated to the Corporate Taxpayer as a result of the provisions of Section 4.6(d) of the LLC Agreement; provided, however, that such liability for Taxes and such taxable income shall be included in the Hypothetical Tax Liability and the Actual Tax Liability subject to the adjustments and assumptions set forth in the definitions thereof and, to the extent any such amount is taken into account on an Amended Schedule, such amount shall adjust a Tax Benefit Payment, as applicable, in accordance with Section 2.3(b).</w:t>
      </w:r>
    </w:p>
    <w:p>
      <w:pPr>
        <w:spacing w:after="0" w:line="3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Procedures, Amendments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40" w:firstLine="1505"/>
        <w:spacing w:after="0" w:line="238" w:lineRule="auto"/>
        <w:tabs>
          <w:tab w:leader="none" w:pos="185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Every time the Corporate Taxpayer delivers to the TRA Party Representative an applicable Schedule under this Agreement, including any Amended Schedule delivered pursuant to Section 2.3(b), and any Early Termination Schedule or amended Early Termination Schedule, the Corporate Taxpayer shall also (x) deliver to the TRA Party Representative supporting schedules and work papers, as determined by the Corporate Taxpayer or as reasonably requested by the TRA Party Representative, providing reasonable detail regarding data and calculations that were relevant for purposes of preparing the Schedule and (y) allow the TRA Party Representative reasonable access at no cost to the appropriate representatives at the Corporate Taxpayer, as determined by the Corporate Taxpayer or as reasonably requested by the TRA Party Representative, in connection with a review of such Schedule. Without limiting the generality of the preceding sentence, the Corporate Taxpayer shall ensure that any Tax Benefit Schedule that is delivered to the TRA Party Representative, along with any supporting schedules and work papers, provides a reasonably detailed presentation of the calculation of the Actual Tax Liability and the Hypothetical Tax Liability and identifies any material assumptions or operating procedures or</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9" w:name="page160"/>
    <w:bookmarkEnd w:id="159"/>
    <w:p>
      <w:pPr>
        <w:ind w:right="60"/>
        <w:spacing w:after="0" w:line="238" w:lineRule="auto"/>
        <w:rPr>
          <w:sz w:val="20"/>
          <w:szCs w:val="20"/>
          <w:color w:val="auto"/>
        </w:rPr>
      </w:pPr>
      <w:r>
        <w:rPr>
          <w:rFonts w:ascii="Times New Roman" w:cs="Times New Roman" w:eastAsia="Times New Roman" w:hAnsi="Times New Roman"/>
          <w:sz w:val="18"/>
          <w:szCs w:val="18"/>
          <w:color w:val="auto"/>
        </w:rPr>
        <w:t>principles that were used for purposes of such calculations. An applicable Schedule or amendment thereto shall become final and binding on all parties thirty (30) calendar days from the date on which the TRA Party Representative is treated as having received the applicable Schedule or amendment thereto under Section 7.1 unless the TRA Party Representative (i) within thirty (30) calendar days from such date provides the Corporate Taxpayer with written notice of a material objection to such Schedule (“</w:t>
      </w:r>
      <w:r>
        <w:rPr>
          <w:rFonts w:ascii="Times New Roman" w:cs="Times New Roman" w:eastAsia="Times New Roman" w:hAnsi="Times New Roman"/>
          <w:sz w:val="18"/>
          <w:szCs w:val="18"/>
          <w:b w:val="1"/>
          <w:bCs w:val="1"/>
          <w:u w:val="single" w:color="auto"/>
          <w:color w:val="auto"/>
        </w:rPr>
        <w:t>Objection Notice</w:t>
      </w:r>
      <w:r>
        <w:rPr>
          <w:rFonts w:ascii="Times New Roman" w:cs="Times New Roman" w:eastAsia="Times New Roman" w:hAnsi="Times New Roman"/>
          <w:sz w:val="18"/>
          <w:szCs w:val="18"/>
          <w:color w:val="auto"/>
        </w:rPr>
        <w:t>”) made in good faith or (ii) provides a written waiver of such right of any Objection Notice within the period described in clause (i) above, in which case such Schedule or amendment thereto becomes binding on the date the waiver is received by the Corporate Taxpayer. If the Corporate Taxpayer and the TRA Party Representative, for any reason, are unable to successfully resolve the issues raised in the Objection Notice within thirty (30) calendar days after receipt by the Corporate Taxpayer of an Objection Notice, the Corporate Taxpayer and the TRA Party Representative shall employ the reconciliation procedures as described in Section 7.9 of this Agreement (the “</w:t>
      </w:r>
      <w:r>
        <w:rPr>
          <w:rFonts w:ascii="Times New Roman" w:cs="Times New Roman" w:eastAsia="Times New Roman" w:hAnsi="Times New Roman"/>
          <w:sz w:val="18"/>
          <w:szCs w:val="18"/>
          <w:b w:val="1"/>
          <w:bCs w:val="1"/>
          <w:u w:val="single" w:color="auto"/>
          <w:color w:val="auto"/>
        </w:rPr>
        <w:t>Reconciliation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Procedures</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firstLine="1505"/>
        <w:spacing w:after="0" w:line="238" w:lineRule="auto"/>
        <w:tabs>
          <w:tab w:leader="none" w:pos="185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Amended Schedule</w:t>
      </w:r>
      <w:r>
        <w:rPr>
          <w:rFonts w:ascii="Times New Roman" w:cs="Times New Roman" w:eastAsia="Times New Roman" w:hAnsi="Times New Roman"/>
          <w:sz w:val="18"/>
          <w:szCs w:val="18"/>
          <w:color w:val="auto"/>
        </w:rPr>
        <w:t>. The applicable Schedule for any Taxable Year may be amended from time to time by the Corporate Taxpayer (i) in connection with a Determination affecting such Schedule, (ii) to correct material inaccuracies in the Schedule identified as a result of the receipt of additional factual information relating to a Taxable Year after the date the Schedule was provided to the TRA Party Representative, (iii) to comply with an Expert’s determination under the Reconciliation Procedures, (iv) to reflect a change in the Realized Tax Benefit, or the Realized Tax Detriment for such Taxable Year attributable to a carryback or carryforward of a loss or other Tax item to such Taxable Year, (v) to reflect a change in the Realized Tax Benefit or the Realized Tax Detriment for such Taxable Year attributable to an amended Tax Return filed for such Taxable Year or (vi) to adjust an applicable TRA Party’s Basis Schedule to take into account payments made pursuant to this Agreement (any such Schedule, an “</w:t>
      </w:r>
      <w:r>
        <w:rPr>
          <w:rFonts w:ascii="Times New Roman" w:cs="Times New Roman" w:eastAsia="Times New Roman" w:hAnsi="Times New Roman"/>
          <w:sz w:val="18"/>
          <w:szCs w:val="18"/>
          <w:b w:val="1"/>
          <w:bCs w:val="1"/>
          <w:u w:val="single" w:color="auto"/>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Schedule</w:t>
      </w:r>
      <w:r>
        <w:rPr>
          <w:rFonts w:ascii="Times New Roman" w:cs="Times New Roman" w:eastAsia="Times New Roman" w:hAnsi="Times New Roman"/>
          <w:sz w:val="18"/>
          <w:szCs w:val="18"/>
          <w:color w:val="auto"/>
        </w:rPr>
        <w:t>”). The Corporate Taxpayer shall provide an Amended Schedule to the TRA Party Representative when the Corporate Taxpayer delivers the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for the following taxable year.</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SECTION 2.4 Basis Adjustments.</w:t>
      </w:r>
    </w:p>
    <w:p>
      <w:pPr>
        <w:spacing w:after="0" w:line="216" w:lineRule="exact"/>
        <w:rPr>
          <w:sz w:val="20"/>
          <w:szCs w:val="20"/>
          <w:color w:val="auto"/>
        </w:rPr>
      </w:pPr>
    </w:p>
    <w:p>
      <w:pPr>
        <w:ind w:firstLine="1505"/>
        <w:spacing w:after="0" w:line="245" w:lineRule="auto"/>
        <w:tabs>
          <w:tab w:leader="none" w:pos="1857"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Basis Adjustments.</w:t>
      </w:r>
      <w:r>
        <w:rPr>
          <w:rFonts w:ascii="Times New Roman" w:cs="Times New Roman" w:eastAsia="Times New Roman" w:hAnsi="Times New Roman"/>
          <w:sz w:val="18"/>
          <w:szCs w:val="18"/>
          <w:color w:val="auto"/>
        </w:rPr>
        <w:t xml:space="preserve"> The parties to this Agreement acknowledge and agree to treat (A) to the fullest extent permitted by law each Direct Exchange as giving rise to Basis Adjustments and (B) to the fullest extent permitted by law each Redemption using cash or Class A Common Stock contributed to OpCo by the Corporate Taxpayer as a direct purchase of Units by the Corporate Taxpayer from the applicable TRA Party pursuant to Section 707(a)(2)(B) of the Code as giving rise to Basis Adjustments.</w:t>
      </w:r>
    </w:p>
    <w:p>
      <w:pPr>
        <w:spacing w:after="0" w:line="180" w:lineRule="exact"/>
        <w:rPr>
          <w:rFonts w:ascii="Times New Roman" w:cs="Times New Roman" w:eastAsia="Times New Roman" w:hAnsi="Times New Roman"/>
          <w:sz w:val="18"/>
          <w:szCs w:val="18"/>
          <w:b w:val="1"/>
          <w:bCs w:val="1"/>
          <w:color w:val="auto"/>
        </w:rPr>
      </w:pPr>
    </w:p>
    <w:p>
      <w:pPr>
        <w:ind w:right="40" w:firstLine="1505"/>
        <w:spacing w:after="0" w:line="250" w:lineRule="auto"/>
        <w:tabs>
          <w:tab w:leader="none" w:pos="1857"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Section 754 Election</w:t>
      </w:r>
      <w:r>
        <w:rPr>
          <w:rFonts w:ascii="Times New Roman" w:cs="Times New Roman" w:eastAsia="Times New Roman" w:hAnsi="Times New Roman"/>
          <w:sz w:val="18"/>
          <w:szCs w:val="18"/>
          <w:color w:val="auto"/>
        </w:rPr>
        <w:t>. The Corporate Taxpayer shall ensure that, on and after the date hereof for each taxable year in which an Exchange may occur, OpCo and each direct and indirect Subsidiary of OpCo that is treated as a partnership for U.S. federal income Tax purposes will have in effect an election under Section 754 of the Code (and under any similar provisions of applicable U.S. state or local law).</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TAX BENEFIT PAYMENTS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Payments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60" w:firstLine="1505"/>
        <w:spacing w:after="0"/>
        <w:tabs>
          <w:tab w:leader="none" w:pos="185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Within five (5) Business Days after a Tax Benefit Schedule delivered to the TRA Party Representative becomes final in accordance with Section 2.3(a) and Section 7.9, if applicable, the Corporate Taxpayer shall pay each TRA Party for the applicable Taxable Year the Tax Benefit Payment determined pursuant to Section 3.1(b) that is Attributable to such TRA Party. Each such Tax Benefit Payment shall be made by wire transfer of immediately available funds to the bank account previously designated by such TRA Party to the Corporate Taxpayer or as otherwise agreed by the Corporate Taxpayer and such TRA Party. For the avoidance of doubt, (x) no Tax Benefit Payment shall be made in respect of estimated Tax payments, including, without limitation, U.S. federal estimated income Tax payments and (y) the payments provided for pursuant to the above sentence shall be computed separately for each TRA Party.</w:t>
      </w:r>
    </w:p>
    <w:p>
      <w:pPr>
        <w:spacing w:after="0" w:line="180" w:lineRule="exact"/>
        <w:rPr>
          <w:rFonts w:ascii="Times New Roman" w:cs="Times New Roman" w:eastAsia="Times New Roman" w:hAnsi="Times New Roman"/>
          <w:sz w:val="18"/>
          <w:szCs w:val="18"/>
          <w:b w:val="1"/>
          <w:bCs w:val="1"/>
          <w:color w:val="auto"/>
        </w:rPr>
      </w:pPr>
    </w:p>
    <w:p>
      <w:pPr>
        <w:ind w:right="280" w:firstLine="1505"/>
        <w:spacing w:after="0" w:line="271" w:lineRule="auto"/>
        <w:tabs>
          <w:tab w:leader="none" w:pos="185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u w:val="single" w:color="auto"/>
          <w:color w:val="auto"/>
        </w:rPr>
        <w:t>Tax Benefit Payment</w:t>
      </w:r>
      <w:r>
        <w:rPr>
          <w:rFonts w:ascii="Times New Roman" w:cs="Times New Roman" w:eastAsia="Times New Roman" w:hAnsi="Times New Roman"/>
          <w:sz w:val="18"/>
          <w:szCs w:val="18"/>
          <w:color w:val="auto"/>
        </w:rPr>
        <w:t>” in respect of a TRA Party for a Taxable Year means an amount, not less than zero, equal to the Net Tax Benefit that is Attributable to such TRA Party and the Interest Amount with</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0" w:name="page161"/>
    <w:bookmarkEnd w:id="160"/>
    <w:p>
      <w:pPr>
        <w:ind w:right="60"/>
        <w:spacing w:after="0" w:line="237" w:lineRule="auto"/>
        <w:rPr>
          <w:sz w:val="20"/>
          <w:szCs w:val="20"/>
          <w:color w:val="auto"/>
        </w:rPr>
      </w:pPr>
      <w:r>
        <w:rPr>
          <w:rFonts w:ascii="Times New Roman" w:cs="Times New Roman" w:eastAsia="Times New Roman" w:hAnsi="Times New Roman"/>
          <w:sz w:val="18"/>
          <w:szCs w:val="18"/>
          <w:color w:val="auto"/>
        </w:rPr>
        <w:t>respect thereto. For the avoidance of doubt, for tax purposes, the Interest Amount shall not be treated as interest, but instead, shall be treated as additional consideration in the applicable transaction, unless otherwise required by law. Subject to Section 3.3, the “</w:t>
      </w:r>
      <w:r>
        <w:rPr>
          <w:rFonts w:ascii="Times New Roman" w:cs="Times New Roman" w:eastAsia="Times New Roman" w:hAnsi="Times New Roman"/>
          <w:sz w:val="18"/>
          <w:szCs w:val="18"/>
          <w:b w:val="1"/>
          <w:bCs w:val="1"/>
          <w:u w:val="single" w:color="auto"/>
          <w:color w:val="auto"/>
        </w:rPr>
        <w:t>Net Tax Benefit</w:t>
      </w:r>
      <w:r>
        <w:rPr>
          <w:rFonts w:ascii="Times New Roman" w:cs="Times New Roman" w:eastAsia="Times New Roman" w:hAnsi="Times New Roman"/>
          <w:sz w:val="18"/>
          <w:szCs w:val="18"/>
          <w:color w:val="auto"/>
        </w:rPr>
        <w:t xml:space="preserve">” for a Taxable Year shall be an amount equal to the excess, if any, of 85% of the Cumulative Net Realized Tax Benefit as of the end of such Taxable Year, over the total amount of payments previously made under the first sentence of Section 3.1(a) (excluding payments attributable to Interest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no such recipient shall be required to return any portion of any previously made Tax Benefit Payment. Notwithstanding anything to the contrary in this Agreement, the parties acknowledge and agree that the determination of the portion of the Tax Benefit Payment to be paid to a TRA Party under this Agreement with respect to U.S. state and local Taxes shall not require separate “with and without” calculations in respect of each applicable U.S. state and local Tax jurisdiction but rather will be based on the U.S. federal taxable income or gain for such taxable year reported on the Corporate Taxpayer’s IRS Form 1120 (or any successor form) and the Assumed Rate. The “</w:t>
      </w:r>
      <w:r>
        <w:rPr>
          <w:rFonts w:ascii="Times New Roman" w:cs="Times New Roman" w:eastAsia="Times New Roman" w:hAnsi="Times New Roman"/>
          <w:sz w:val="18"/>
          <w:szCs w:val="18"/>
          <w:b w:val="1"/>
          <w:bCs w:val="1"/>
          <w:u w:val="single" w:color="auto"/>
          <w:color w:val="auto"/>
        </w:rPr>
        <w:t>Interest Amount</w:t>
      </w:r>
      <w:r>
        <w:rPr>
          <w:rFonts w:ascii="Times New Roman" w:cs="Times New Roman" w:eastAsia="Times New Roman" w:hAnsi="Times New Roman"/>
          <w:sz w:val="18"/>
          <w:szCs w:val="18"/>
          <w:color w:val="auto"/>
        </w:rPr>
        <w:t>” shall equal the interest on the Net Tax Benefit calculated at the Agreed Rate from the due date (without extensions) for filing IRS Form 1120 (or any successor form) of the Corporate Taxpayer with respect to Taxes for such Taxable Year until the payment date under Section 3.1(a). Notwithstanding the foregoing, for each Taxable Year ending on or after the date of a Change of Control that occurs after the IPO Date, all Tax Benefit Payments shall be calculated by utilizing Valuation Assumptions (1), (2), (4) and (5), substituting in each case the terms “date of a Change of Control” for an “Early Termination Date.”</w:t>
      </w:r>
    </w:p>
    <w:p>
      <w:pPr>
        <w:spacing w:after="0" w:line="191" w:lineRule="exact"/>
        <w:rPr>
          <w:sz w:val="20"/>
          <w:szCs w:val="20"/>
          <w:color w:val="auto"/>
        </w:rPr>
      </w:pPr>
    </w:p>
    <w:p>
      <w:pPr>
        <w:ind w:firstLine="1505"/>
        <w:spacing w:after="0" w:line="241" w:lineRule="auto"/>
        <w:tabs>
          <w:tab w:leader="none" w:pos="1857"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herein to the contrary, the aggregate payments to a TRA Party under this Agreement in respect of an Exchange shall not exceed 60% of the fair market value of the initial consideration received by a TRA Party on such Exchange (the “</w:t>
      </w:r>
      <w:r>
        <w:rPr>
          <w:rFonts w:ascii="Times New Roman" w:cs="Times New Roman" w:eastAsia="Times New Roman" w:hAnsi="Times New Roman"/>
          <w:sz w:val="18"/>
          <w:szCs w:val="18"/>
          <w:b w:val="1"/>
          <w:bCs w:val="1"/>
          <w:u w:val="single" w:color="auto"/>
          <w:color w:val="auto"/>
        </w:rPr>
        <w:t>Default Cap</w:t>
      </w:r>
      <w:r>
        <w:rPr>
          <w:rFonts w:ascii="Times New Roman" w:cs="Times New Roman" w:eastAsia="Times New Roman" w:hAnsi="Times New Roman"/>
          <w:sz w:val="18"/>
          <w:szCs w:val="18"/>
          <w:color w:val="auto"/>
        </w:rPr>
        <w:t>”), provided that, if a TRA Party delivers written notification before the end of its taxable year that includes the Exchange to the Corporate Taxpayer of a stated maximum selling price (within the meaning of Treasury Regulation 15A.453-1(c)(2)), the amount of the initial consideration received in connection with the applicable Exchange and the aggregate Tax Benefit Payments to such TRA Party in respect of such Exchange (other than amounts accounted for as interest under the Code) shall not exceed such stated maximum selling price, and the Default Cap shall not apply with respect to such TRA Party.</w:t>
      </w:r>
    </w:p>
    <w:p>
      <w:pPr>
        <w:spacing w:after="0" w:line="180" w:lineRule="exact"/>
        <w:rPr>
          <w:sz w:val="20"/>
          <w:szCs w:val="20"/>
          <w:color w:val="auto"/>
        </w:rPr>
      </w:pPr>
    </w:p>
    <w:p>
      <w:pPr>
        <w:ind w:right="200"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No Duplicative Payments</w:t>
      </w:r>
      <w:r>
        <w:rPr>
          <w:rFonts w:ascii="Times New Roman" w:cs="Times New Roman" w:eastAsia="Times New Roman" w:hAnsi="Times New Roman"/>
          <w:sz w:val="18"/>
          <w:szCs w:val="18"/>
          <w:color w:val="auto"/>
        </w:rPr>
        <w:t>. It is intended that the provisions of this Agreement will not result in duplicative payment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(including interest) required under this Agreement. The provisions of this Agreement shall be construed in the appropriate manner to ensure such intentions are realized.</w:t>
      </w:r>
    </w:p>
    <w:p>
      <w:pPr>
        <w:spacing w:after="0" w:line="172"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Pro Rata Payments</w:t>
      </w:r>
      <w:r>
        <w:rPr>
          <w:rFonts w:ascii="Times New Roman" w:cs="Times New Roman" w:eastAsia="Times New Roman" w:hAnsi="Times New Roman"/>
          <w:sz w:val="18"/>
          <w:szCs w:val="18"/>
          <w:color w:val="auto"/>
        </w:rPr>
        <w:t>. Notwithstanding anything in Section 3.1 to the contrary, to the extent that the aggregate Realized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Corporate Taxpayer with respect to the Tax Attributes is limited in a particular Taxable Year because the Corporate Taxpayer does not have sufficient taxable income, the Net Tax Benefit of the Corporate Taxpayer shall collectively be allocated among all parties eligible for Tax Benefit Payments under this Agreement in proportion to the amount of Net Tax Benefit, as such term is defined in this Agreement, that would have been Attributable to each such party if the Corporate Taxpayer had sufficient taxable income so that there were no such limitation.</w:t>
      </w:r>
    </w:p>
    <w:p>
      <w:pPr>
        <w:spacing w:after="0" w:line="181" w:lineRule="exact"/>
        <w:rPr>
          <w:sz w:val="20"/>
          <w:szCs w:val="20"/>
          <w:color w:val="auto"/>
        </w:rPr>
      </w:pPr>
    </w:p>
    <w:p>
      <w:pPr>
        <w:ind w:right="100" w:firstLine="74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Payment Ordering</w:t>
      </w:r>
      <w:r>
        <w:rPr>
          <w:rFonts w:ascii="Times New Roman" w:cs="Times New Roman" w:eastAsia="Times New Roman" w:hAnsi="Times New Roman"/>
          <w:sz w:val="18"/>
          <w:szCs w:val="18"/>
          <w:color w:val="auto"/>
        </w:rPr>
        <w:t>. If for any reason the Corporate Taxpayer does not fully satisfy its payment obligations to make all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Payments due under this Agreement in respect of a particular Taxable Year, then the Corporate Taxpayer and the TRA Parties agree that (i) Tax Benefit Payments for such Taxable Year shall be allocated to all parties eligible for Tax Benefit Payments under this Agreement in proportion to the amounts of Net Tax Benefit, respectively, that would have been Attributable to each TRA Party if the Corporate Taxpayer had sufficient cash available to make such Tax Benefit Payments and (ii) no Tax Benefit Payments shall be made in respect of any Taxable Year until all Tax Benefit Payments to all TRA Parties in respect of all prior Taxable Years have been made in full.</w:t>
      </w:r>
    </w:p>
    <w:p>
      <w:pPr>
        <w:spacing w:after="0" w:line="179"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Excess Payments</w:t>
      </w:r>
      <w:r>
        <w:rPr>
          <w:rFonts w:ascii="Times New Roman" w:cs="Times New Roman" w:eastAsia="Times New Roman" w:hAnsi="Times New Roman"/>
          <w:sz w:val="18"/>
          <w:szCs w:val="18"/>
          <w:color w:val="auto"/>
        </w:rPr>
        <w:t>. To the extent the Corporate Taxpayer makes a payment to a TRA Party in respect of a particular Taxable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under Section 3.1(a) of this Agreement (taking into account Section 3.3 and Section 3.4) in an amount in excess of the amount of such payment that should have been made to such TRA Party in respect of such Taxable Year, then (i) such TRA Party shall not receive further payments under Section 3.1(a) until such TRA Party has foregone a cumulative amount of payments equal to such excess and (ii) the Corporate Taxpayer will pay the amount of such TRA Party’s foregone payments to the other Persons to whom a payment is due under this Agreement and that have not received any such excess payment in a manner such that each such Person to whom a payment is due under this Agreement, to the maximum extent possible, receives aggregate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1" w:name="page162"/>
    <w:bookmarkEnd w:id="161"/>
    <w:p>
      <w:pPr>
        <w:ind w:right="100"/>
        <w:spacing w:after="0" w:line="266" w:lineRule="auto"/>
        <w:rPr>
          <w:sz w:val="20"/>
          <w:szCs w:val="20"/>
          <w:color w:val="auto"/>
        </w:rPr>
      </w:pPr>
      <w:r>
        <w:rPr>
          <w:rFonts w:ascii="Times New Roman" w:cs="Times New Roman" w:eastAsia="Times New Roman" w:hAnsi="Times New Roman"/>
          <w:sz w:val="18"/>
          <w:szCs w:val="18"/>
          <w:color w:val="auto"/>
        </w:rPr>
        <w:t>payments under Section 3.1(a) (taking into account Section 3.3 and Section 3.4) in the amount it would have received if there had been no excess payment to such TRA Party.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1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Early Termination of Agreement; Breach of Agreement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firstLine="1505"/>
        <w:spacing w:after="0" w:line="238" w:lineRule="auto"/>
        <w:tabs>
          <w:tab w:leader="none" w:pos="1857"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Corporate Taxpayer may terminate this Agreement with respect to all amounts payable to the TRA Parties and with respect to all of the Units held by the TRA Parties at any time by paying to each TRA Party the Early Termination Payment in respect of such TRA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Agreement shall only terminate upon the receipt of the Early Termination Payment by all TRA Parties,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(a) Tax Benefit Payments due and payable and that remain unpaid as of the Early Termination Notice and (b) Tax Benefit Payment due for the Taxable Year ending with or including the date of the Early Termination Notice (except to the extent that the amount described in clause (b) is included in the Early Termination Payment). If an Exchange occurs after the Corporate Taxpayer makes all of the required Early Termination Payments, the Corporate Taxpayer shall have no obligations under this Agreement with respect to such Exchange.</w:t>
      </w:r>
    </w:p>
    <w:p>
      <w:pPr>
        <w:spacing w:after="0" w:line="188" w:lineRule="exact"/>
        <w:rPr>
          <w:rFonts w:ascii="Times New Roman" w:cs="Times New Roman" w:eastAsia="Times New Roman" w:hAnsi="Times New Roman"/>
          <w:sz w:val="18"/>
          <w:szCs w:val="18"/>
          <w:b w:val="1"/>
          <w:bCs w:val="1"/>
          <w:color w:val="auto"/>
        </w:rPr>
      </w:pPr>
    </w:p>
    <w:p>
      <w:pPr>
        <w:jc w:val="both"/>
        <w:ind w:right="60" w:firstLine="1505"/>
        <w:spacing w:after="0" w:line="256" w:lineRule="auto"/>
        <w:tabs>
          <w:tab w:leader="none" w:pos="1857" w:val="left"/>
        </w:tabs>
        <w:numPr>
          <w:ilvl w:val="1"/>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that the Corporate Taxpayer (1) materially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or (2)(A) shall commence any case, proceeding or other action</w:t>
      </w:r>
    </w:p>
    <w:p>
      <w:pPr>
        <w:spacing w:after="0" w:line="1" w:lineRule="exact"/>
        <w:rPr>
          <w:rFonts w:ascii="Times New Roman" w:cs="Times New Roman" w:eastAsia="Times New Roman" w:hAnsi="Times New Roman"/>
          <w:sz w:val="17"/>
          <w:szCs w:val="17"/>
          <w:b w:val="1"/>
          <w:bCs w:val="1"/>
          <w:color w:val="auto"/>
        </w:rPr>
      </w:pPr>
    </w:p>
    <w:p>
      <w:pPr>
        <w:ind w:right="100" w:firstLine="8"/>
        <w:spacing w:after="0" w:line="248" w:lineRule="auto"/>
        <w:tabs>
          <w:tab w:leader="none" w:pos="21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any existing or future law of any jurisdiction, domestic or foreign, relating to bankruptcy, insolvency, reorganization or relief of debtors, seeking to have an order for relief entered with respect to it, or seeking to adjudicate a bankruptcy or insolvency, or seeking reorganization, arrangement, 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w:t>
      </w:r>
    </w:p>
    <w:p>
      <w:pPr>
        <w:spacing w:after="0" w:line="2" w:lineRule="exact"/>
        <w:rPr>
          <w:rFonts w:ascii="Times New Roman" w:cs="Times New Roman" w:eastAsia="Times New Roman" w:hAnsi="Times New Roman"/>
          <w:sz w:val="17"/>
          <w:szCs w:val="17"/>
          <w:color w:val="auto"/>
        </w:rPr>
      </w:pPr>
    </w:p>
    <w:p>
      <w:pPr>
        <w:ind w:right="20"/>
        <w:spacing w:after="0" w:line="23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above that remains undismissed or undischarged for a period of sixty (60) calendar days, all obligations hereunder shall be automatically accelerated and shall be immediately due and payable, and such obligations shall be calculated as if an Early Termination Notice had been delivered on the date of such breach and shall include, but not be limited to, (1) the Early Termination Payments calculated as if an Early Termination Notice had been delivered on the date of a breach, (2) any Tax Benefit Payment due and payable and that remains unpaid as of the date of a breach, and (3) any Tax Benefit Payment in respect of any TRA Party due for the Taxable Year ending with or including the date of a breach; provided that procedures similar to the procedures of Section 4.2 shall apply with respect to the determination of the amount payable by the Corporate Taxpayer pursuant to this sentence. Notwithstanding the foregoing (other than as set forth in subsection (2) above), in the event that the Corporate Taxpayer breaches this Agreement, each TRA Party shall be entitled to elect to receive the amounts set forth in clauses (1), (2) and (3) above or to seek specific performance of the terms hereof. The parties agree that the failure to make any payment due pursuant to this Agreement within three (3) months of the date such payment is due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three (3) months of the date such payment is due. Notwithstanding anything in this Agreement to the contrary, it shall not be a material breach of a material obligation of this Agreement if the Corporate Taxpayer fails to make any Tax Benefit Payment when due to the extent that the Corporate Taxpayer has insufficient funds to make such payment; provided, (i) the Corporate Taxpayer has used reasonable efforts to obtain such funds and (ii) that the interest provisions of Section 5.2 shall apply to such late payment (unless the Corporate Taxpayer does not have sufficient funds to make such payment as a result of limitations imposed by any Senior Obligations, in which case Section 5.2 shall apply, but the Default Rate shall be replaced by the Agreed Rate); provided further, for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2" w:name="page163"/>
    <w:bookmarkEnd w:id="162"/>
    <w:p>
      <w:pPr>
        <w:ind w:right="420"/>
        <w:spacing w:after="0" w:line="266" w:lineRule="auto"/>
        <w:rPr>
          <w:sz w:val="20"/>
          <w:szCs w:val="20"/>
          <w:color w:val="auto"/>
        </w:rPr>
      </w:pPr>
      <w:r>
        <w:rPr>
          <w:rFonts w:ascii="Times New Roman" w:cs="Times New Roman" w:eastAsia="Times New Roman" w:hAnsi="Times New Roman"/>
          <w:sz w:val="18"/>
          <w:szCs w:val="18"/>
          <w:color w:val="auto"/>
        </w:rPr>
        <w:t>avoidance of doubt, the last sentence of this Section 4.1(b) shall not apply to any payments due pursuant to the acceleration upon a Change of Control contemplated by Section 4.1(c).</w:t>
      </w:r>
    </w:p>
    <w:p>
      <w:pPr>
        <w:spacing w:after="0" w:line="162" w:lineRule="exact"/>
        <w:rPr>
          <w:sz w:val="20"/>
          <w:szCs w:val="20"/>
          <w:color w:val="auto"/>
        </w:rPr>
      </w:pPr>
    </w:p>
    <w:p>
      <w:pPr>
        <w:ind w:firstLine="1505"/>
        <w:spacing w:after="0" w:line="254" w:lineRule="auto"/>
        <w:tabs>
          <w:tab w:leader="none" w:pos="1857" w:val="left"/>
        </w:tabs>
        <w:numPr>
          <w:ilvl w:val="1"/>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Corporate Taxpayer shall provide written notice to the TRA Party Representative thirty (30) days in advance of the closing of any Change of Control, and the TRA Party Representative shall have the option, upon written notice to the Corporate Taxpayer (“</w:t>
      </w:r>
      <w:r>
        <w:rPr>
          <w:rFonts w:ascii="Times New Roman" w:cs="Times New Roman" w:eastAsia="Times New Roman" w:hAnsi="Times New Roman"/>
          <w:sz w:val="17"/>
          <w:szCs w:val="17"/>
          <w:b w:val="1"/>
          <w:bCs w:val="1"/>
          <w:u w:val="single" w:color="auto"/>
          <w:color w:val="auto"/>
        </w:rPr>
        <w:t>Opt-Out Notice</w:t>
      </w:r>
      <w:r>
        <w:rPr>
          <w:rFonts w:ascii="Times New Roman" w:cs="Times New Roman" w:eastAsia="Times New Roman" w:hAnsi="Times New Roman"/>
          <w:sz w:val="17"/>
          <w:szCs w:val="17"/>
          <w:color w:val="auto"/>
        </w:rPr>
        <w:t>”) within twenty (20) days thereafter, to cause its respective TRA Parties to continue as TRA Parties under this Agreement after such Change of Control, in which case each such TRA Party will not be entitled to receive the amounts set forth in the remainder of this Section 4.1(c), and Valuation Assumptions (1), (2),</w:t>
      </w:r>
    </w:p>
    <w:p>
      <w:pPr>
        <w:spacing w:after="0" w:line="2" w:lineRule="exact"/>
        <w:rPr>
          <w:rFonts w:ascii="Times New Roman" w:cs="Times New Roman" w:eastAsia="Times New Roman" w:hAnsi="Times New Roman"/>
          <w:sz w:val="17"/>
          <w:szCs w:val="17"/>
          <w:b w:val="1"/>
          <w:bCs w:val="1"/>
          <w:color w:val="auto"/>
        </w:rPr>
      </w:pPr>
    </w:p>
    <w:p>
      <w:pPr>
        <w:ind w:firstLine="8"/>
        <w:spacing w:after="0" w:line="236" w:lineRule="auto"/>
        <w:tabs>
          <w:tab w:leader="none" w:pos="2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(5) shall apply to Tax Benefit Payments to each such TRA Party following the closing of such Change of Control. Notwithstanding anything to the contrary in the foregoing sentence in this Section 4.1(c), if an Opt-Out Notice is not timely provided with respect to a TRA Party, all obligations hereunder will be accelerated and such obligations shall be calculated as if an Early Termination Notice had been delivered on the date of such Change of Control and shall include (1) the Early Termination Payments calculated with respect to such TRA Parties as if the Early Termination Date is the date of such Change of Control, (2) any Tax Benefit Payment due and payable and that remains unpaid as of the date of such Change of Control, and (3) any Tax Benefit Payment in respect of any TRA Party due for the Taxable Year ending with or including the date of such Change of Control. If an Opt-Out Notice is not timely provided with respect to a TRA Party, (i) such TRA Party shall be entitled to receive the amounts set forth in clauses (1), (2) and (3) of the preceding sentence, (ii) any Early Termination Payment described in the preceding sentence shall be calculated utilizing Valuation Assumptions (1), (2), (3), (4), (5) and (6), substituting in each case the terms “date of a Change of Control” for an “Early Termination Date,” and (iii) Section 4.2 and Section 4.3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with respect to payments to such TRA Party upon the Change of Control.</w:t>
      </w:r>
    </w:p>
    <w:p>
      <w:pPr>
        <w:spacing w:after="0" w:line="182"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Early Termination Notice</w:t>
      </w:r>
      <w:r>
        <w:rPr>
          <w:rFonts w:ascii="Times New Roman" w:cs="Times New Roman" w:eastAsia="Times New Roman" w:hAnsi="Times New Roman"/>
          <w:sz w:val="18"/>
          <w:szCs w:val="18"/>
          <w:color w:val="auto"/>
        </w:rPr>
        <w:t>. If the Corporate Taxpayer chooses to exercise its right of early termination under Section 4.1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Corporate Taxpayer shall deliver to each TRA Party notice of such intention to exercise such right (“</w:t>
      </w:r>
      <w:r>
        <w:rPr>
          <w:rFonts w:ascii="Times New Roman" w:cs="Times New Roman" w:eastAsia="Times New Roman" w:hAnsi="Times New Roman"/>
          <w:sz w:val="18"/>
          <w:szCs w:val="18"/>
          <w:b w:val="1"/>
          <w:bCs w:val="1"/>
          <w:u w:val="single" w:color="auto"/>
          <w:color w:val="auto"/>
        </w:rPr>
        <w:t>Early Termination Notice</w:t>
      </w:r>
      <w:r>
        <w:rPr>
          <w:rFonts w:ascii="Times New Roman" w:cs="Times New Roman" w:eastAsia="Times New Roman" w:hAnsi="Times New Roman"/>
          <w:sz w:val="18"/>
          <w:szCs w:val="18"/>
          <w:color w:val="auto"/>
        </w:rPr>
        <w:t>”) and shall deliver to the TRA Party Representative a schedule (the “</w:t>
      </w:r>
      <w:r>
        <w:rPr>
          <w:rFonts w:ascii="Times New Roman" w:cs="Times New Roman" w:eastAsia="Times New Roman" w:hAnsi="Times New Roman"/>
          <w:sz w:val="18"/>
          <w:szCs w:val="18"/>
          <w:b w:val="1"/>
          <w:bCs w:val="1"/>
          <w:u w:val="single" w:color="auto"/>
          <w:color w:val="auto"/>
        </w:rPr>
        <w:t>Early Termination Schedule</w:t>
      </w:r>
      <w:r>
        <w:rPr>
          <w:rFonts w:ascii="Times New Roman" w:cs="Times New Roman" w:eastAsia="Times New Roman" w:hAnsi="Times New Roman"/>
          <w:sz w:val="18"/>
          <w:szCs w:val="18"/>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applicable TRA Parties are treated as having received such Schedule or amendment thereto under Section 7.1 unless the TRA Party Representative (i) within thirty (30) calendar days after such date provides the Corporate Taxpayer with notice of a material objection to such Schedule made in good faith (“</w:t>
      </w:r>
      <w:r>
        <w:rPr>
          <w:rFonts w:ascii="Times New Roman" w:cs="Times New Roman" w:eastAsia="Times New Roman" w:hAnsi="Times New Roman"/>
          <w:sz w:val="18"/>
          <w:szCs w:val="18"/>
          <w:b w:val="1"/>
          <w:bCs w:val="1"/>
          <w:u w:val="single" w:color="auto"/>
          <w:color w:val="auto"/>
        </w:rPr>
        <w:t>Material Objection Notice</w:t>
      </w:r>
      <w:r>
        <w:rPr>
          <w:rFonts w:ascii="Times New Roman" w:cs="Times New Roman" w:eastAsia="Times New Roman" w:hAnsi="Times New Roman"/>
          <w:sz w:val="18"/>
          <w:szCs w:val="18"/>
          <w:color w:val="auto"/>
        </w:rPr>
        <w:t>”) or (ii) provides a written waiver of such right of a Material Objection Notice within the period described in clause (i) above, in which case such Schedule becomes binding on the date the waiver is received by the Corporate Taxpayer. If the Corporate Taxpayer and the TRA Party Representative, for any reason, are unable to successfully resolve the issues raised in such notice within thirty (30) calendar days after receipt by the Corporate Taxpayer of the Material Objection Notice, the Corporate Taxpayer and the TRA Party Representative shall employ the Reconciliation Procedures in which case such Schedule becomes binding ten (10) calendar days after the conclusion of the Reconciliation Procedures.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Payment upon Early Termination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right="20" w:firstLine="1505"/>
        <w:spacing w:after="0" w:line="245" w:lineRule="auto"/>
        <w:tabs>
          <w:tab w:leader="none" w:pos="1857"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Within three (3) calendar days after an Early Termination Effective Date, the Corporate Taxpayer shall pay to each TRA Party an amount equal to the Early Termination Payment in respect of such TRA Party. Such payment shall be made by wire transfer of immediately available funds to a bank account or accounts designated by such TRA Party or as otherwise agreed by the Corporate Taxpayer and such TRA Party or, in the absence of such designation or agreement, by check mailed to the last mailing address provided by such TRA Party to the Corporate Taxpayer.</w:t>
      </w:r>
    </w:p>
    <w:p>
      <w:pPr>
        <w:spacing w:after="0" w:line="176" w:lineRule="exact"/>
        <w:rPr>
          <w:rFonts w:ascii="Times New Roman" w:cs="Times New Roman" w:eastAsia="Times New Roman" w:hAnsi="Times New Roman"/>
          <w:sz w:val="18"/>
          <w:szCs w:val="18"/>
          <w:b w:val="1"/>
          <w:bCs w:val="1"/>
          <w:color w:val="auto"/>
        </w:rPr>
      </w:pPr>
    </w:p>
    <w:p>
      <w:pPr>
        <w:ind w:firstLine="1505"/>
        <w:spacing w:after="0" w:line="243" w:lineRule="auto"/>
        <w:tabs>
          <w:tab w:leader="none" w:pos="1857"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Early Termination Payment</w:t>
      </w:r>
      <w:r>
        <w:rPr>
          <w:rFonts w:ascii="Times New Roman" w:cs="Times New Roman" w:eastAsia="Times New Roman" w:hAnsi="Times New Roman"/>
          <w:sz w:val="18"/>
          <w:szCs w:val="18"/>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the Valuation Assumptions in respect of such TRA Party are applied and that each Tax Benefit Payment for the relevant Taxable Year would be satisfied on the due date (without extensions) under applicable law as of the Early Termination Effective Date for filing of IRS Form 1120 (or any successor form) of the Corporate Taxpayer.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SUBORDINATION AND LATE PAYMENTS</w:t>
      </w:r>
    </w:p>
    <w:p>
      <w:pPr>
        <w:spacing w:after="0" w:line="212"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Subordination</w:t>
      </w:r>
      <w:r>
        <w:rPr>
          <w:rFonts w:ascii="Times New Roman" w:cs="Times New Roman" w:eastAsia="Times New Roman" w:hAnsi="Times New Roman"/>
          <w:sz w:val="18"/>
          <w:szCs w:val="18"/>
          <w:color w:val="auto"/>
        </w:rPr>
        <w:t>. Notwithstanding any other provision of this Agreement to the contrary, any Tax Benefit Payment or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with respect to Section 4.1(c) due to events described in paragraph (ii) of the definition of Change of Control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Times New Roman" w:cs="Times New Roman" w:eastAsia="Times New Roman" w:hAnsi="Times New Roman"/>
          <w:sz w:val="18"/>
          <w:szCs w:val="18"/>
          <w:b w:val="1"/>
          <w:bCs w:val="1"/>
          <w:u w:val="single" w:color="auto"/>
          <w:color w:val="auto"/>
        </w:rPr>
        <w:t>Senior Obligations</w:t>
      </w:r>
      <w:r>
        <w:rPr>
          <w:rFonts w:ascii="Times New Roman" w:cs="Times New Roman" w:eastAsia="Times New Roman" w:hAnsi="Times New Roman"/>
          <w:sz w:val="18"/>
          <w:szCs w:val="18"/>
          <w:color w:val="auto"/>
        </w:rPr>
        <w:t xml:space="preserve">”)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current or future unsecured obligations of the Corporate Taxpayer that are not Senior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 Notwithstanding any other provision of this Agreement to the contrary, to the extent that the Corporate Taxpayer or any of its Affiliates enters into future Tax receivable or other similar agreements (“</w:t>
      </w:r>
      <w:r>
        <w:rPr>
          <w:rFonts w:ascii="Times New Roman" w:cs="Times New Roman" w:eastAsia="Times New Roman" w:hAnsi="Times New Roman"/>
          <w:sz w:val="18"/>
          <w:szCs w:val="18"/>
          <w:b w:val="1"/>
          <w:bCs w:val="1"/>
          <w:u w:val="single" w:color="auto"/>
          <w:color w:val="auto"/>
        </w:rPr>
        <w:t>Future TRAs</w:t>
      </w:r>
      <w:r>
        <w:rPr>
          <w:rFonts w:ascii="Times New Roman" w:cs="Times New Roman" w:eastAsia="Times New Roman" w:hAnsi="Times New Roman"/>
          <w:sz w:val="18"/>
          <w:szCs w:val="18"/>
          <w:color w:val="auto"/>
        </w:rPr>
        <w:t>”), the Corporate Taxpayer shall ensure that the terms of any such Future TRA shall provide that the Tax Attributes subject to this Agreement are considered senior in priority to any Tax attributes subject to any such Future TRA for purposes of calculating the amount and timing of payments under any such Future TRA.</w:t>
      </w:r>
    </w:p>
    <w:p>
      <w:pPr>
        <w:spacing w:after="0" w:line="183" w:lineRule="exact"/>
        <w:rPr>
          <w:sz w:val="20"/>
          <w:szCs w:val="20"/>
          <w:color w:val="auto"/>
        </w:rPr>
      </w:pPr>
    </w:p>
    <w:p>
      <w:pPr>
        <w:jc w:val="both"/>
        <w:ind w:right="100"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Late Payments by the Corporate Taxpayer</w:t>
      </w:r>
      <w:r>
        <w:rPr>
          <w:rFonts w:ascii="Times New Roman" w:cs="Times New Roman" w:eastAsia="Times New Roman" w:hAnsi="Times New Roman"/>
          <w:sz w:val="18"/>
          <w:szCs w:val="18"/>
          <w:color w:val="auto"/>
        </w:rPr>
        <w:t>. Subject to the proviso in the last sentence of Section 4.1(b), the amount of all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portion of any Tax Benefit Payment or Early 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first due and payable to the date of actual payment.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 DISPUTES; CONSISTENCY; COOPERATION</w:t>
      </w:r>
    </w:p>
    <w:p>
      <w:pPr>
        <w:spacing w:after="0" w:line="21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Participation in the Corporate Taxpayer’s and OpCo’s Tax Matters</w:t>
      </w:r>
      <w:r>
        <w:rPr>
          <w:rFonts w:ascii="Times New Roman" w:cs="Times New Roman" w:eastAsia="Times New Roman" w:hAnsi="Times New Roman"/>
          <w:sz w:val="18"/>
          <w:szCs w:val="18"/>
          <w:color w:val="auto"/>
        </w:rPr>
        <w:t>. Except as otherwise provided herein, the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Taxpayer shall have full responsibility for, and sole discretion over, all Tax matters concerning the Corporate Taxpayer and OpCo, including without limitation the preparation, filing or amending of any Tax Return and defending, contesting or settling any issue pertaining to Taxes. Notwithstanding the foregoing, the Corporate Taxpayer shall notify the TRA Party Representative of, and keep the TRA Party Representative reasonably informed with respect to, the portion of any audit of the Corporate Taxpayer and OpCo by a Taxing Authority the outcome of which is reasonably expected to materially affect the rights and obligations of the TRA Parties under this Agreement, and shall provide the TRA Party Representative reasonable opportunity to provide information and other input to the Corporate Taxpayer, OpCo and their respective advisors concerning the conduct of any such portion of such audit; provided, however, that the Corporate Taxpayer and OpCo shall not be required to take any action that is inconsistent with any provision of the LLC Agreement.</w:t>
      </w:r>
    </w:p>
    <w:p>
      <w:pPr>
        <w:spacing w:after="0" w:line="183" w:lineRule="exact"/>
        <w:rPr>
          <w:sz w:val="20"/>
          <w:szCs w:val="20"/>
          <w:color w:val="auto"/>
        </w:rPr>
      </w:pPr>
    </w:p>
    <w:p>
      <w:pPr>
        <w:ind w:right="40" w:firstLine="749"/>
        <w:spacing w:after="0"/>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Consistency</w:t>
      </w:r>
      <w:r>
        <w:rPr>
          <w:rFonts w:ascii="Times New Roman" w:cs="Times New Roman" w:eastAsia="Times New Roman" w:hAnsi="Times New Roman"/>
          <w:sz w:val="18"/>
          <w:szCs w:val="18"/>
          <w:color w:val="auto"/>
        </w:rPr>
        <w:t>. The Corporate Taxpayer and the TRA Parties agree to report and cause to be reported for all purposes,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federal, state and local tax purposes and financial reporting purposes, all Tax-related items (including, without limitation, the Tax Attributes and each Tax Benefit Payment) in a manner consistent with that contemplated by this Agreement or specified by the Corporate Taxpayer in any Schedule required to be provided by or on behalf of the Corporate Taxpayer under this Agreement unless otherwise required by law. The Corporate Taxpayer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in any audit, contest or similar proceeding with any Taxing Authority.</w:t>
      </w:r>
    </w:p>
    <w:p>
      <w:pPr>
        <w:spacing w:after="0" w:line="185" w:lineRule="exact"/>
        <w:rPr>
          <w:sz w:val="20"/>
          <w:szCs w:val="20"/>
          <w:color w:val="auto"/>
        </w:rPr>
      </w:pPr>
    </w:p>
    <w:p>
      <w:pPr>
        <w:ind w:right="64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color w:val="auto"/>
        </w:rPr>
        <w:t>. Each of the TRA Parties shall (a) furnish to the Corporate Taxpayer in a timely manner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other materials in its possession as the Corporate Taxpayer may</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4" w:name="page165"/>
    <w:bookmarkEnd w:id="164"/>
    <w:p>
      <w:pPr>
        <w:ind w:right="140"/>
        <w:spacing w:after="0" w:line="239" w:lineRule="auto"/>
        <w:rPr>
          <w:sz w:val="20"/>
          <w:szCs w:val="20"/>
          <w:color w:val="auto"/>
        </w:rPr>
      </w:pPr>
      <w:r>
        <w:rPr>
          <w:rFonts w:ascii="Times New Roman" w:cs="Times New Roman" w:eastAsia="Times New Roman" w:hAnsi="Times New Roman"/>
          <w:sz w:val="18"/>
          <w:szCs w:val="18"/>
          <w:color w:val="auto"/>
        </w:rPr>
        <w:t>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and documented out-of-pocket costs and expenses incurred pursuant to this Section 6.3. Upon the request of any TRA Party, the Corporate Taxpayer shall cooperate in taking any action reasonably requested by such TRA Party in connection with its tax or financial reporting and/or the consummation of any assignment or transfer of any of its rights and/or obligations under this Agreement, including without limitation, providing any information or executing any documentation.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12"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to the Corporate Taxpayer, to:</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2051 Ringwood Avenue</w:t>
      </w:r>
    </w:p>
    <w:p>
      <w:pPr>
        <w:ind w:left="150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Svai Sanford, Chief Financial Officer</w:t>
      </w:r>
    </w:p>
    <w:p>
      <w:pPr>
        <w:spacing w:after="0" w:line="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svai@ranitherapeutics.com</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If to the TRA Parties, to the respective addresses, fax numbers and email addresses set forth in the records of OpCo.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may change its address or email by giving the other party written notice of its new address or email in the manner set forth above.</w:t>
      </w:r>
    </w:p>
    <w:p>
      <w:pPr>
        <w:spacing w:after="0" w:line="208"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77"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Entire Agreement; No Third Party Beneficiaries</w:t>
      </w:r>
      <w:r>
        <w:rPr>
          <w:rFonts w:ascii="Times New Roman" w:cs="Times New Roman" w:eastAsia="Times New Roman" w:hAnsi="Times New Roman"/>
          <w:sz w:val="18"/>
          <w:szCs w:val="18"/>
          <w:color w:val="auto"/>
        </w:rPr>
        <w:t>. This Agreement constitutes the entire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7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Delaware.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5" w:name="page166"/>
    <w:bookmarkEnd w:id="165"/>
    <w:p>
      <w:pPr>
        <w:ind w:right="80" w:firstLine="74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Successors; Assignment; Amendments; Waivers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firstLine="1505"/>
        <w:spacing w:after="0" w:line="237" w:lineRule="auto"/>
        <w:tabs>
          <w:tab w:leader="none" w:pos="185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TRA Party may, directly or indirectly, assign or otherwise transfer its rights under this Agreement to any Person (other than a Permitted Transferee) without the express prior written consent of the Corporate Taxpayer, such consent not to be unreasonably withheld, conditioned, or delayed, and without such Person (including a Permitted Transferee) executing and delivering a joinder to this Agreement, substantially in the form of Exhibit A hereto, agreeing to become a TRA Party for all purposes of this Agreement, except as otherwise provided in such joinder (a “</w:t>
      </w:r>
      <w:r>
        <w:rPr>
          <w:rFonts w:ascii="Times New Roman" w:cs="Times New Roman" w:eastAsia="Times New Roman" w:hAnsi="Times New Roman"/>
          <w:sz w:val="18"/>
          <w:szCs w:val="18"/>
          <w:b w:val="1"/>
          <w:bCs w:val="1"/>
          <w:u w:val="single" w:color="auto"/>
          <w:color w:val="auto"/>
        </w:rPr>
        <w:t>Joinder</w:t>
      </w:r>
      <w:r>
        <w:rPr>
          <w:rFonts w:ascii="Times New Roman" w:cs="Times New Roman" w:eastAsia="Times New Roman" w:hAnsi="Times New Roman"/>
          <w:sz w:val="18"/>
          <w:szCs w:val="18"/>
          <w:color w:val="auto"/>
        </w:rPr>
        <w:t xml:space="preserve">”). For avoidance of doubt, this Section 7.6(a) shall apply regardless of whether such TRA Party continues to hold any interest in the Corporate Taxpayer or OpCo;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TRA Party transfers Units in accordance with the terms of the LLC Agreement but does not assign to the transferee of such Units its rights under this Agreement with respect to such transferred Units, such TRA Party shall continue to be entitled to receive the Tax Benefit Payments arising in respect of a subsequent Exchange of such Units. Any assignment, or attempted assignment in violation of this Agreement, including any failure of a purported assignee to enter into a Joinder or to provide any forms or other information to the extent required hereunder, shall be null and void, and shall not bind or be recognized by the Corporate Taxpayer or the TRA Parties. The Corporate Taxpayer shall be entitled to treat the record owner of any rights under this Agreement as the absolute owner thereof and shall incur no liability for payments made in good faith to such owner until such time as a written assignment of such rights is permitted pursuant to the terms and conditions of this Section 7.6(a) and has been recorded on the books of the Corporate Taxpayer.</w:t>
      </w:r>
    </w:p>
    <w:p>
      <w:pPr>
        <w:spacing w:after="0" w:line="191" w:lineRule="exact"/>
        <w:rPr>
          <w:rFonts w:ascii="Times New Roman" w:cs="Times New Roman" w:eastAsia="Times New Roman" w:hAnsi="Times New Roman"/>
          <w:sz w:val="18"/>
          <w:szCs w:val="18"/>
          <w:b w:val="1"/>
          <w:bCs w:val="1"/>
          <w:color w:val="auto"/>
        </w:rPr>
      </w:pPr>
    </w:p>
    <w:p>
      <w:pPr>
        <w:ind w:firstLine="1505"/>
        <w:spacing w:after="0" w:line="239" w:lineRule="auto"/>
        <w:tabs>
          <w:tab w:leader="none" w:pos="185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provision of this Agreement may be amended unless such amendment is approved in writing by each of the Corporate Taxpayer and by the TRA Party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amendment shall be effective if such amendment will have a disproportionate effect on the payments one or more TRA Parties receive under this Agreement unless such amendment is consented in writing by such TRA Parties disproportionately affected who would be entitled to receive at least two-thirds of the total amount of the Early Termination Payments payable to all TRA Parties disproportionately affected hereunder if the Corporate Taxpayer had exercised its right of early termination on the date of the most recent Exchange prior to such amendment (excluding, for purposes of this sentence, all payments made to any TRA Party pursuant to this Agreement since the date of such most recent Exchange). No provision of this Agreement may be waived unless such waiver is in writing and signed by the party against whom the waiver is to be effective.</w:t>
      </w:r>
    </w:p>
    <w:p>
      <w:pPr>
        <w:spacing w:after="0" w:line="187" w:lineRule="exact"/>
        <w:rPr>
          <w:rFonts w:ascii="Times New Roman" w:cs="Times New Roman" w:eastAsia="Times New Roman" w:hAnsi="Times New Roman"/>
          <w:sz w:val="18"/>
          <w:szCs w:val="18"/>
          <w:b w:val="1"/>
          <w:bCs w:val="1"/>
          <w:color w:val="auto"/>
        </w:rPr>
      </w:pPr>
    </w:p>
    <w:p>
      <w:pPr>
        <w:ind w:firstLine="1505"/>
        <w:spacing w:after="0" w:line="242" w:lineRule="auto"/>
        <w:tabs>
          <w:tab w:leader="none" w:pos="1857"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spacing w:after="0" w:line="181" w:lineRule="exact"/>
        <w:rPr>
          <w:sz w:val="20"/>
          <w:szCs w:val="20"/>
          <w:color w:val="auto"/>
        </w:rPr>
      </w:pPr>
    </w:p>
    <w:p>
      <w:pPr>
        <w:ind w:right="10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Titles and Subtitles</w:t>
      </w:r>
      <w:r>
        <w:rPr>
          <w:rFonts w:ascii="Times New Roman" w:cs="Times New Roman" w:eastAsia="Times New Roman" w:hAnsi="Times New Roman"/>
          <w:sz w:val="18"/>
          <w:szCs w:val="18"/>
          <w:color w:val="auto"/>
        </w:rPr>
        <w:t>. The titles of the sections and subsections of this Agreement are for convenience of reference only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to be considered in construing this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7.8 </w:t>
      </w:r>
      <w:r>
        <w:rPr>
          <w:rFonts w:ascii="Times New Roman" w:cs="Times New Roman" w:eastAsia="Times New Roman" w:hAnsi="Times New Roman"/>
          <w:sz w:val="18"/>
          <w:szCs w:val="18"/>
          <w:b w:val="1"/>
          <w:bCs w:val="1"/>
          <w:u w:val="single" w:color="auto"/>
          <w:color w:val="auto"/>
        </w:rPr>
        <w:t>Resolution of Disputes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right="340" w:firstLine="1505"/>
        <w:spacing w:after="0" w:line="250" w:lineRule="auto"/>
        <w:tabs>
          <w:tab w:leader="none" w:pos="1857"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by Section 7.9, any dispute that is not amicably resolved within thirty (30) days after being notified to the other parties rising out of or relating to this Agreement, including any ancillary claims of any party, arising out of, relating to or in connection with the validity, negotiation, execution,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66" w:name="page167"/>
    <w:bookmarkEnd w:id="166"/>
    <w:p>
      <w:pPr>
        <w:ind w:right="260"/>
        <w:spacing w:after="0" w:line="258" w:lineRule="auto"/>
        <w:rPr>
          <w:sz w:val="20"/>
          <w:szCs w:val="20"/>
          <w:color w:val="auto"/>
        </w:rPr>
      </w:pPr>
      <w:r>
        <w:rPr>
          <w:rFonts w:ascii="Times New Roman" w:cs="Times New Roman" w:eastAsia="Times New Roman" w:hAnsi="Times New Roman"/>
          <w:sz w:val="17"/>
          <w:szCs w:val="17"/>
          <w:color w:val="auto"/>
        </w:rPr>
        <w:t>interpretation, performance or non-performance of this Agreement (including the validity, scope and enforceability of this arbitration provision), or the propriety of the commencement of the arbitration (each a “</w:t>
      </w:r>
      <w:r>
        <w:rPr>
          <w:rFonts w:ascii="Times New Roman" w:cs="Times New Roman" w:eastAsia="Times New Roman" w:hAnsi="Times New Roman"/>
          <w:sz w:val="17"/>
          <w:szCs w:val="17"/>
          <w:b w:val="1"/>
          <w:bCs w:val="1"/>
          <w:u w:val="single" w:color="auto"/>
          <w:color w:val="auto"/>
        </w:rPr>
        <w:t>Dispute</w:t>
      </w:r>
      <w:r>
        <w:rPr>
          <w:rFonts w:ascii="Times New Roman" w:cs="Times New Roman" w:eastAsia="Times New Roman" w:hAnsi="Times New Roman"/>
          <w:sz w:val="17"/>
          <w:szCs w:val="17"/>
          <w:color w:val="auto"/>
        </w:rPr>
        <w:t>”) shall be finally settled by arbitration conducted by a single arbitrator in accordance with the then-existing Rules of Arbitration of the International Chamber of Commerce. The seat or legal place of arbitration shall be New York. If the parties to the Dispute fail to agree on the selection of an arbitrator within thirty (30) calendar days of the receipt of the request for arbitration, the International Chamber of Commerce shall make the appointment. Performance under this Agreement shall continue if reasonably possible during any arbitration proceedings. The arbitration shall be deemed to meet these qualifications unless a party objects with five (5) days of nomination.</w:t>
      </w:r>
    </w:p>
    <w:p>
      <w:pPr>
        <w:spacing w:after="0" w:line="170" w:lineRule="exact"/>
        <w:rPr>
          <w:sz w:val="20"/>
          <w:szCs w:val="20"/>
          <w:color w:val="auto"/>
        </w:rPr>
      </w:pPr>
    </w:p>
    <w:p>
      <w:pPr>
        <w:ind w:right="40" w:firstLine="1505"/>
        <w:spacing w:after="0" w:line="239" w:lineRule="auto"/>
        <w:tabs>
          <w:tab w:leader="none" w:pos="1857"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paragraph (a), the Corporate Taxpayer may bring an action or special proceeding in any court of competent jurisdiction for the purpose of compelling a party to arbitrate, seeking temporary or preliminary relief in aid of an arbitration hereunder, enforcing and/or challenging an arbitration award and, for the purposes of this paragraph (b), each TRA Party (i) expressly consents to the application of paragraph (c) of this Section 7.8 to any such action or proceeding, (ii) agrees that proof shall not be required that monetary damages for breach of the provisions of this Agreement would be difficult to calculate and that remedies at law would be inadequate, and (iii) irrevocably appoints the Corporate Taxpayer as agent of such TRA Party for service of process in connection with any such action or proceeding and agrees that service of process upon such agent, who shall promptly advise the TRA Party of any such service of process, shall be deemed in every respect effective service of process upon the TRA Party in any such action or proceeding.</w:t>
      </w:r>
    </w:p>
    <w:p>
      <w:pPr>
        <w:spacing w:after="0" w:line="183" w:lineRule="exact"/>
        <w:rPr>
          <w:rFonts w:ascii="Times New Roman" w:cs="Times New Roman" w:eastAsia="Times New Roman" w:hAnsi="Times New Roman"/>
          <w:sz w:val="18"/>
          <w:szCs w:val="18"/>
          <w:b w:val="1"/>
          <w:bCs w:val="1"/>
          <w:color w:val="auto"/>
        </w:rPr>
      </w:pPr>
    </w:p>
    <w:p>
      <w:pPr>
        <w:ind w:firstLine="1505"/>
        <w:spacing w:after="0"/>
        <w:tabs>
          <w:tab w:leader="none" w:pos="1857"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EACH PARTY HEREBY IRREVOCABLY SUBMITS TO THE JURISDICTION OF COURTS LOCATED IN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NEW YORK FOR THE PURPOSE OF ANY JUDICIAL PROCEEDING BROUGHT IN ACCORDANCE WITH THE PROVISIONS OF THIS SECTION 7.8, OR ANY JUDICIAL PROCEEDING ANCILLARY TO AN ARBITRATION OR CONTEMPLATED ARBITRATION ARISING OUT OF OR RELATING TO OR CONCERNING THIS AGREEMENT. Such ancillary judicial proceedings include any suit, action or proceeding to compel arbitration, to obtain temporary or preliminary judicial relief in aid of arbitration, or to confirm, enforce or challenge an arbitration award. The parties acknowledge that the fora designated by this paragraph (c) have a reasonable relation to this Agreement, and to the parties’ relationship with one another; and</w:t>
      </w:r>
    </w:p>
    <w:p>
      <w:pPr>
        <w:spacing w:after="0" w:line="188" w:lineRule="exact"/>
        <w:rPr>
          <w:rFonts w:ascii="Times New Roman" w:cs="Times New Roman" w:eastAsia="Times New Roman" w:hAnsi="Times New Roman"/>
          <w:sz w:val="18"/>
          <w:szCs w:val="18"/>
          <w:b w:val="1"/>
          <w:bCs w:val="1"/>
          <w:color w:val="auto"/>
        </w:rPr>
      </w:pPr>
    </w:p>
    <w:p>
      <w:pPr>
        <w:ind w:left="760" w:right="100" w:firstLine="1494"/>
        <w:spacing w:after="0" w:line="250" w:lineRule="auto"/>
        <w:tabs>
          <w:tab w:leader="none" w:pos="2617"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hereby waive, to the fullest extent permitted by applicable law, any objection which they now or hereafter may have to personal jurisdiction or to the laying of venue of any such ancillary suit, action or proceeding brought in any court referred to in the preceding paragraph of this Section 7.8 and such parties agree not to plead or claim the same.</w:t>
      </w:r>
    </w:p>
    <w:p>
      <w:pPr>
        <w:spacing w:after="0" w:line="173" w:lineRule="exact"/>
        <w:rPr>
          <w:sz w:val="20"/>
          <w:szCs w:val="20"/>
          <w:color w:val="auto"/>
        </w:rPr>
      </w:pPr>
    </w:p>
    <w:p>
      <w:pPr>
        <w:ind w:right="60" w:firstLine="749"/>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Reconciliation</w:t>
      </w:r>
      <w:r>
        <w:rPr>
          <w:rFonts w:ascii="Times New Roman" w:cs="Times New Roman" w:eastAsia="Times New Roman" w:hAnsi="Times New Roman"/>
          <w:sz w:val="18"/>
          <w:szCs w:val="18"/>
          <w:color w:val="auto"/>
        </w:rPr>
        <w:t>. In the event that the Corporate Taxpayer and the TRA Party Representative are unable to resolve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disagreement with respect to the matters governed by Sections 2.3 and 4.2 within the relevant period designated in this Agreement (“</w:t>
      </w:r>
      <w:r>
        <w:rPr>
          <w:rFonts w:ascii="Times New Roman" w:cs="Times New Roman" w:eastAsia="Times New Roman" w:hAnsi="Times New Roman"/>
          <w:sz w:val="18"/>
          <w:szCs w:val="18"/>
          <w:b w:val="1"/>
          <w:bCs w:val="1"/>
          <w:u w:val="single" w:color="auto"/>
          <w:color w:val="auto"/>
        </w:rPr>
        <w:t>Reconciliation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Dispute</w:t>
      </w:r>
      <w:r>
        <w:rPr>
          <w:rFonts w:ascii="Times New Roman" w:cs="Times New Roman" w:eastAsia="Times New Roman" w:hAnsi="Times New Roman"/>
          <w:sz w:val="18"/>
          <w:szCs w:val="18"/>
          <w:color w:val="auto"/>
        </w:rPr>
        <w:t>”), the Reconciliation Dispute shall be submitted for determination to a nationally recognized expert (the “</w:t>
      </w:r>
      <w:r>
        <w:rPr>
          <w:rFonts w:ascii="Times New Roman" w:cs="Times New Roman" w:eastAsia="Times New Roman" w:hAnsi="Times New Roman"/>
          <w:sz w:val="18"/>
          <w:szCs w:val="18"/>
          <w:b w:val="1"/>
          <w:bCs w:val="1"/>
          <w:u w:val="single" w:color="auto"/>
          <w:color w:val="auto"/>
        </w:rPr>
        <w:t>Expert</w:t>
      </w:r>
      <w:r>
        <w:rPr>
          <w:rFonts w:ascii="Times New Roman" w:cs="Times New Roman" w:eastAsia="Times New Roman" w:hAnsi="Times New Roman"/>
          <w:sz w:val="18"/>
          <w:szCs w:val="18"/>
          <w:color w:val="auto"/>
        </w:rPr>
        <w:t>”) in the particular area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disagreement mutually acceptable to both parties. The Expert shall be a partner or principal in a nationally recognized accounting or law firm, and unless the Corporate Taxpayer and the TRA Party Representative agree otherwise, the Expert shall not, and the firm that employs the Expert shall not, have any material relationship with the Corporate Taxpayer or the TRA Party Representative or other actual or potential conflict of interest. If the Corporate Taxpayer and the TRA Party Representative are unable to agree on an Expert within fifteen (15) calendar days of receipt by the respondent(s) of written notice of a Reconciliation Dispute, then the Expert shall be appointed by the International Chamber of Commerce Centre for Expertise. The Expert shall resolve any matter relating to the TRA Party’s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the Corporate Taxpayer except as provided in the next sentence. The Corporate Taxpayer and the TRA Party Representative shall bear their own costs and expenses 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7" w:name="page168"/>
    <w:bookmarkEnd w:id="167"/>
    <w:p>
      <w:pPr>
        <w:ind w:right="120"/>
        <w:spacing w:after="0" w:line="241" w:lineRule="auto"/>
        <w:rPr>
          <w:sz w:val="20"/>
          <w:szCs w:val="20"/>
          <w:color w:val="auto"/>
        </w:rPr>
      </w:pPr>
      <w:r>
        <w:rPr>
          <w:rFonts w:ascii="Times New Roman" w:cs="Times New Roman" w:eastAsia="Times New Roman" w:hAnsi="Times New Roman"/>
          <w:sz w:val="18"/>
          <w:szCs w:val="18"/>
          <w:color w:val="auto"/>
        </w:rPr>
        <w:t>such proceeding, unless (i) the Expert adopts the TRA Party Representative’s position, in which case the Corporate Taxpayer shall reimburse the relevant TRA Party Representative for any reasonable out-of-pocket costs and expenses in such proceeding, or (ii) the Expert adopts the Corporate Taxpayer’s position, in which case the TRA Party Representative shall reimburse the Corporate Taxpayer for any reasonable out-of-pocket costs and expenses in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80"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SECTION 7.10 </w:t>
      </w: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The Corporate Taxpayer shall be entitled to deduct and withhold from any payment payable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amounts as the Corporate Taxpayer is required to deduct and withhold with respect to the making of such payment under the Code or any provision of state, local or foreign Tax law; provided that, prior to deducting or withholding any such amounts, the Corporate Taxpayer shall notify the TRA Party Representative and shall consult in good faith with such TRA Party Representative regarding the basis for such deduction or withholding. To the extent that amounts are so withheld and paid over to the appropriate Taxing Authority by the Corporate Taxpayer, such withheld amounts shall be treated for all purposes of this Agreement as having been paid to the Person in respect of whom such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 but not including penalties and interest attributable to the applicable withholding agent’s gross negligence or willful misconduct. Each TRA Party shall promptly provide the Corporate Taxpayer, OpCo or other applicable withholding agent with any applicable Tax forms and certifications (including IRS Form W-9 or the applicable version of IRS Form W-8) reasonably requested, in connection with determining whether any such deductions and withholdings are required under the Code or any provision of state, local or foreign Tax law.</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7.11 </w:t>
      </w:r>
      <w:r>
        <w:rPr>
          <w:rFonts w:ascii="Times New Roman" w:cs="Times New Roman" w:eastAsia="Times New Roman" w:hAnsi="Times New Roman"/>
          <w:sz w:val="18"/>
          <w:szCs w:val="18"/>
          <w:b w:val="1"/>
          <w:bCs w:val="1"/>
          <w:u w:val="single" w:color="auto"/>
          <w:color w:val="auto"/>
        </w:rPr>
        <w:t>Admission of the Corporate Taxpayer into a Consolidated Group; Transfers of Corporate Assets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firstLine="1505"/>
        <w:spacing w:after="0" w:line="242" w:lineRule="auto"/>
        <w:tabs>
          <w:tab w:leader="none" w:pos="185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Taxpayer is or becomes a member of an affiliated, consolidated, combined or unitary group of corporations that files a consolidated, combined or unitary income Tax Return pursuant to Sections 1501 et seq. of the Code or any corresponding provisions of state, local or foreign law, then: (i) the provisions of this Agreement shall be applied with respect to the group as a whole; and (ii) Tax Benefit Payments, Early Termination Payments and other applicable items hereunder shall be computed with reference to the consolidated, combined or unitary taxable income, gain, loss, deduction and attributes of the group as a whole.</w:t>
      </w:r>
    </w:p>
    <w:p>
      <w:pPr>
        <w:spacing w:after="0" w:line="184" w:lineRule="exact"/>
        <w:rPr>
          <w:rFonts w:ascii="Times New Roman" w:cs="Times New Roman" w:eastAsia="Times New Roman" w:hAnsi="Times New Roman"/>
          <w:sz w:val="18"/>
          <w:szCs w:val="18"/>
          <w:b w:val="1"/>
          <w:bCs w:val="1"/>
          <w:color w:val="auto"/>
        </w:rPr>
      </w:pPr>
    </w:p>
    <w:p>
      <w:pPr>
        <w:ind w:right="140" w:firstLine="1505"/>
        <w:spacing w:after="0"/>
        <w:tabs>
          <w:tab w:leader="none" w:pos="185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Taxpayer (or any member of a group described in Section 7.11(a)) transfers or is deemed to transfer any Unit or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then the Corporate Taxpayer shall cause such transferee to assume the obligation to make payments hereunder with respect to the applicable Tax Attributes associated with any Reference Asset or interest therein acquired (directly or indirectly) in such transfer (taking into account any gain recognized in the transaction) in a manner consistent with the terms of this Agreement as the transferee (or one of its Affiliates) actually realizes Tax benefits from the Tax Attributes.</w:t>
      </w:r>
    </w:p>
    <w:p>
      <w:pPr>
        <w:spacing w:after="0" w:line="184" w:lineRule="exact"/>
        <w:rPr>
          <w:rFonts w:ascii="Times New Roman" w:cs="Times New Roman" w:eastAsia="Times New Roman" w:hAnsi="Times New Roman"/>
          <w:sz w:val="18"/>
          <w:szCs w:val="18"/>
          <w:b w:val="1"/>
          <w:bCs w:val="1"/>
          <w:color w:val="auto"/>
        </w:rPr>
      </w:pPr>
    </w:p>
    <w:p>
      <w:pPr>
        <w:ind w:right="20" w:firstLine="1505"/>
        <w:spacing w:after="0" w:line="238" w:lineRule="auto"/>
        <w:tabs>
          <w:tab w:leader="none" w:pos="1857"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OpCo or any applicable Subsidiary transfers (or is deemed to transfer for U.S. federal income Tax purposes)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OpCo or the applicable Subsidiary shall be treated as having disposed of the Reference Asset in a wholly taxable transaction. The consideration deemed to be received by OpCo or the applicable Subsidiary in the transaction contemplated in the prior sentence shall be equal to the fair market value of the deemed transferred asset, plus (i) the amount of debt to which such asset is subject, in the case of a transfer of an encumbered asset or (ii) the amount of debt allocated to such asset, in the case of a transfer of a partnership interest. The transactions described in this Section 7.11(c) and Section 7.11(e) below shall be taken into account in determining the Realized Tax Benefit or Realized Tax Detriment, as applicable, for such Taxable Year based on the income, gain or loss deemed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8" w:name="page169"/>
    <w:bookmarkEnd w:id="168"/>
    <w:p>
      <w:pPr>
        <w:ind w:right="220"/>
        <w:spacing w:after="0" w:line="241" w:lineRule="auto"/>
        <w:rPr>
          <w:sz w:val="20"/>
          <w:szCs w:val="20"/>
          <w:color w:val="auto"/>
        </w:rPr>
      </w:pPr>
      <w:r>
        <w:rPr>
          <w:rFonts w:ascii="Times New Roman" w:cs="Times New Roman" w:eastAsia="Times New Roman" w:hAnsi="Times New Roman"/>
          <w:sz w:val="18"/>
          <w:szCs w:val="18"/>
          <w:color w:val="auto"/>
        </w:rPr>
        <w:t>allocated to the Corporate Taxpayer using the Non-Adjusted Tax Basis of the Reference Assets in calculating its Hypothetical Tax Liability for such Taxable Year and using the actual Tax basis of the Reference Assets in calculating its Actual Tax Liability, determined using the “with and without” methodology. Thus, for example, in determining the Hypothetical Tax Liability of the Corporate Taxpayer, the taxable income of the Corporate Taxpayer shall be determined by treating OpCo as having sold the applicable Reference Asset for its fair market value, recovering any basis applicable to such Reference Asset (using the Non-Adjusted Tax Basis), while the Actual Tax Liability of the Corporate Taxpayer would be determined by recovering the actual Tax basis of the Reference Asset that reflects any Basis Adjustments.</w:t>
      </w:r>
    </w:p>
    <w:p>
      <w:pPr>
        <w:spacing w:after="0" w:line="184" w:lineRule="exact"/>
        <w:rPr>
          <w:sz w:val="20"/>
          <w:szCs w:val="20"/>
          <w:color w:val="auto"/>
        </w:rPr>
      </w:pPr>
    </w:p>
    <w:p>
      <w:pPr>
        <w:ind w:right="100" w:firstLine="1505"/>
        <w:spacing w:after="0" w:line="241" w:lineRule="auto"/>
        <w:tabs>
          <w:tab w:leader="none" w:pos="1857"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member of a group described in Section 7.11(a) that owns any Unit deconsolidates from the group (or the Corporate Taxpayer deconsolidates from the group), then the Corporate Taxpayer shall cause such member (or the parent of the consolidated group in a case where the Corporate Taxpayer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pursuant to this Section 7.11(d), then the initial obligor is relieved of the obligation assumed.</w:t>
      </w:r>
    </w:p>
    <w:p>
      <w:pPr>
        <w:spacing w:after="0" w:line="183" w:lineRule="exact"/>
        <w:rPr>
          <w:rFonts w:ascii="Times New Roman" w:cs="Times New Roman" w:eastAsia="Times New Roman" w:hAnsi="Times New Roman"/>
          <w:sz w:val="18"/>
          <w:szCs w:val="18"/>
          <w:b w:val="1"/>
          <w:bCs w:val="1"/>
          <w:color w:val="auto"/>
        </w:rPr>
      </w:pPr>
    </w:p>
    <w:p>
      <w:pPr>
        <w:ind w:right="100" w:firstLine="1505"/>
        <w:spacing w:after="0" w:line="239" w:lineRule="auto"/>
        <w:tabs>
          <w:tab w:leader="none" w:pos="1857"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Taxpayer (or any member of a group described in Section 7.11(a)) transfers (or is deemed to transfer for U.S. federal income Tax purposes) any Unit in a transaction that is wholly or partially taxable, then for purposes of calculating payments under this Agreement, OpCo shall be treated as having disposed of the portion of any Reference Asset (determined based on a pro rata share of an undivided interest in each Reference Asset) that is indirectly transferred by the Corporate Taxpayer or other entity described above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taking into account the number of Units transferred) in a wholly or partially taxable transaction, as applicable, in which all income, gain or loss is allocated to the Corporate Taxpayer. The consideration deemed to be received by OpCo shall be equal to the fair market value of the deemed transferred asset, plus (i) the amount of debt to which such asset is subject, in the case of a transfer of an encumbered asset or (ii) the amount of debt allocated to such asset, in the case of a transfer of a partnership interest.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SECTION 7.12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40" w:firstLine="1505"/>
        <w:spacing w:after="0" w:line="237" w:lineRule="auto"/>
        <w:tabs>
          <w:tab w:leader="none" w:pos="1857"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TRA Party and each of their assignees acknowledge and agree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the strictest confidence and not disclose to any Person any confidential matters, acquired pursuant to this Agreement, of the Corporate Taxpayer and its Affiliates and successors, concerning OpCo, its members and its Affiliates and successors,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and (ii) the disclosure of information to the extent necessary for the TRA Party to prepare and file its Tax Returns, to respond to any inquiries regarding the same from any Taxing Authority or to prosecute or defend any action, proceeding or audit by any Taxing Authority with respect to such Tax Returns. Notwithstanding anything to the contrary herein, each TRA Party and each of their assignees (and each employee, representative or other agent of the TRA Party or its assignees, as applicable) may disclose to any and all Persons, without limitation of any kind, the Tax treatment and Tax structure of the Corporate Taxpayer, OpCo and their Affiliates, and any of their transactions, and all materials of any kind (including opinions or other Tax analyses) that are provided to the TRA Party relating to such Tax treatment and Tax structure.</w:t>
      </w:r>
    </w:p>
    <w:p>
      <w:pPr>
        <w:spacing w:after="0" w:line="193" w:lineRule="exact"/>
        <w:rPr>
          <w:rFonts w:ascii="Times New Roman" w:cs="Times New Roman" w:eastAsia="Times New Roman" w:hAnsi="Times New Roman"/>
          <w:sz w:val="18"/>
          <w:szCs w:val="18"/>
          <w:b w:val="1"/>
          <w:bCs w:val="1"/>
          <w:color w:val="auto"/>
        </w:rPr>
      </w:pPr>
    </w:p>
    <w:p>
      <w:pPr>
        <w:ind w:firstLine="1505"/>
        <w:spacing w:after="0" w:line="241" w:lineRule="auto"/>
        <w:tabs>
          <w:tab w:leader="none" w:pos="1857"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TRA Party or an assignee commits a breach, or threatens to commit a breach, of any of the provisions of this Section 7.12, the Corporate Taxpayer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the Corporate Taxpayer or any of its Subsidiaries or the TRA Parties and the accounts and funds managed by the Corporate Taxpayer and that money damages alone shall not provide an adequate remedy to such Persons. Such rights and remedies shall be in addition to, and not in lieu of, any other rights and remedies available at law or in equity.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9" w:name="page170"/>
    <w:bookmarkEnd w:id="169"/>
    <w:p>
      <w:pPr>
        <w:ind w:right="10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SECTION 7.13 </w:t>
      </w:r>
      <w:r>
        <w:rPr>
          <w:rFonts w:ascii="Times New Roman" w:cs="Times New Roman" w:eastAsia="Times New Roman" w:hAnsi="Times New Roman"/>
          <w:sz w:val="18"/>
          <w:szCs w:val="18"/>
          <w:b w:val="1"/>
          <w:bCs w:val="1"/>
          <w:u w:val="single" w:color="auto"/>
          <w:color w:val="auto"/>
        </w:rPr>
        <w:t>Partnership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be treated as part of the LLC Agreement as described in Section 761(c)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Sections 1.704-1(b)(2)(ii)(h) and 1.761-1(c) of the Treasury Regulations.</w:t>
      </w:r>
    </w:p>
    <w:p>
      <w:pPr>
        <w:spacing w:after="0" w:line="154"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SECTION 7.14 </w:t>
      </w:r>
      <w:r>
        <w:rPr>
          <w:rFonts w:ascii="Times New Roman" w:cs="Times New Roman" w:eastAsia="Times New Roman" w:hAnsi="Times New Roman"/>
          <w:sz w:val="18"/>
          <w:szCs w:val="18"/>
          <w:b w:val="1"/>
          <w:bCs w:val="1"/>
          <w:u w:val="single" w:color="auto"/>
          <w:color w:val="auto"/>
        </w:rPr>
        <w:t>Change in Law</w:t>
      </w:r>
      <w:r>
        <w:rPr>
          <w:rFonts w:ascii="Times New Roman" w:cs="Times New Roman" w:eastAsia="Times New Roman" w:hAnsi="Times New Roman"/>
          <w:sz w:val="18"/>
          <w:szCs w:val="18"/>
          <w:color w:val="auto"/>
        </w:rPr>
        <w:t>. Notwithstanding anything herein to the contrary, if, in connection with an actual or proposed change in law,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provided that such amendment shall not result in an increase in payments under this Agreement at any time as compared to the amounts and times of payments that would have been due in the absence of such amendment.</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SECTION 7.15 </w:t>
      </w:r>
      <w:r>
        <w:rPr>
          <w:rFonts w:ascii="Times New Roman" w:cs="Times New Roman" w:eastAsia="Times New Roman" w:hAnsi="Times New Roman"/>
          <w:sz w:val="17"/>
          <w:szCs w:val="17"/>
          <w:b w:val="1"/>
          <w:bCs w:val="1"/>
          <w:u w:val="single" w:color="auto"/>
          <w:color w:val="auto"/>
        </w:rPr>
        <w:t>Electronic Signature</w:t>
      </w:r>
      <w:r>
        <w:rPr>
          <w:rFonts w:ascii="Times New Roman" w:cs="Times New Roman" w:eastAsia="Times New Roman" w:hAnsi="Times New Roman"/>
          <w:sz w:val="17"/>
          <w:szCs w:val="17"/>
          <w:color w:val="auto"/>
        </w:rPr>
        <w:t>. The words “execution,” “signed,” “signature,” “delivery,” and words of like import in or relating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or any document to be signed in connection with this Agreement shall be deemed to include electronic signatures (including pdf or any electronic signature complying with the U.S. federal ESIGN Act of 2000, e.g., www.docusign.com),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remainder of this page is intentionally blank]</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Corporate Taxpayer and each TRA Party have duly executed this Agreement as of the date first written above.</w:t>
      </w:r>
    </w:p>
    <w:p>
      <w:pPr>
        <w:spacing w:after="0" w:line="23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Corporate Taxpayer</w:t>
      </w:r>
    </w:p>
    <w:p>
      <w:pPr>
        <w:spacing w:after="0" w:line="1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6543040</wp:posOffset>
            </wp:positionH>
            <wp:positionV relativeFrom="paragraph">
              <wp:posOffset>8890</wp:posOffset>
            </wp:positionV>
            <wp:extent cx="1117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OpCo:</w:t>
      </w:r>
    </w:p>
    <w:p>
      <w:pPr>
        <w:spacing w:after="0" w:line="25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RANI THERAPEUTICS, LLC</w:t>
      </w:r>
    </w:p>
    <w:p>
      <w:pPr>
        <w:spacing w:after="0" w:line="2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6543040</wp:posOffset>
            </wp:positionH>
            <wp:positionV relativeFrom="paragraph">
              <wp:posOffset>8890</wp:posOffset>
            </wp:positionV>
            <wp:extent cx="1117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 Talat Imran</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080" w:top="360"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ALPHA SUGARCOAT INVESTMENT LLC</w:t>
      </w:r>
    </w:p>
    <w:p>
      <w:pPr>
        <w:spacing w:after="0" w:line="189"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Renee Li</w:t>
            </w:r>
          </w:p>
        </w:tc>
      </w:tr>
      <w:tr>
        <w:trPr>
          <w:trHeight w:val="218"/>
        </w:trPr>
        <w:tc>
          <w:tcPr>
            <w:tcW w:w="6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Renee Li</w:t>
            </w:r>
          </w:p>
        </w:tc>
      </w:tr>
      <w:tr>
        <w:trPr>
          <w:trHeight w:val="234"/>
        </w:trPr>
        <w:tc>
          <w:tcPr>
            <w:tcW w:w="6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ENNIS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USIELLO</w:t>
      </w:r>
    </w:p>
    <w:p>
      <w:pPr>
        <w:spacing w:after="0" w:line="18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Dennis Ausiello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RTHUR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w:t>
      </w:r>
    </w:p>
    <w:p>
      <w:pPr>
        <w:spacing w:after="0" w:line="200" w:lineRule="exact"/>
        <w:rPr>
          <w:sz w:val="20"/>
          <w:szCs w:val="20"/>
          <w:color w:val="auto"/>
        </w:rPr>
      </w:pPr>
    </w:p>
    <w:p>
      <w:pPr>
        <w:spacing w:after="0" w:line="21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Arthur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563" w:right="1440"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EAN</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UC</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165735</wp:posOffset>
            </wp:positionV>
            <wp:extent cx="3703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IV</w:t>
      </w:r>
    </w:p>
    <w:p>
      <w:pPr>
        <w:spacing w:after="0" w:line="189" w:lineRule="exact"/>
        <w:rPr>
          <w:sz w:val="20"/>
          <w:szCs w:val="20"/>
          <w:color w:val="auto"/>
        </w:rPr>
      </w:pPr>
    </w:p>
    <w:tbl>
      <w:tblPr>
        <w:tblLayout w:type="fixed"/>
        <w:tblInd w:w="36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218"/>
        </w:trPr>
        <w:tc>
          <w:tcPr>
            <w:tcW w:w="7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70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Member</w:t>
            </w:r>
          </w:p>
        </w:tc>
      </w:tr>
      <w:tr>
        <w:trPr>
          <w:trHeight w:val="392"/>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III</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218"/>
        </w:trPr>
        <w:tc>
          <w:tcPr>
            <w:tcW w:w="7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70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Member</w:t>
            </w:r>
          </w:p>
        </w:tc>
      </w:tr>
      <w:tr>
        <w:trPr>
          <w:trHeight w:val="45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BUTTONWOOD ALPHA FUND LLC</w:t>
            </w:r>
          </w:p>
        </w:tc>
      </w:tr>
      <w:tr>
        <w:trPr>
          <w:trHeight w:val="45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 Manager</w:t>
            </w:r>
          </w:p>
        </w:tc>
      </w:tr>
      <w:tr>
        <w:trPr>
          <w:trHeight w:val="3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218"/>
        </w:trPr>
        <w:tc>
          <w:tcPr>
            <w:tcW w:w="7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70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Manager</w:t>
            </w:r>
          </w:p>
        </w:tc>
      </w:tr>
      <w:tr>
        <w:trPr>
          <w:trHeight w:val="459"/>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BUTTONWOOD ALPHA QP FUND LLC</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 Manager</w:t>
            </w:r>
          </w:p>
        </w:tc>
      </w:tr>
      <w:tr>
        <w:trPr>
          <w:trHeight w:val="39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218"/>
        </w:trPr>
        <w:tc>
          <w:tcPr>
            <w:tcW w:w="700" w:type="dxa"/>
            <w:vAlign w:val="bottom"/>
          </w:tcPr>
          <w:p>
            <w:pPr>
              <w:spacing w:after="0"/>
              <w:rPr>
                <w:sz w:val="18"/>
                <w:szCs w:val="18"/>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700" w:type="dxa"/>
            <w:vAlign w:val="bottom"/>
          </w:tcPr>
          <w:p>
            <w:pPr>
              <w:spacing w:after="0"/>
              <w:rPr>
                <w:sz w:val="20"/>
                <w:szCs w:val="20"/>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38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RVINDER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HALLA</w:t>
      </w:r>
    </w:p>
    <w:p>
      <w:pPr>
        <w:spacing w:after="0" w:line="18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Arvinder Dhalla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ER INVESTMENT GROUP 1 LLC</w:t>
      </w:r>
    </w:p>
    <w:p>
      <w:pPr>
        <w:spacing w:after="0" w:line="189"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Elie Rieder</w:t>
            </w:r>
          </w:p>
        </w:tc>
      </w:tr>
      <w:tr>
        <w:trPr>
          <w:trHeight w:val="218"/>
        </w:trPr>
        <w:tc>
          <w:tcPr>
            <w:tcW w:w="7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Elie Rieder</w:t>
            </w:r>
          </w:p>
        </w:tc>
      </w:tr>
      <w:tr>
        <w:trPr>
          <w:trHeight w:val="234"/>
        </w:trPr>
        <w:tc>
          <w:tcPr>
            <w:tcW w:w="7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Managing Member</w:t>
            </w:r>
          </w:p>
        </w:tc>
      </w:tr>
      <w:tr>
        <w:trPr>
          <w:trHeight w:val="45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ERS INVESTMENTS LLC</w:t>
            </w:r>
          </w:p>
        </w:tc>
      </w:tr>
      <w:tr>
        <w:trPr>
          <w:trHeight w:val="391"/>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Elie Rieder</w:t>
            </w:r>
          </w:p>
        </w:tc>
      </w:tr>
      <w:tr>
        <w:trPr>
          <w:trHeight w:val="218"/>
        </w:trPr>
        <w:tc>
          <w:tcPr>
            <w:tcW w:w="7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Elie Rieder</w:t>
            </w:r>
          </w:p>
        </w:tc>
      </w:tr>
      <w:tr>
        <w:trPr>
          <w:trHeight w:val="234"/>
        </w:trPr>
        <w:tc>
          <w:tcPr>
            <w:tcW w:w="7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NDREW</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ARQUHARSON</w:t>
      </w:r>
    </w:p>
    <w:p>
      <w:pPr>
        <w:spacing w:after="0" w:line="18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ETSY</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UTIERREZ</w:t>
      </w:r>
    </w:p>
    <w:p>
      <w:pPr>
        <w:spacing w:after="0" w:line="18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Betsy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GV 2013, L.P.</w:t>
      </w:r>
    </w:p>
    <w:p>
      <w:pPr>
        <w:spacing w:after="0" w:line="256" w:lineRule="exact"/>
        <w:rPr>
          <w:sz w:val="20"/>
          <w:szCs w:val="20"/>
          <w:color w:val="auto"/>
        </w:rPr>
      </w:pPr>
    </w:p>
    <w:tbl>
      <w:tblPr>
        <w:tblLayout w:type="fixed"/>
        <w:tblInd w:w="4560" w:type="dxa"/>
        <w:tblCellMar>
          <w:top w:w="0" w:type="dxa"/>
          <w:left w:w="0" w:type="dxa"/>
          <w:bottom w:w="0" w:type="dxa"/>
          <w:right w:w="0" w:type="dxa"/>
        </w:tblCellMar>
      </w:tblP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GV 2013 GP, L.L.C.,</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68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218"/>
        </w:trPr>
        <w:tc>
          <w:tcPr>
            <w:tcW w:w="70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Inga Goldbard</w:t>
            </w:r>
          </w:p>
        </w:tc>
      </w:tr>
      <w:tr>
        <w:trPr>
          <w:trHeight w:val="234"/>
        </w:trPr>
        <w:tc>
          <w:tcPr>
            <w:tcW w:w="70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5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GV 2015, L.P.</w:t>
            </w:r>
          </w:p>
        </w:tc>
      </w:tr>
      <w:tr>
        <w:trPr>
          <w:trHeight w:val="45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GV 2015 GP, L.L.C.</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68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218"/>
        </w:trPr>
        <w:tc>
          <w:tcPr>
            <w:tcW w:w="70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Inga Goldbard</w:t>
            </w:r>
          </w:p>
        </w:tc>
      </w:tr>
      <w:tr>
        <w:trPr>
          <w:trHeight w:val="234"/>
        </w:trPr>
        <w:tc>
          <w:tcPr>
            <w:tcW w:w="70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59"/>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GV 2017, L.P.</w:t>
            </w:r>
          </w:p>
        </w:tc>
      </w:tr>
      <w:tr>
        <w:trPr>
          <w:trHeight w:val="45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GV 2017 GP, L.P., its General Partner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GV 2017 GP, L.L.C., its General Partner</w:t>
            </w:r>
          </w:p>
        </w:tc>
      </w:tr>
      <w:tr>
        <w:trPr>
          <w:trHeight w:val="68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218"/>
        </w:trPr>
        <w:tc>
          <w:tcPr>
            <w:tcW w:w="70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Inga Goldbard</w:t>
            </w:r>
          </w:p>
        </w:tc>
      </w:tr>
      <w:tr>
        <w:trPr>
          <w:trHeight w:val="234"/>
        </w:trPr>
        <w:tc>
          <w:tcPr>
            <w:tcW w:w="70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IR</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ASHIM</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Mir Hashim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MINA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Amina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HAYLA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Shayla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ALAT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563" w:right="1440"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BBAS</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2"/>
          <w:szCs w:val="12"/>
          <w:b w:val="1"/>
          <w:bCs w:val="1"/>
          <w:color w:val="auto"/>
        </w:rPr>
        <w:t>HORSAND</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Abbas Khorsand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ELYA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Aelya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INCUBE LABS,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Mir Imran</w:t>
            </w:r>
          </w:p>
        </w:tc>
      </w:tr>
      <w:tr>
        <w:trPr>
          <w:trHeight w:val="218"/>
        </w:trPr>
        <w:tc>
          <w:tcPr>
            <w:tcW w:w="80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Mir Imran</w:t>
            </w:r>
          </w:p>
        </w:tc>
      </w:tr>
      <w:tr>
        <w:trPr>
          <w:trHeight w:val="234"/>
        </w:trPr>
        <w:tc>
          <w:tcPr>
            <w:tcW w:w="80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63"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INCUBE VENTURES II, L.P.</w:t>
      </w:r>
    </w:p>
    <w:p>
      <w:pPr>
        <w:spacing w:after="0" w:line="256"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Farquharson</w:t>
            </w:r>
          </w:p>
        </w:tc>
      </w:tr>
      <w:tr>
        <w:trPr>
          <w:trHeight w:val="218"/>
        </w:trPr>
        <w:tc>
          <w:tcPr>
            <w:tcW w:w="78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Andrew Farquharson</w:t>
            </w:r>
          </w:p>
        </w:tc>
      </w:tr>
      <w:tr>
        <w:trPr>
          <w:trHeight w:val="234"/>
        </w:trPr>
        <w:tc>
          <w:tcPr>
            <w:tcW w:w="7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TEPHANIE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RORY</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Stephanie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AULIK</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ANAVATY</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Maulik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HANG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NG</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Chang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9">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NOVARTIS PHARMACEUTICALS CORPORATION</w:t>
      </w:r>
    </w:p>
    <w:p>
      <w:pPr>
        <w:spacing w:after="0" w:line="256" w:lineRule="exact"/>
        <w:rPr>
          <w:sz w:val="20"/>
          <w:szCs w:val="20"/>
          <w:color w:val="auto"/>
        </w:rPr>
      </w:pPr>
    </w:p>
    <w:tbl>
      <w:tblPr>
        <w:tblLayout w:type="fixed"/>
        <w:tblInd w:w="33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Ceulemans</w:t>
            </w:r>
          </w:p>
        </w:tc>
      </w:tr>
      <w:tr>
        <w:trPr>
          <w:trHeight w:val="218"/>
        </w:trPr>
        <w:tc>
          <w:tcPr>
            <w:tcW w:w="840" w:type="dxa"/>
            <w:vAlign w:val="bottom"/>
          </w:tcPr>
          <w:p>
            <w:pPr>
              <w:spacing w:after="0"/>
              <w:rPr>
                <w:sz w:val="18"/>
                <w:szCs w:val="18"/>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Marc Ceulemans</w:t>
            </w:r>
          </w:p>
        </w:tc>
      </w:tr>
      <w:tr>
        <w:trPr>
          <w:trHeight w:val="234"/>
        </w:trPr>
        <w:tc>
          <w:tcPr>
            <w:tcW w:w="840" w:type="dxa"/>
            <w:vAlign w:val="bottom"/>
          </w:tcPr>
          <w:p>
            <w:pPr>
              <w:spacing w:after="0"/>
              <w:rPr>
                <w:sz w:val="20"/>
                <w:szCs w:val="20"/>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Head Strategic Venture Fund &amp; Pharma Equities</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HRISTINE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HAN</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Christine 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RANI INVESTMENT CORP.</w:t>
      </w:r>
    </w:p>
    <w:p>
      <w:pPr>
        <w:spacing w:after="0" w:line="256"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Farquharson</w:t>
            </w:r>
          </w:p>
        </w:tc>
      </w:tr>
      <w:tr>
        <w:trPr>
          <w:trHeight w:val="218"/>
        </w:trPr>
        <w:tc>
          <w:tcPr>
            <w:tcW w:w="78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Andrew Farquharson</w:t>
            </w:r>
          </w:p>
        </w:tc>
      </w:tr>
      <w:tr>
        <w:trPr>
          <w:trHeight w:val="234"/>
        </w:trPr>
        <w:tc>
          <w:tcPr>
            <w:tcW w:w="78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VAI</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ANFORD</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OHSEN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HIRAZI</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Mohsen Shirazi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7">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Agreement as of the date first written above.</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TAKEDA VENTURES, INC.</w:t>
      </w:r>
    </w:p>
    <w:p>
      <w:pPr>
        <w:spacing w:after="0" w:line="256" w:lineRule="exact"/>
        <w:rPr>
          <w:sz w:val="20"/>
          <w:szCs w:val="20"/>
          <w:color w:val="auto"/>
        </w:rPr>
      </w:pPr>
    </w:p>
    <w:tbl>
      <w:tblPr>
        <w:tblLayout w:type="fixed"/>
        <w:tblInd w:w="45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Michael Martin</w:t>
            </w:r>
          </w:p>
        </w:tc>
      </w:tr>
      <w:tr>
        <w:trPr>
          <w:trHeight w:val="218"/>
        </w:trPr>
        <w:tc>
          <w:tcPr>
            <w:tcW w:w="800" w:type="dxa"/>
            <w:vAlign w:val="bottom"/>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 Michael Martin</w:t>
            </w:r>
          </w:p>
        </w:tc>
      </w:tr>
      <w:tr>
        <w:trPr>
          <w:trHeight w:val="234"/>
        </w:trPr>
        <w:tc>
          <w:tcPr>
            <w:tcW w:w="800" w:type="dxa"/>
            <w:vAlign w:val="bottom"/>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President, Takeda Ventures, Inc.</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6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2"/>
          <w:szCs w:val="12"/>
          <w:b w:val="1"/>
          <w:bCs w:val="1"/>
          <w:color w:val="auto"/>
        </w:rPr>
        <w:t>UHUA</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IU</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Yuhua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0">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OSS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ASON</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Ross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2">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BIDA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YED</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Abida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OHAIL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YED</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Sohail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DAVID PYOTT LIVING TRUST</w:t>
      </w:r>
    </w:p>
    <w:p>
      <w:pPr>
        <w:spacing w:after="0" w:line="202" w:lineRule="exact"/>
        <w:rPr>
          <w:sz w:val="20"/>
          <w:szCs w:val="20"/>
          <w:color w:val="auto"/>
        </w:rPr>
      </w:pPr>
    </w:p>
    <w:p>
      <w:pPr>
        <w:ind w:left="4660"/>
        <w:spacing w:after="0"/>
        <w:tabs>
          <w:tab w:leader="none" w:pos="5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8890</wp:posOffset>
            </wp:positionV>
            <wp:extent cx="32143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 David Pyott</w:t>
      </w:r>
    </w:p>
    <w:p>
      <w:pPr>
        <w:ind w:left="544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563" w:right="1440"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AVID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YOTT</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David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NGELA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URCH</w:t>
      </w:r>
    </w:p>
    <w:p>
      <w:pPr>
        <w:spacing w:after="0" w:line="2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Angela Murch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undersigned have executed this Agreement as of the date first written above.</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ARY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ANG</w:t>
      </w:r>
    </w:p>
    <w:p>
      <w:pPr>
        <w:spacing w:after="0" w:line="200" w:lineRule="exact"/>
        <w:rPr>
          <w:sz w:val="20"/>
          <w:szCs w:val="20"/>
          <w:color w:val="auto"/>
        </w:rPr>
      </w:pPr>
    </w:p>
    <w:p>
      <w:pPr>
        <w:spacing w:after="0" w:line="28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Gary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17145</wp:posOffset>
            </wp:positionV>
            <wp:extent cx="3703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i w:val="1"/>
          <w:iCs w:val="1"/>
          <w:color w:val="auto"/>
        </w:rPr>
        <w:t>[Signature Page to the Exchanges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66040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0" w:right="1440" w:bottom="1440" w:gutter="0" w:footer="0" w:header="0"/>
        </w:sectPr>
      </w:pPr>
    </w:p>
    <w:bookmarkStart w:id="206" w:name="page207"/>
    <w:bookmarkEnd w:id="2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Joinder</w:t>
      </w:r>
    </w:p>
    <w:p>
      <w:pPr>
        <w:spacing w:after="0" w:line="192" w:lineRule="exact"/>
        <w:rPr>
          <w:sz w:val="20"/>
          <w:szCs w:val="20"/>
          <w:color w:val="auto"/>
        </w:rPr>
      </w:pPr>
    </w:p>
    <w:p>
      <w:pPr>
        <w:ind w:right="480" w:firstLine="749"/>
        <w:spacing w:after="0" w:line="246" w:lineRule="auto"/>
        <w:rPr>
          <w:sz w:val="20"/>
          <w:szCs w:val="20"/>
          <w:color w:val="auto"/>
        </w:rPr>
      </w:pPr>
      <w:r>
        <w:rPr>
          <w:rFonts w:ascii="Times New Roman" w:cs="Times New Roman" w:eastAsia="Times New Roman" w:hAnsi="Times New Roman"/>
          <w:sz w:val="18"/>
          <w:szCs w:val="18"/>
          <w:color w:val="auto"/>
        </w:rPr>
        <w:t>This JOINDER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to the Tax Receivable Agreement (as defined below), is by and among Rani Therapeutics Holdings, Inc., a Delaware corporation (including any successor corporation the “</w:t>
      </w:r>
      <w:r>
        <w:rPr>
          <w:rFonts w:ascii="Times New Roman" w:cs="Times New Roman" w:eastAsia="Times New Roman" w:hAnsi="Times New Roman"/>
          <w:sz w:val="18"/>
          <w:szCs w:val="18"/>
          <w:u w:val="single" w:color="auto"/>
          <w:color w:val="auto"/>
        </w:rPr>
        <w:t>Corporate Taxpayer</w:t>
      </w:r>
      <w:r>
        <w:rPr>
          <w:rFonts w:ascii="Times New Roman" w:cs="Times New Roman" w:eastAsia="Times New Roman" w:hAnsi="Times New Roman"/>
          <w:sz w:val="18"/>
          <w:szCs w:val="18"/>
          <w:color w:val="auto"/>
        </w:rPr>
        <w:t>”), ______________________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on ______________________, Permitted Transferee shall acquire ______________________ percent of the Transferor’s right to</w:t>
      </w:r>
    </w:p>
    <w:p>
      <w:pPr>
        <w:spacing w:after="0" w:line="16"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8"/>
          <w:szCs w:val="18"/>
          <w:color w:val="auto"/>
        </w:rPr>
        <w:t>receive payments that may become due and payable under the Tax Receivable Agreement (as defined below) (the “</w:t>
      </w:r>
      <w:r>
        <w:rPr>
          <w:rFonts w:ascii="Times New Roman" w:cs="Times New Roman" w:eastAsia="Times New Roman" w:hAnsi="Times New Roman"/>
          <w:sz w:val="18"/>
          <w:szCs w:val="18"/>
          <w:u w:val="single" w:color="auto"/>
          <w:color w:val="auto"/>
        </w:rPr>
        <w:t>Acquired Interests</w:t>
      </w:r>
      <w:r>
        <w:rPr>
          <w:rFonts w:ascii="Times New Roman" w:cs="Times New Roman" w:eastAsia="Times New Roman" w:hAnsi="Times New Roman"/>
          <w:sz w:val="18"/>
          <w:szCs w:val="18"/>
          <w:color w:val="auto"/>
        </w:rPr>
        <w:t>”) from Transferor (the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and</w:t>
      </w:r>
    </w:p>
    <w:p>
      <w:pPr>
        <w:spacing w:after="0" w:line="18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WHEREAS, Transferor, in connection with the Acquisition, has required Permitted Transferee to execute and deliver this Joinder pursuant to Section 7.6(a) of the Tax Receivable Agreement, dated as of [ ], between the Corporate Taxpayer, OpCo and the TRA Parties (as defined therein) (the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Receivable Agreement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covenants and agreements set forth herein, and intending to be legally bound hereby, the parties hereto agree as follows:</w:t>
      </w:r>
    </w:p>
    <w:p>
      <w:pPr>
        <w:spacing w:after="0" w:line="162"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To the extent capitalized words used in this Joinder are not defined in this Joinder, such words shall have the respective meanings set forth in the Tax Receivable Agreement.</w:t>
      </w:r>
    </w:p>
    <w:p>
      <w:pPr>
        <w:spacing w:after="0" w:line="162"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good and valuable consideration, the sufficiency of which is hereby acknowledged by the Transferor and the Permitted Transferee, the Transferor hereby transfers and assigns absolutely to the Permitted Transferee all of the Acquired Interests.</w:t>
      </w:r>
    </w:p>
    <w:p>
      <w:pPr>
        <w:spacing w:after="0" w:line="16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Permitted Transferee hereby acknowledges and agrees (i) that it has received and read the Tax Receivable Agreement, (ii) that the Permitted Transferee is acquiring the Acquired Interests in accordance with and subject to the terms and conditions of the Tax Receivable Agreement and (iii) to become a “</w:t>
      </w:r>
      <w:r>
        <w:rPr>
          <w:rFonts w:ascii="Times New Roman" w:cs="Times New Roman" w:eastAsia="Times New Roman" w:hAnsi="Times New Roman"/>
          <w:sz w:val="18"/>
          <w:szCs w:val="18"/>
          <w:u w:val="single" w:color="auto"/>
          <w:color w:val="auto"/>
        </w:rPr>
        <w:t>TRA Party</w:t>
      </w:r>
      <w:r>
        <w:rPr>
          <w:rFonts w:ascii="Times New Roman" w:cs="Times New Roman" w:eastAsia="Times New Roman" w:hAnsi="Times New Roman"/>
          <w:sz w:val="18"/>
          <w:szCs w:val="18"/>
          <w:color w:val="auto"/>
        </w:rPr>
        <w:t>” (as defined in the Tax Receivable Agreement) for all purposes of the Tax Receivable Agreement.</w:t>
      </w:r>
    </w:p>
    <w:p>
      <w:pPr>
        <w:spacing w:after="0" w:line="177" w:lineRule="exact"/>
        <w:rPr>
          <w:sz w:val="20"/>
          <w:szCs w:val="20"/>
          <w:color w:val="auto"/>
        </w:rPr>
      </w:pPr>
    </w:p>
    <w:p>
      <w:pPr>
        <w:jc w:val="both"/>
        <w:ind w:right="40" w:firstLine="749"/>
        <w:spacing w:after="0" w:line="250"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request, consent, claim, demand, approval, waiver or other communication hereunder to Permitted Transferee shall be delivered or sent to Permitted Transferee at the address set forth on the signature page hereto in accordance with Section 7.1 of the Tax Receivable Agreement.</w:t>
      </w:r>
    </w:p>
    <w:p>
      <w:pPr>
        <w:spacing w:after="0" w:line="177" w:lineRule="exact"/>
        <w:rPr>
          <w:sz w:val="20"/>
          <w:szCs w:val="20"/>
          <w:color w:val="auto"/>
        </w:rPr>
      </w:pPr>
    </w:p>
    <w:p>
      <w:pPr>
        <w:ind w:left="760"/>
        <w:spacing w:after="0"/>
        <w:tabs>
          <w:tab w:leader="none" w:pos="182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Joinder shall be governed by and construed in accordance with the law of the State of Delaware.</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WITNESS WHEREOF, this Joinder has been duly executed and delivered by Permitted Transferee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07" w:name="page208"/>
    <w:bookmarkEnd w:id="207"/>
    <w:p>
      <w:pPr>
        <w:ind w:left="4520"/>
        <w:spacing w:after="0"/>
        <w:rPr>
          <w:sz w:val="20"/>
          <w:szCs w:val="20"/>
          <w:color w:val="auto"/>
        </w:rPr>
      </w:pPr>
      <w:r>
        <w:rPr>
          <w:rFonts w:ascii="Times New Roman" w:cs="Times New Roman" w:eastAsia="Times New Roman" w:hAnsi="Times New Roman"/>
          <w:sz w:val="17"/>
          <w:szCs w:val="17"/>
          <w:color w:val="auto"/>
        </w:rPr>
        <w:t>RANI THERAPEUTICS HOLDINGS, INC.</w:t>
      </w: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8890</wp:posOffset>
            </wp:positionV>
            <wp:extent cx="306006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3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[TRANSFEROR]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8890</wp:posOffset>
            </wp:positionV>
            <wp:extent cx="306006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jc w:val="center"/>
        <w:ind w:right="-400"/>
        <w:spacing w:after="0"/>
        <w:rPr>
          <w:sz w:val="20"/>
          <w:szCs w:val="20"/>
          <w:color w:val="auto"/>
        </w:rPr>
      </w:pPr>
      <w:r>
        <w:rPr>
          <w:rFonts w:ascii="Times New Roman" w:cs="Times New Roman" w:eastAsia="Times New Roman" w:hAnsi="Times New Roman"/>
          <w:sz w:val="18"/>
          <w:szCs w:val="18"/>
          <w:color w:val="auto"/>
        </w:rPr>
        <w:t>Title:</w:t>
      </w:r>
    </w:p>
    <w:p>
      <w:pPr>
        <w:spacing w:after="0" w:line="3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[PERMITTED TRANSFEREE]</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8890</wp:posOffset>
            </wp:positionV>
            <wp:extent cx="30600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17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August 3, 2021, by and between Rani Therapeutics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persons and entities (each, a “</w:t>
      </w:r>
      <w:r>
        <w:rPr>
          <w:rFonts w:ascii="Times New Roman" w:cs="Times New Roman" w:eastAsia="Times New Roman" w:hAnsi="Times New Roman"/>
          <w:sz w:val="18"/>
          <w:szCs w:val="18"/>
          <w:b w:val="1"/>
          <w:bCs w:val="1"/>
          <w:i w:val="1"/>
          <w:iCs w:val="1"/>
          <w:color w:val="auto"/>
        </w:rPr>
        <w:t>Contributor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Contributors</w:t>
      </w:r>
      <w:r>
        <w:rPr>
          <w:rFonts w:ascii="Times New Roman" w:cs="Times New Roman" w:eastAsia="Times New Roman" w:hAnsi="Times New Roman"/>
          <w:sz w:val="18"/>
          <w:szCs w:val="18"/>
          <w:color w:val="auto"/>
        </w:rPr>
        <w:t>”) listed on Schedule I below. Each of the Contributors and the Company shall be known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herein.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each Contributor owns Class B Voting Units (“</w:t>
      </w:r>
      <w:r>
        <w:rPr>
          <w:rFonts w:ascii="Times New Roman" w:cs="Times New Roman" w:eastAsia="Times New Roman" w:hAnsi="Times New Roman"/>
          <w:sz w:val="18"/>
          <w:szCs w:val="18"/>
          <w:b w:val="1"/>
          <w:bCs w:val="1"/>
          <w:i w:val="1"/>
          <w:iCs w:val="1"/>
          <w:color w:val="auto"/>
        </w:rPr>
        <w:t>Class B Units</w:t>
      </w:r>
      <w:r>
        <w:rPr>
          <w:rFonts w:ascii="Times New Roman" w:cs="Times New Roman" w:eastAsia="Times New Roman" w:hAnsi="Times New Roman"/>
          <w:sz w:val="18"/>
          <w:szCs w:val="18"/>
          <w:color w:val="auto"/>
        </w:rPr>
        <w:t>”) of Rani Therapeutics, LLC (“</w:t>
      </w:r>
      <w:r>
        <w:rPr>
          <w:rFonts w:ascii="Times New Roman" w:cs="Times New Roman" w:eastAsia="Times New Roman" w:hAnsi="Times New Roman"/>
          <w:sz w:val="18"/>
          <w:szCs w:val="18"/>
          <w:b w:val="1"/>
          <w:bCs w:val="1"/>
          <w:i w:val="1"/>
          <w:iCs w:val="1"/>
          <w:color w:val="auto"/>
        </w:rPr>
        <w:t>Rani LLC</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each Contributor desires to assign, convey, transfer, deliver, and contribute all of his, her, or its, rights, obligations, titles,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in his, her, or its Class B Units to the Company, and the Company desires to accept and assume such rights, obligations, titles, and other interests.</w:t>
      </w:r>
    </w:p>
    <w:p>
      <w:pPr>
        <w:spacing w:after="0" w:line="15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in consideration of each Contributor’s assignment, conveyance, transfer, delivery, and contribution of his, her, or its Class B Units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Company desires to issue and deliver to each such Contributor a number of shares of Class B Common Stock of the Company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equal to the number of Class B Units received by the Company from such Contributor.</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Contributors’ contributions of Class B Units to the Company in exchange for Class B Common Stock, taken together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issuance of shares of Class A Common Stock of the Company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in the Company’s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and certain exchanges of Class A Common Units of Rani LLC for shares of Class A Common Stock in connection with the IPO, is intended to constitute a transaction described in Section 351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HEREFORE</w:t>
      </w:r>
      <w:r>
        <w:rPr>
          <w:rFonts w:ascii="Times New Roman" w:cs="Times New Roman" w:eastAsia="Times New Roman" w:hAnsi="Times New Roman"/>
          <w:sz w:val="18"/>
          <w:szCs w:val="18"/>
          <w:color w:val="auto"/>
        </w:rPr>
        <w:t>, in consideration of the mutual promises and covenants herein contained,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is hereby acknowledged, the parties hereto agree as follows:</w:t>
      </w:r>
    </w:p>
    <w:p>
      <w:pPr>
        <w:spacing w:after="0" w:line="158" w:lineRule="exact"/>
        <w:rPr>
          <w:sz w:val="20"/>
          <w:szCs w:val="20"/>
          <w:color w:val="auto"/>
        </w:rPr>
      </w:pPr>
    </w:p>
    <w:p>
      <w:pPr>
        <w:ind w:right="100" w:firstLine="757"/>
        <w:spacing w:after="0" w:line="250" w:lineRule="auto"/>
        <w:tabs>
          <w:tab w:leader="none" w:pos="14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of Units</w:t>
      </w:r>
      <w:r>
        <w:rPr>
          <w:rFonts w:ascii="Times New Roman" w:cs="Times New Roman" w:eastAsia="Times New Roman" w:hAnsi="Times New Roman"/>
          <w:sz w:val="18"/>
          <w:szCs w:val="18"/>
          <w:color w:val="auto"/>
        </w:rPr>
        <w:t>. Effective as of the date hereof, each Contributor hereby assigns, conveys, transfers, delivers, and contributes to the Company, and the Company hereby accepts and assumes from Contributor, all of Contributor’s right, title, obligations, and other interest in and to the Class B Units owned by such Contributor.</w:t>
      </w:r>
    </w:p>
    <w:p>
      <w:pPr>
        <w:spacing w:after="0" w:line="176" w:lineRule="exact"/>
        <w:rPr>
          <w:rFonts w:ascii="Times New Roman" w:cs="Times New Roman" w:eastAsia="Times New Roman" w:hAnsi="Times New Roman"/>
          <w:sz w:val="18"/>
          <w:szCs w:val="18"/>
          <w:color w:val="auto"/>
        </w:rPr>
      </w:pPr>
    </w:p>
    <w:p>
      <w:pPr>
        <w:ind w:right="20" w:firstLine="757"/>
        <w:spacing w:after="0" w:line="245" w:lineRule="auto"/>
        <w:tabs>
          <w:tab w:leader="none" w:pos="14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by the Company</w:t>
      </w:r>
      <w:r>
        <w:rPr>
          <w:rFonts w:ascii="Times New Roman" w:cs="Times New Roman" w:eastAsia="Times New Roman" w:hAnsi="Times New Roman"/>
          <w:sz w:val="18"/>
          <w:szCs w:val="18"/>
          <w:color w:val="auto"/>
        </w:rPr>
        <w:t>. Effective as of the date hereof, in consideration of each Contributor’s assignment, conveyance, transfer, delivery and contribution to the Company of all of his, her, or its Class B Units, the Company hereby issues and delivers to each such Contributor, and each such Contributor hereby accepts and assumes from the Company, a number of shares of Class B Common Stock equal to the number of Class B Units received by the Company from such Contributor.</w:t>
      </w:r>
    </w:p>
    <w:p>
      <w:pPr>
        <w:spacing w:after="0" w:line="180" w:lineRule="exact"/>
        <w:rPr>
          <w:rFonts w:ascii="Times New Roman" w:cs="Times New Roman" w:eastAsia="Times New Roman" w:hAnsi="Times New Roman"/>
          <w:sz w:val="18"/>
          <w:szCs w:val="18"/>
          <w:color w:val="auto"/>
        </w:rPr>
      </w:pPr>
    </w:p>
    <w:p>
      <w:pPr>
        <w:ind w:right="320" w:firstLine="757"/>
        <w:spacing w:after="0" w:line="250" w:lineRule="auto"/>
        <w:tabs>
          <w:tab w:leader="none" w:pos="14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Agreement to be Bound</w:t>
      </w:r>
      <w:r>
        <w:rPr>
          <w:rFonts w:ascii="Times New Roman" w:cs="Times New Roman" w:eastAsia="Times New Roman" w:hAnsi="Times New Roman"/>
          <w:sz w:val="18"/>
          <w:szCs w:val="18"/>
          <w:color w:val="auto"/>
        </w:rPr>
        <w:t>. If and to the extent the Company is not already a member of Rani LLC, the Company hereby agrees to be bound by the terms and conditions of the limited liability company agreement of Rani LLC (the “</w:t>
      </w:r>
      <w:r>
        <w:rPr>
          <w:rFonts w:ascii="Times New Roman" w:cs="Times New Roman" w:eastAsia="Times New Roman" w:hAnsi="Times New Roman"/>
          <w:sz w:val="18"/>
          <w:szCs w:val="18"/>
          <w:b w:val="1"/>
          <w:bCs w:val="1"/>
          <w:i w:val="1"/>
          <w:iCs w:val="1"/>
          <w:color w:val="auto"/>
        </w:rPr>
        <w:t>LLC Agreement</w:t>
      </w:r>
      <w:r>
        <w:rPr>
          <w:rFonts w:ascii="Times New Roman" w:cs="Times New Roman" w:eastAsia="Times New Roman" w:hAnsi="Times New Roman"/>
          <w:sz w:val="18"/>
          <w:szCs w:val="18"/>
          <w:color w:val="auto"/>
        </w:rPr>
        <w:t>”) as in effect on the date hereof, and hereby assumes all obligations of each Contributor under such LLC Agreement in respect of the Class B Units.</w:t>
      </w:r>
    </w:p>
    <w:p>
      <w:pPr>
        <w:spacing w:after="0" w:line="176"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Reporting</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60" w:firstLine="1497"/>
        <w:spacing w:after="0" w:line="266" w:lineRule="auto"/>
        <w:rPr>
          <w:sz w:val="20"/>
          <w:szCs w:val="20"/>
          <w:color w:val="auto"/>
        </w:rPr>
      </w:pPr>
      <w:r>
        <w:rPr>
          <w:rFonts w:ascii="Times New Roman" w:cs="Times New Roman" w:eastAsia="Times New Roman" w:hAnsi="Times New Roman"/>
          <w:sz w:val="18"/>
          <w:szCs w:val="18"/>
          <w:color w:val="auto"/>
        </w:rPr>
        <w:t>a. As of the date hereof, no Contributor has a binding obligation to dispose of any shares of Class B Common Stock received in exchange for Class B Units pursuant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09" w:name="page210"/>
    <w:bookmarkEnd w:id="209"/>
    <w:p>
      <w:pPr>
        <w:ind w:right="240" w:firstLine="1497"/>
        <w:spacing w:after="0" w:line="245" w:lineRule="auto"/>
        <w:rPr>
          <w:sz w:val="20"/>
          <w:szCs w:val="20"/>
          <w:color w:val="auto"/>
        </w:rPr>
      </w:pPr>
      <w:r>
        <w:rPr>
          <w:rFonts w:ascii="Times New Roman" w:cs="Times New Roman" w:eastAsia="Times New Roman" w:hAnsi="Times New Roman"/>
          <w:sz w:val="18"/>
          <w:szCs w:val="18"/>
          <w:color w:val="auto"/>
        </w:rPr>
        <w:t>b. The Contributors’ exchange of Class B Units for Class B Common Stock, taken together with the Company’s issuance of Class A Common Stock in the IPO and certain exchanges of Class A Common Units of Rani LLC for shares of Class A Common Stock in connection with the IPO, is intended to constitute a transaction described in Section 351 of the Code for U.S. federal income tax purposes. The Parties to this Agreement shall prepare all tax returns consistent with such intended tax treatment, unless otherwise required by applicable law.</w:t>
      </w:r>
    </w:p>
    <w:p>
      <w:pPr>
        <w:spacing w:after="0" w:line="181" w:lineRule="exact"/>
        <w:rPr>
          <w:sz w:val="20"/>
          <w:szCs w:val="20"/>
          <w:color w:val="auto"/>
        </w:rPr>
      </w:pPr>
    </w:p>
    <w:p>
      <w:pPr>
        <w:ind w:right="140" w:firstLine="1497"/>
        <w:spacing w:after="0" w:line="250" w:lineRule="auto"/>
        <w:rPr>
          <w:sz w:val="20"/>
          <w:szCs w:val="20"/>
          <w:color w:val="auto"/>
        </w:rPr>
      </w:pPr>
      <w:r>
        <w:rPr>
          <w:rFonts w:ascii="Times New Roman" w:cs="Times New Roman" w:eastAsia="Times New Roman" w:hAnsi="Times New Roman"/>
          <w:sz w:val="18"/>
          <w:szCs w:val="18"/>
          <w:color w:val="auto"/>
        </w:rPr>
        <w:t>c. Notwithstanding anything else in this Agreement, no Party to this Agreement is providing any representations or warranties as to the tax consequences of the transactions contemplated by this Agreement, and each Party is relying solely on its own tax advisors as to such tax consequences, including in the event of any Internal Revenue Service challenge to the intended tax treatment.</w:t>
      </w:r>
    </w:p>
    <w:p>
      <w:pPr>
        <w:spacing w:after="0" w:line="177" w:lineRule="exact"/>
        <w:rPr>
          <w:sz w:val="20"/>
          <w:szCs w:val="20"/>
          <w:color w:val="auto"/>
        </w:rPr>
      </w:pPr>
    </w:p>
    <w:p>
      <w:pPr>
        <w:ind w:right="60" w:firstLine="757"/>
        <w:spacing w:after="0"/>
        <w:tabs>
          <w:tab w:leader="none" w:pos="149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xml:space="preserve">. Notwithstanding any other provision in this Agreement, Company, Rani LLC and their agents and affiliates shall have the right to deduct and withhold taxes from any payments to be made pursuant to the transactions contemplated by this Agreement if, in their opinion, such withholding is required by law, and shall be provided with any necessary Tax forms, including Form W-9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or an appropriate Form W-8, and any similar information.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100" w:firstLine="1497"/>
        <w:spacing w:after="0" w:line="24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Entire Agreement; Amendment and Waiver</w:t>
      </w:r>
      <w:r>
        <w:rPr>
          <w:rFonts w:ascii="Times New Roman" w:cs="Times New Roman" w:eastAsia="Times New Roman" w:hAnsi="Times New Roman"/>
          <w:sz w:val="18"/>
          <w:szCs w:val="18"/>
          <w:color w:val="auto"/>
        </w:rPr>
        <w:t>. This Agreement, together with any agreements referenced herein, constitutes the full and entire understanding and agreement among the Parties with regard to the subject matter hereof. No Party shall be liable or bound to any third party in any manner with regard to the subject matter hereof by any warranties, representations or covenants except as specifically set forth herein. No amendment, supplement, modification, or waiver of this Agreement shall be binding unless executed in writing by all the Parties hereto. No waiver of any of the provisions of this Agreement shall be deemed or shall constitute a waiver of any other provision hereof (whether or not similar), nor shall such wavier constitute a continuing waiver unless expressly agreed to in writing by the affected party.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Governing Law. This Agreement shall be governed in all respects by the laws of the State of Delaware, without</w:t>
            </w: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7"/>
              </w:rPr>
              <w:t>regard to applicable principles of conflicts</w:t>
            </w:r>
          </w:p>
        </w:tc>
        <w:tc>
          <w:tcPr>
            <w:tcW w:w="1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of law.</w:t>
            </w:r>
          </w:p>
        </w:tc>
        <w:tc>
          <w:tcPr>
            <w:tcW w:w="260" w:type="dxa"/>
            <w:vAlign w:val="bottom"/>
          </w:tcPr>
          <w:p>
            <w:pPr>
              <w:spacing w:after="0"/>
              <w:rPr>
                <w:sz w:val="19"/>
                <w:szCs w:val="19"/>
                <w:color w:val="auto"/>
              </w:rPr>
            </w:pPr>
          </w:p>
        </w:tc>
        <w:tc>
          <w:tcPr>
            <w:tcW w:w="6780" w:type="dxa"/>
            <w:vAlign w:val="bottom"/>
          </w:tcPr>
          <w:p>
            <w:pPr>
              <w:spacing w:after="0"/>
              <w:rPr>
                <w:sz w:val="19"/>
                <w:szCs w:val="19"/>
                <w:color w:val="auto"/>
              </w:rPr>
            </w:pPr>
          </w:p>
        </w:tc>
      </w:tr>
      <w:tr>
        <w:trPr>
          <w:trHeight w:val="373"/>
        </w:trPr>
        <w:tc>
          <w:tcPr>
            <w:tcW w:w="3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Further Assurances. Each Party hereto agrees to execute and deliver all such other and additional instruments and</w:t>
            </w: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documents and do all such other acts and</w:t>
            </w:r>
          </w:p>
        </w:tc>
        <w:tc>
          <w:tcPr>
            <w:tcW w:w="13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things as may be</w:t>
            </w: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necessary to more fully effectuate this Agreement.</w:t>
            </w:r>
          </w:p>
        </w:tc>
      </w:tr>
      <w:tr>
        <w:trPr>
          <w:trHeight w:val="373"/>
        </w:trPr>
        <w:tc>
          <w:tcPr>
            <w:tcW w:w="3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(d)</w:t>
            </w: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Severability. If any provision of this Agreement becomes or is declared by a court of competent jurisdiction to be</w:t>
            </w:r>
          </w:p>
        </w:tc>
      </w:tr>
      <w:tr>
        <w:trPr>
          <w:trHeight w:val="20"/>
        </w:trPr>
        <w:tc>
          <w:tcPr>
            <w:tcW w:w="30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r>
    </w:tbl>
    <w:p>
      <w:pPr>
        <w:ind w:right="140"/>
        <w:spacing w:after="0" w:line="243" w:lineRule="auto"/>
        <w:rPr>
          <w:sz w:val="20"/>
          <w:szCs w:val="20"/>
          <w:color w:val="auto"/>
        </w:rPr>
      </w:pPr>
      <w:r>
        <w:rPr>
          <w:rFonts w:ascii="Times New Roman" w:cs="Times New Roman" w:eastAsia="Times New Roman" w:hAnsi="Times New Roman"/>
          <w:sz w:val="18"/>
          <w:szCs w:val="18"/>
          <w:color w:val="auto"/>
        </w:rPr>
        <w:t>illegal, unenforceable or 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83" w:lineRule="exact"/>
        <w:rPr>
          <w:sz w:val="20"/>
          <w:szCs w:val="20"/>
          <w:color w:val="auto"/>
        </w:rPr>
      </w:pPr>
    </w:p>
    <w:p>
      <w:pPr>
        <w:ind w:right="80" w:firstLine="1497"/>
        <w:spacing w:after="0" w:line="250"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w:t>
            </w:r>
          </w:p>
        </w:tc>
        <w:tc>
          <w:tcPr>
            <w:tcW w:w="660" w:type="dxa"/>
            <w:vAlign w:val="bottom"/>
          </w:tcPr>
          <w:p>
            <w:pPr>
              <w:spacing w:after="0"/>
              <w:rPr>
                <w:sz w:val="18"/>
                <w:szCs w:val="18"/>
                <w:color w:val="auto"/>
              </w:rPr>
            </w:pPr>
          </w:p>
        </w:tc>
        <w:tc>
          <w:tcPr>
            <w:tcW w:w="8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9"/>
              </w:rPr>
              <w:t>Assignment. This Agreement shall be binding upon each of the Parties hereto and their successors and assigns.</w:t>
            </w:r>
          </w:p>
        </w:tc>
      </w:tr>
      <w:tr>
        <w:trPr>
          <w:trHeight w:val="439"/>
        </w:trPr>
        <w:tc>
          <w:tcPr>
            <w:tcW w:w="2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38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101"/>
        </w:trPr>
        <w:tc>
          <w:tcPr>
            <w:tcW w:w="23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3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0" w:name="page211"/>
    <w:bookmarkEnd w:id="210"/>
    <w:p>
      <w:pPr>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agrees to execute and deliver, by the proper exercise of its corporate, limited liability company, partnership or other powers, all such other and additional instruments and documents and do all such other acts and things as may be necessary to more fully effectuate this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92" w:lineRule="exact"/>
        <w:rPr>
          <w:sz w:val="20"/>
          <w:szCs w:val="20"/>
          <w:color w:val="auto"/>
        </w:rPr>
      </w:pPr>
    </w:p>
    <w:tbl>
      <w:tblPr>
        <w:tblLayout w:type="fixed"/>
        <w:tblInd w:w="4660" w:type="dxa"/>
        <w:tblCellMar>
          <w:top w:w="0" w:type="dxa"/>
          <w:left w:w="0" w:type="dxa"/>
          <w:bottom w:w="0" w:type="dxa"/>
          <w:right w:w="0" w:type="dxa"/>
        </w:tblCellMar>
      </w:tblPr>
      <w:tr>
        <w:trPr>
          <w:trHeight w:val="22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Talat Imran</w:t>
            </w:r>
          </w:p>
        </w:tc>
      </w:tr>
      <w:tr>
        <w:trPr>
          <w:trHeight w:val="191"/>
        </w:trPr>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Talat Imran</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39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536" w:right="3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tbl>
      <w:tblPr>
        <w:tblLayout w:type="fixed"/>
        <w:tblInd w:w="4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CONTRIBUTOR:</w:t>
            </w:r>
          </w:p>
        </w:tc>
      </w:tr>
      <w:tr>
        <w:trPr>
          <w:trHeight w:val="41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NDREW</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ARQUHARSON</w:t>
            </w:r>
          </w:p>
        </w:tc>
      </w:tr>
      <w:tr>
        <w:trPr>
          <w:trHeight w:val="607"/>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Farquharson</w:t>
            </w: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39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780" w:type="dxa"/>
            <w:vAlign w:val="bottom"/>
            <w:tcBorders>
              <w:bottom w:val="single" w:sz="8" w:color="auto"/>
            </w:tcBorders>
          </w:tcPr>
          <w:p>
            <w:pPr>
              <w:spacing w:after="0"/>
              <w:rPr>
                <w:sz w:val="24"/>
                <w:szCs w:val="24"/>
                <w:color w:val="auto"/>
              </w:rPr>
            </w:pPr>
          </w:p>
        </w:tc>
      </w:tr>
      <w:tr>
        <w:trPr>
          <w:trHeight w:val="209"/>
        </w:trPr>
        <w:tc>
          <w:tcPr>
            <w:tcW w:w="1020" w:type="dxa"/>
            <w:vAlign w:val="bottom"/>
            <w:gridSpan w:val="2"/>
          </w:tcPr>
          <w:p>
            <w:pPr>
              <w:spacing w:after="0"/>
              <w:rPr>
                <w:sz w:val="18"/>
                <w:szCs w:val="18"/>
                <w:color w:val="auto"/>
              </w:rPr>
            </w:pPr>
          </w:p>
        </w:tc>
        <w:tc>
          <w:tcPr>
            <w:tcW w:w="47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w:t>
            </w:r>
          </w:p>
        </w:tc>
        <w:tc>
          <w:tcPr>
            <w:tcW w:w="4780" w:type="dxa"/>
            <w:vAlign w:val="bottom"/>
            <w:tcBorders>
              <w:top w:val="single" w:sz="8" w:color="auto"/>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IR</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ASHIM</w:t>
            </w:r>
          </w:p>
        </w:tc>
      </w:tr>
      <w:tr>
        <w:trPr>
          <w:trHeight w:val="236"/>
        </w:trPr>
        <w:tc>
          <w:tcPr>
            <w:tcW w:w="94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r>
      <w:tr>
        <w:trPr>
          <w:trHeight w:val="40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Mir Hashim</w:t>
            </w:r>
          </w:p>
        </w:tc>
      </w:tr>
      <w:tr>
        <w:trPr>
          <w:trHeight w:val="230"/>
        </w:trPr>
        <w:tc>
          <w:tcPr>
            <w:tcW w:w="9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39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09"/>
        </w:trPr>
        <w:tc>
          <w:tcPr>
            <w:tcW w:w="9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r>
        <w:trPr>
          <w:trHeight w:val="42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7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INCUBE LABS, LLC</w:t>
      </w:r>
    </w:p>
    <w:p>
      <w:pPr>
        <w:spacing w:after="0" w:line="346"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 Mir Imran</w:t>
            </w:r>
          </w:p>
        </w:tc>
      </w:tr>
      <w:tr>
        <w:trPr>
          <w:trHeight w:val="189"/>
        </w:trPr>
        <w:tc>
          <w:tcPr>
            <w:tcW w:w="900" w:type="dxa"/>
            <w:vAlign w:val="bottom"/>
          </w:tcPr>
          <w:p>
            <w:pPr>
              <w:spacing w:after="0"/>
              <w:rPr>
                <w:sz w:val="16"/>
                <w:szCs w:val="16"/>
                <w:color w:val="auto"/>
              </w:rPr>
            </w:pPr>
          </w:p>
        </w:tc>
        <w:tc>
          <w:tcPr>
            <w:tcW w:w="49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 Mir Imran</w:t>
            </w:r>
          </w:p>
        </w:tc>
      </w:tr>
      <w:tr>
        <w:trPr>
          <w:trHeight w:val="234"/>
        </w:trPr>
        <w:tc>
          <w:tcPr>
            <w:tcW w:w="9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3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4900" w:type="dxa"/>
            <w:vAlign w:val="bottom"/>
            <w:tcBorders>
              <w:bottom w:val="single" w:sz="8" w:color="auto"/>
            </w:tcBorders>
          </w:tcPr>
          <w:p>
            <w:pPr>
              <w:spacing w:after="0"/>
              <w:rPr>
                <w:sz w:val="24"/>
                <w:szCs w:val="24"/>
                <w:color w:val="auto"/>
              </w:rPr>
            </w:pPr>
          </w:p>
        </w:tc>
      </w:tr>
      <w:tr>
        <w:trPr>
          <w:trHeight w:val="385"/>
        </w:trPr>
        <w:tc>
          <w:tcPr>
            <w:tcW w:w="9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9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IV</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 A.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Stephan A. Stein</w:t>
      </w:r>
    </w:p>
    <w:p>
      <w:pPr>
        <w:ind w:left="5560"/>
        <w:spacing w:after="0"/>
        <w:rPr>
          <w:sz w:val="20"/>
          <w:szCs w:val="20"/>
          <w:color w:val="auto"/>
        </w:rPr>
      </w:pPr>
      <w:r>
        <w:rPr>
          <w:rFonts w:ascii="Times New Roman" w:cs="Times New Roman" w:eastAsia="Times New Roman" w:hAnsi="Times New Roman"/>
          <w:sz w:val="18"/>
          <w:szCs w:val="18"/>
          <w:color w:val="auto"/>
        </w:rPr>
        <w:t>Title: Member</w:t>
      </w:r>
    </w:p>
    <w:p>
      <w:pPr>
        <w:spacing w:after="0" w:line="17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III</w:t>
      </w:r>
    </w:p>
    <w:p>
      <w:pPr>
        <w:spacing w:after="0" w:line="200" w:lineRule="exact"/>
        <w:rPr>
          <w:sz w:val="20"/>
          <w:szCs w:val="20"/>
          <w:color w:val="auto"/>
        </w:rPr>
      </w:pPr>
    </w:p>
    <w:p>
      <w:pPr>
        <w:spacing w:after="0" w:line="205" w:lineRule="exact"/>
        <w:rPr>
          <w:sz w:val="20"/>
          <w:szCs w:val="20"/>
          <w:color w:val="auto"/>
        </w:rPr>
      </w:pPr>
    </w:p>
    <w:tbl>
      <w:tblPr>
        <w:tblLayout w:type="fixed"/>
        <w:tblInd w:w="4660" w:type="dxa"/>
        <w:tblCellMar>
          <w:top w:w="0" w:type="dxa"/>
          <w:left w:w="0" w:type="dxa"/>
          <w:bottom w:w="0" w:type="dxa"/>
          <w:right w:w="0" w:type="dxa"/>
        </w:tblCellMar>
      </w:tblPr>
      <w:tr>
        <w:trPr>
          <w:trHeight w:val="22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900" w:type="dxa"/>
            <w:vAlign w:val="bottom"/>
          </w:tcPr>
          <w:p>
            <w:pPr>
              <w:spacing w:after="0"/>
              <w:rPr>
                <w:sz w:val="15"/>
                <w:szCs w:val="15"/>
                <w:color w:val="auto"/>
              </w:rPr>
            </w:pPr>
          </w:p>
        </w:tc>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0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BUTTONWOOD ALPHA FUND LLC</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900" w:type="dxa"/>
            <w:vAlign w:val="bottom"/>
          </w:tcPr>
          <w:p>
            <w:pPr>
              <w:spacing w:after="0"/>
              <w:rPr>
                <w:sz w:val="15"/>
                <w:szCs w:val="15"/>
                <w:color w:val="auto"/>
              </w:rPr>
            </w:pPr>
          </w:p>
        </w:tc>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40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BUTTONWOOD ALPHA QP FUND LLC</w:t>
            </w: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900" w:type="dxa"/>
            <w:vAlign w:val="bottom"/>
          </w:tcPr>
          <w:p>
            <w:pPr>
              <w:spacing w:after="0"/>
              <w:rPr>
                <w:sz w:val="15"/>
                <w:szCs w:val="15"/>
                <w:color w:val="auto"/>
              </w:rPr>
            </w:pPr>
          </w:p>
        </w:tc>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0"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GV 2013, L.P.</w:t>
      </w:r>
    </w:p>
    <w:p>
      <w:pPr>
        <w:spacing w:after="0" w:line="198"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GV 2013 GP, L.L.C.,</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59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78"/>
        </w:trPr>
        <w:tc>
          <w:tcPr>
            <w:tcW w:w="900" w:type="dxa"/>
            <w:vAlign w:val="bottom"/>
          </w:tcPr>
          <w:p>
            <w:pPr>
              <w:spacing w:after="0"/>
              <w:rPr>
                <w:sz w:val="15"/>
                <w:szCs w:val="15"/>
                <w:color w:val="auto"/>
              </w:rPr>
            </w:pPr>
          </w:p>
        </w:tc>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Inga Goldbard</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0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GV 2015, L.P.</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GV 2015 GP, L.L.C.</w:t>
            </w:r>
          </w:p>
        </w:tc>
      </w:tr>
      <w:tr>
        <w:trPr>
          <w:trHeight w:val="203"/>
        </w:trPr>
        <w:tc>
          <w:tcPr>
            <w:tcW w:w="9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Its:</w:t>
            </w:r>
          </w:p>
        </w:tc>
        <w:tc>
          <w:tcPr>
            <w:tcW w:w="49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General Partner</w:t>
            </w:r>
          </w:p>
        </w:tc>
      </w:tr>
      <w:tr>
        <w:trPr>
          <w:trHeight w:val="22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78"/>
        </w:trPr>
        <w:tc>
          <w:tcPr>
            <w:tcW w:w="900" w:type="dxa"/>
            <w:vAlign w:val="bottom"/>
          </w:tcPr>
          <w:p>
            <w:pPr>
              <w:spacing w:after="0"/>
              <w:rPr>
                <w:sz w:val="15"/>
                <w:szCs w:val="15"/>
                <w:color w:val="auto"/>
              </w:rPr>
            </w:pPr>
          </w:p>
        </w:tc>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Inga Goldbard</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405"/>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GV 2017, L.P.</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GV 2017 GP, L.P., its General Partner</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GV 2017 GP, L.L.C., its General Partner</w:t>
            </w:r>
          </w:p>
        </w:tc>
      </w:tr>
      <w:tr>
        <w:trPr>
          <w:trHeight w:val="39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Inga Goldbard</w:t>
            </w:r>
          </w:p>
        </w:tc>
      </w:tr>
      <w:tr>
        <w:trPr>
          <w:trHeight w:val="178"/>
        </w:trPr>
        <w:tc>
          <w:tcPr>
            <w:tcW w:w="900" w:type="dxa"/>
            <w:vAlign w:val="bottom"/>
          </w:tcPr>
          <w:p>
            <w:pPr>
              <w:spacing w:after="0"/>
              <w:rPr>
                <w:sz w:val="15"/>
                <w:szCs w:val="15"/>
                <w:color w:val="auto"/>
              </w:rPr>
            </w:pPr>
          </w:p>
        </w:tc>
        <w:tc>
          <w:tcPr>
            <w:tcW w:w="4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Inga Goldbard</w:t>
            </w:r>
          </w:p>
        </w:tc>
      </w:tr>
      <w:tr>
        <w:trPr>
          <w:trHeight w:val="234"/>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bl>
    <w:p>
      <w:pPr>
        <w:spacing w:after="0" w:line="200" w:lineRule="exact"/>
        <w:rPr>
          <w:sz w:val="20"/>
          <w:szCs w:val="20"/>
          <w:color w:val="auto"/>
        </w:rPr>
      </w:pPr>
    </w:p>
    <w:p>
      <w:pPr>
        <w:spacing w:after="0" w:line="38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7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0"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ER IN VESTMENT GROUP 1 LLC</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Elie 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Elie Rieder</w:t>
      </w:r>
    </w:p>
    <w:p>
      <w:pPr>
        <w:ind w:left="55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7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ERS I NVESTMENTS LLC</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Elie 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Elie Rieder</w:t>
      </w:r>
    </w:p>
    <w:p>
      <w:pPr>
        <w:ind w:left="55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522"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8"/>
          <w:szCs w:val="18"/>
          <w:b w:val="1"/>
          <w:bCs w:val="1"/>
          <w:color w:val="auto"/>
        </w:rPr>
        <w:t>ALPHA SUGARCOAT INVESTMENT LLC</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Renee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Renee Li</w:t>
      </w:r>
    </w:p>
    <w:p>
      <w:pPr>
        <w:ind w:left="55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7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INCUBE VENTURES II, L.P.</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Andrew Farquharson</w:t>
      </w:r>
    </w:p>
    <w:p>
      <w:pPr>
        <w:ind w:left="55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MEDIMMUNE, LLC</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David E. White</w:t>
      </w:r>
    </w:p>
    <w:p>
      <w:pPr>
        <w:ind w:left="556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522" w:right="1440"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NOVARTIS PHARMACEUTICALS CORPORATION</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Ceulemans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Marc Ceulemans</w:t>
      </w:r>
    </w:p>
    <w:p>
      <w:pPr>
        <w:ind w:left="5560"/>
        <w:spacing w:after="0"/>
        <w:rPr>
          <w:sz w:val="20"/>
          <w:szCs w:val="20"/>
          <w:color w:val="auto"/>
        </w:rPr>
      </w:pPr>
      <w:r>
        <w:rPr>
          <w:rFonts w:ascii="Times New Roman" w:cs="Times New Roman" w:eastAsia="Times New Roman" w:hAnsi="Times New Roman"/>
          <w:sz w:val="17"/>
          <w:szCs w:val="17"/>
          <w:color w:val="auto"/>
        </w:rPr>
        <w:t>Title: Head Strategic Venture Fund &amp; Pharma Equities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00"/>
          </w:cols>
          <w:pgMar w:left="1080" w:top="320" w:right="131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DAVID PYOTT LIVING TRUST</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David Pyott</w:t>
      </w:r>
    </w:p>
    <w:p>
      <w:pPr>
        <w:ind w:left="5560"/>
        <w:spacing w:after="0"/>
        <w:rPr>
          <w:sz w:val="20"/>
          <w:szCs w:val="20"/>
          <w:color w:val="auto"/>
        </w:rPr>
      </w:pPr>
      <w:r>
        <w:rPr>
          <w:rFonts w:ascii="Times New Roman" w:cs="Times New Roman" w:eastAsia="Times New Roman" w:hAnsi="Times New Roman"/>
          <w:sz w:val="18"/>
          <w:szCs w:val="18"/>
          <w:color w:val="auto"/>
        </w:rPr>
        <w:t>Title: Trustee</w:t>
      </w:r>
    </w:p>
    <w:p>
      <w:pPr>
        <w:spacing w:after="0" w:line="200" w:lineRule="exact"/>
        <w:rPr>
          <w:sz w:val="20"/>
          <w:szCs w:val="20"/>
          <w:color w:val="auto"/>
        </w:rPr>
      </w:pPr>
    </w:p>
    <w:p>
      <w:pPr>
        <w:spacing w:after="0" w:line="39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-127635</wp:posOffset>
            </wp:positionV>
            <wp:extent cx="37033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RANI INVESTMENT CORP.</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Andrew Farquharson</w:t>
      </w:r>
    </w:p>
    <w:p>
      <w:pPr>
        <w:ind w:left="55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-7620</wp:posOffset>
            </wp:positionV>
            <wp:extent cx="31115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137160</wp:posOffset>
            </wp:positionV>
            <wp:extent cx="368617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-7620</wp:posOffset>
            </wp:positionV>
            <wp:extent cx="31115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9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19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TAKEDA VENTURES, INC.</w:t>
      </w:r>
    </w:p>
    <w:p>
      <w:pPr>
        <w:spacing w:after="0" w:line="200" w:lineRule="exact"/>
        <w:rPr>
          <w:sz w:val="20"/>
          <w:szCs w:val="20"/>
          <w:color w:val="auto"/>
        </w:rPr>
      </w:pPr>
    </w:p>
    <w:p>
      <w:pPr>
        <w:spacing w:after="0" w:line="205"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8890</wp:posOffset>
            </wp:positionV>
            <wp:extent cx="312864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Michael Martin</w:t>
      </w:r>
    </w:p>
    <w:p>
      <w:pPr>
        <w:ind w:left="5560"/>
        <w:spacing w:after="0"/>
        <w:rPr>
          <w:sz w:val="20"/>
          <w:szCs w:val="20"/>
          <w:color w:val="auto"/>
        </w:rPr>
      </w:pPr>
      <w:r>
        <w:rPr>
          <w:rFonts w:ascii="Times New Roman" w:cs="Times New Roman" w:eastAsia="Times New Roman" w:hAnsi="Times New Roman"/>
          <w:sz w:val="17"/>
          <w:szCs w:val="17"/>
          <w:color w:val="auto"/>
        </w:rPr>
        <w:t>Title: President, Takeda Ventures, Inc.</w:t>
      </w:r>
    </w:p>
    <w:p>
      <w:pPr>
        <w:spacing w:after="0" w:line="2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-7620</wp:posOffset>
            </wp:positionV>
            <wp:extent cx="31115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1">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137160</wp:posOffset>
            </wp:positionV>
            <wp:extent cx="368617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2">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-7620</wp:posOffset>
            </wp:positionV>
            <wp:extent cx="31115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3">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ELYA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tc>
      </w:tr>
      <w:tr>
        <w:trPr>
          <w:trHeight w:val="236"/>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r>
      <w:tr>
        <w:trPr>
          <w:trHeight w:val="405"/>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Aelya Imran</w:t>
            </w: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10"/>
        </w:trPr>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Borders>
              <w:top w:val="single" w:sz="8" w:color="auto"/>
            </w:tcBorders>
          </w:tcPr>
          <w:p>
            <w:pPr>
              <w:spacing w:after="0"/>
              <w:rPr>
                <w:sz w:val="19"/>
                <w:szCs w:val="19"/>
                <w:color w:val="auto"/>
              </w:rPr>
            </w:pPr>
          </w:p>
        </w:tc>
        <w:tc>
          <w:tcPr>
            <w:tcW w:w="4840" w:type="dxa"/>
            <w:vAlign w:val="bottom"/>
            <w:tcBorders>
              <w:top w:val="single" w:sz="8" w:color="auto"/>
            </w:tcBorders>
          </w:tcPr>
          <w:p>
            <w:pPr>
              <w:spacing w:after="0"/>
              <w:rPr>
                <w:sz w:val="19"/>
                <w:szCs w:val="19"/>
                <w:color w:val="auto"/>
              </w:rPr>
            </w:pPr>
          </w:p>
        </w:tc>
      </w:tr>
    </w:tbl>
    <w:p>
      <w:pPr>
        <w:spacing w:after="0" w:line="200" w:lineRule="exact"/>
        <w:rPr>
          <w:sz w:val="20"/>
          <w:szCs w:val="20"/>
          <w:color w:val="auto"/>
        </w:rPr>
      </w:pPr>
    </w:p>
    <w:p>
      <w:pPr>
        <w:spacing w:after="0" w:line="38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ALAT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7">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9">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MINA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Amina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6">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7">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522" w:right="1440"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ANAH</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Sanah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8890</wp:posOffset>
            </wp:positionV>
            <wp:extent cx="310324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8890</wp:posOffset>
            </wp:positionV>
            <wp:extent cx="310324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8890</wp:posOffset>
            </wp:positionV>
            <wp:extent cx="310324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3">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4">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8890</wp:posOffset>
            </wp:positionV>
            <wp:extent cx="31115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HAYLA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Shayla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0">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1">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AULIK</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ANAVATY</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Maulik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7">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BBAS</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2"/>
          <w:szCs w:val="12"/>
          <w:b w:val="1"/>
          <w:bCs w:val="1"/>
          <w:color w:val="auto"/>
        </w:rPr>
        <w:t>HORSAND</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Abbas Khorsand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4">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6">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2"/>
                <w:szCs w:val="12"/>
                <w:b w:val="1"/>
                <w:bCs w:val="1"/>
                <w:color w:val="auto"/>
              </w:rPr>
              <w:t>UHUA</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IU</w:t>
            </w:r>
          </w:p>
        </w:tc>
      </w:tr>
      <w:tr>
        <w:trPr>
          <w:trHeight w:val="236"/>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r>
      <w:tr>
        <w:trPr>
          <w:trHeight w:val="405"/>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Yuhua Liu</w:t>
            </w: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09"/>
        </w:trPr>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Borders>
              <w:top w:val="single" w:sz="8" w:color="auto"/>
            </w:tcBorders>
          </w:tcPr>
          <w:p>
            <w:pPr>
              <w:spacing w:after="0"/>
              <w:rPr>
                <w:sz w:val="18"/>
                <w:szCs w:val="18"/>
                <w:color w:val="auto"/>
              </w:rPr>
            </w:pPr>
          </w:p>
        </w:tc>
        <w:tc>
          <w:tcPr>
            <w:tcW w:w="4840" w:type="dxa"/>
            <w:vAlign w:val="bottom"/>
            <w:tcBorders>
              <w:top w:val="single" w:sz="8" w:color="auto"/>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OSS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ASON</w:t>
            </w:r>
          </w:p>
        </w:tc>
      </w:tr>
      <w:tr>
        <w:trPr>
          <w:trHeight w:val="236"/>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r>
      <w:tr>
        <w:trPr>
          <w:trHeight w:val="40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Ross Mason</w:t>
            </w: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81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09"/>
        </w:trPr>
        <w:tc>
          <w:tcPr>
            <w:tcW w:w="9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840" w:type="dxa"/>
            <w:vAlign w:val="bottom"/>
            <w:tcBorders>
              <w:top w:val="single" w:sz="8" w:color="auto"/>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HANG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NG</w:t>
            </w:r>
          </w:p>
        </w:tc>
      </w:tr>
      <w:tr>
        <w:trPr>
          <w:trHeight w:val="236"/>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r>
      <w:tr>
        <w:trPr>
          <w:trHeight w:val="405"/>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Chang Ong</w:t>
            </w: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09"/>
        </w:trPr>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Borders>
              <w:top w:val="single" w:sz="8" w:color="auto"/>
            </w:tcBorders>
          </w:tcPr>
          <w:p>
            <w:pPr>
              <w:spacing w:after="0"/>
              <w:rPr>
                <w:sz w:val="18"/>
                <w:szCs w:val="18"/>
                <w:color w:val="auto"/>
              </w:rPr>
            </w:pPr>
          </w:p>
        </w:tc>
        <w:tc>
          <w:tcPr>
            <w:tcW w:w="4840" w:type="dxa"/>
            <w:vAlign w:val="bottom"/>
            <w:tcBorders>
              <w:top w:val="single" w:sz="8" w:color="auto"/>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HRISTINE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HAN</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Christine 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4">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5">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6">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4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BIDA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YED</w:t>
            </w:r>
          </w:p>
        </w:tc>
        <w:tc>
          <w:tcPr>
            <w:tcW w:w="20" w:type="dxa"/>
            <w:vAlign w:val="bottom"/>
          </w:tcPr>
          <w:p>
            <w:pPr>
              <w:spacing w:after="0"/>
              <w:rPr>
                <w:sz w:val="17"/>
                <w:szCs w:val="17"/>
                <w:color w:val="auto"/>
              </w:rPr>
            </w:pPr>
          </w:p>
        </w:tc>
      </w:tr>
      <w:tr>
        <w:trPr>
          <w:trHeight w:val="236"/>
        </w:trPr>
        <w:tc>
          <w:tcPr>
            <w:tcW w:w="96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c>
          <w:tcPr>
            <w:tcW w:w="20" w:type="dxa"/>
            <w:vAlign w:val="bottom"/>
          </w:tcPr>
          <w:p>
            <w:pPr>
              <w:spacing w:after="0"/>
              <w:rPr>
                <w:sz w:val="20"/>
                <w:szCs w:val="20"/>
                <w:color w:val="auto"/>
              </w:rPr>
            </w:pPr>
          </w:p>
        </w:tc>
      </w:tr>
      <w:tr>
        <w:trPr>
          <w:trHeight w:val="405"/>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Abida Syed</w:t>
            </w:r>
          </w:p>
        </w:tc>
        <w:tc>
          <w:tcPr>
            <w:tcW w:w="20" w:type="dxa"/>
            <w:vAlign w:val="bottom"/>
          </w:tcPr>
          <w:p>
            <w:pPr>
              <w:spacing w:after="0"/>
              <w:rPr>
                <w:sz w:val="24"/>
                <w:szCs w:val="24"/>
                <w:color w:val="auto"/>
              </w:rPr>
            </w:pPr>
          </w:p>
        </w:tc>
      </w:tr>
      <w:tr>
        <w:trPr>
          <w:trHeight w:val="230"/>
        </w:trPr>
        <w:tc>
          <w:tcPr>
            <w:tcW w:w="96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c>
          <w:tcPr>
            <w:tcW w:w="20" w:type="dxa"/>
            <w:vAlign w:val="bottom"/>
          </w:tcPr>
          <w:p>
            <w:pPr>
              <w:spacing w:after="0"/>
              <w:rPr>
                <w:sz w:val="19"/>
                <w:szCs w:val="19"/>
                <w:color w:val="auto"/>
              </w:rPr>
            </w:pPr>
          </w:p>
        </w:tc>
      </w:tr>
      <w:tr>
        <w:trPr>
          <w:trHeight w:val="39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c>
          <w:tcPr>
            <w:tcW w:w="20" w:type="dxa"/>
            <w:vAlign w:val="bottom"/>
          </w:tcPr>
          <w:p>
            <w:pPr>
              <w:spacing w:after="0"/>
              <w:rPr>
                <w:sz w:val="19"/>
                <w:szCs w:val="19"/>
                <w:color w:val="auto"/>
              </w:rPr>
            </w:pPr>
          </w:p>
        </w:tc>
      </w:tr>
      <w:tr>
        <w:trPr>
          <w:trHeight w:val="39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c>
          <w:tcPr>
            <w:tcW w:w="20" w:type="dxa"/>
            <w:vAlign w:val="bottom"/>
          </w:tcPr>
          <w:p>
            <w:pPr>
              <w:spacing w:after="0"/>
              <w:rPr>
                <w:sz w:val="19"/>
                <w:szCs w:val="19"/>
                <w:color w:val="auto"/>
              </w:rPr>
            </w:pPr>
          </w:p>
        </w:tc>
      </w:tr>
      <w:tr>
        <w:trPr>
          <w:trHeight w:val="39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6"/>
        </w:trPr>
        <w:tc>
          <w:tcPr>
            <w:tcW w:w="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Email:</w:t>
            </w:r>
          </w:p>
        </w:tc>
        <w:tc>
          <w:tcPr>
            <w:tcW w:w="20" w:type="dxa"/>
            <w:vAlign w:val="bottom"/>
          </w:tcPr>
          <w:p>
            <w:pPr>
              <w:spacing w:after="0"/>
              <w:rPr>
                <w:sz w:val="17"/>
                <w:szCs w:val="17"/>
                <w:color w:val="auto"/>
              </w:rPr>
            </w:pPr>
          </w:p>
        </w:tc>
        <w:tc>
          <w:tcPr>
            <w:tcW w:w="4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0"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OHAIL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YED</w:t>
            </w:r>
          </w:p>
        </w:tc>
      </w:tr>
      <w:tr>
        <w:trPr>
          <w:trHeight w:val="236"/>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r>
      <w:tr>
        <w:trPr>
          <w:trHeight w:val="405"/>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Sohail Syed</w:t>
            </w: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09"/>
        </w:trPr>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Borders>
              <w:top w:val="single" w:sz="8" w:color="auto"/>
            </w:tcBorders>
          </w:tcPr>
          <w:p>
            <w:pPr>
              <w:spacing w:after="0"/>
              <w:rPr>
                <w:sz w:val="18"/>
                <w:szCs w:val="18"/>
                <w:color w:val="auto"/>
              </w:rPr>
            </w:pPr>
          </w:p>
        </w:tc>
        <w:tc>
          <w:tcPr>
            <w:tcW w:w="4840" w:type="dxa"/>
            <w:vAlign w:val="bottom"/>
            <w:tcBorders>
              <w:top w:val="single" w:sz="8" w:color="auto"/>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1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RTHUR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w:t>
      </w:r>
    </w:p>
    <w:p>
      <w:pPr>
        <w:spacing w:after="0" w:line="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party name)</w:t>
      </w:r>
    </w:p>
    <w:p>
      <w:pPr>
        <w:spacing w:after="0" w:line="192" w:lineRule="exact"/>
        <w:rPr>
          <w:sz w:val="20"/>
          <w:szCs w:val="20"/>
          <w:color w:val="auto"/>
        </w:rPr>
      </w:pPr>
    </w:p>
    <w:p>
      <w:pPr>
        <w:ind w:left="466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2">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3">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154305</wp:posOffset>
            </wp:positionV>
            <wp:extent cx="368617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4">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23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8890</wp:posOffset>
            </wp:positionV>
            <wp:extent cx="308610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20" w:right="1440"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Parties have executed this Exchange Agreement as of the date first written above.</w:t>
      </w:r>
    </w:p>
    <w:p>
      <w:pPr>
        <w:spacing w:after="0" w:line="2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CONTRIBUTOR:</w:t>
      </w:r>
    </w:p>
    <w:p>
      <w:pPr>
        <w:spacing w:after="0" w:line="209" w:lineRule="exact"/>
        <w:rPr>
          <w:sz w:val="20"/>
          <w:szCs w:val="20"/>
          <w:color w:val="auto"/>
        </w:rPr>
      </w:pPr>
    </w:p>
    <w:tbl>
      <w:tblPr>
        <w:tblLayout w:type="fixed"/>
        <w:tblInd w:w="466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ARY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ANG</w:t>
            </w:r>
          </w:p>
        </w:tc>
      </w:tr>
      <w:tr>
        <w:trPr>
          <w:trHeight w:val="236"/>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(Print party name)</w:t>
            </w:r>
          </w:p>
        </w:tc>
      </w:tr>
      <w:tr>
        <w:trPr>
          <w:trHeight w:val="405"/>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Gary Dang</w:t>
            </w: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(Signature)</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name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(Print title of signatory, if signing for an entity)</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w:t>
            </w: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209"/>
        </w:trPr>
        <w:tc>
          <w:tcPr>
            <w:tcW w:w="9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Borders>
              <w:top w:val="single" w:sz="8" w:color="auto"/>
            </w:tcBorders>
          </w:tcPr>
          <w:p>
            <w:pPr>
              <w:spacing w:after="0"/>
              <w:rPr>
                <w:sz w:val="18"/>
                <w:szCs w:val="18"/>
                <w:color w:val="auto"/>
              </w:rPr>
            </w:pPr>
          </w:p>
        </w:tc>
        <w:tc>
          <w:tcPr>
            <w:tcW w:w="4840" w:type="dxa"/>
            <w:vAlign w:val="bottom"/>
            <w:tcBorders>
              <w:top w:val="single" w:sz="8" w:color="auto"/>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IGNATURE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320" w:right="359"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CHEDULE</w:t>
      </w:r>
      <w:r>
        <w:rPr>
          <w:rFonts w:ascii="Times New Roman" w:cs="Times New Roman" w:eastAsia="Times New Roman" w:hAnsi="Times New Roman"/>
          <w:sz w:val="18"/>
          <w:szCs w:val="18"/>
          <w:b w:val="1"/>
          <w:bCs w:val="1"/>
          <w:color w:val="auto"/>
        </w:rPr>
        <w:t xml:space="preserve"> 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ONTRIBUTORS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990600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241" w:name="page242"/>
    <w:bookmarkEnd w:id="241"/>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 xml:space="preserve"> W-9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330200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RANI THERAPEUTICS HOLDINGS, INC.</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THE “INVESTORS”</w:t>
      </w:r>
    </w:p>
    <w:p>
      <w:pPr>
        <w:spacing w:after="0" w:line="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as defined herein,</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August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0" w:right="3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72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5"/>
        </w:trPr>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49"/>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1.</w:t>
            </w:r>
          </w:p>
        </w:tc>
        <w:tc>
          <w:tcPr>
            <w:tcW w:w="8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3"/>
        </w:trPr>
        <w:tc>
          <w:tcPr>
            <w:tcW w:w="3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2.</w:t>
            </w:r>
          </w:p>
        </w:tc>
        <w:tc>
          <w:tcPr>
            <w:tcW w:w="85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REGISTRATION RIGHTS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Demand Registration.</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Shelf Take-Downs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Company Registration</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Underwriting Requirements.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2.5</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Obligations of the Company</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Furnish Information</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2.7</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Expenses of Registration</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2.8</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Delay of Registration</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Indemnification</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2.10</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Reports Under Exchange Act</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r>
      <w:tr>
        <w:trPr>
          <w:trHeight w:val="180"/>
        </w:trPr>
        <w:tc>
          <w:tcPr>
            <w:tcW w:w="300" w:type="dxa"/>
            <w:vAlign w:val="bottom"/>
          </w:tcPr>
          <w:p>
            <w:pPr>
              <w:spacing w:after="0"/>
              <w:rPr>
                <w:sz w:val="15"/>
                <w:szCs w:val="15"/>
                <w:color w:val="auto"/>
              </w:rPr>
            </w:pPr>
          </w:p>
        </w:tc>
        <w:tc>
          <w:tcPr>
            <w:tcW w:w="78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2.11</w:t>
            </w:r>
          </w:p>
        </w:tc>
        <w:tc>
          <w:tcPr>
            <w:tcW w:w="772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Limitations on Subsequent Registration Rights; No Inconsistent Agreement.</w:t>
            </w:r>
          </w:p>
        </w:tc>
        <w:tc>
          <w:tcPr>
            <w:tcW w:w="24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11</w:t>
            </w:r>
          </w:p>
        </w:tc>
      </w:tr>
      <w:tr>
        <w:trPr>
          <w:trHeight w:val="225"/>
        </w:trPr>
        <w:tc>
          <w:tcPr>
            <w:tcW w:w="30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2.12</w:t>
            </w:r>
          </w:p>
        </w:tc>
        <w:tc>
          <w:tcPr>
            <w:tcW w:w="7720" w:type="dxa"/>
            <w:vAlign w:val="bottom"/>
          </w:tcPr>
          <w:p>
            <w:pPr>
              <w:ind w:left="280"/>
              <w:spacing w:after="0" w:line="207" w:lineRule="exact"/>
              <w:rPr>
                <w:sz w:val="20"/>
                <w:szCs w:val="20"/>
                <w:color w:val="auto"/>
              </w:rPr>
            </w:pPr>
            <w:r>
              <w:rPr>
                <w:rFonts w:ascii="Times New Roman" w:cs="Times New Roman" w:eastAsia="Times New Roman" w:hAnsi="Times New Roman"/>
                <w:sz w:val="18"/>
                <w:szCs w:val="18"/>
                <w:color w:val="auto"/>
              </w:rPr>
              <w:t>“Market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Termination of Registration Rights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203"/>
        </w:trPr>
        <w:tc>
          <w:tcPr>
            <w:tcW w:w="3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3.</w:t>
            </w:r>
          </w:p>
        </w:tc>
        <w:tc>
          <w:tcPr>
            <w:tcW w:w="85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HEDGING TRANSACTIONS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203"/>
        </w:trPr>
        <w:tc>
          <w:tcPr>
            <w:tcW w:w="30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w w:val="88"/>
              </w:rPr>
              <w:t>4.</w:t>
            </w:r>
          </w:p>
        </w:tc>
        <w:tc>
          <w:tcPr>
            <w:tcW w:w="8500" w:type="dxa"/>
            <w:vAlign w:val="bottom"/>
            <w:gridSpan w:val="2"/>
          </w:tcPr>
          <w:p>
            <w:pPr>
              <w:ind w:left="160"/>
              <w:spacing w:after="0" w:line="202" w:lineRule="exact"/>
              <w:rPr>
                <w:sz w:val="20"/>
                <w:szCs w:val="20"/>
                <w:color w:val="auto"/>
              </w:rPr>
            </w:pPr>
            <w:r>
              <w:rPr>
                <w:rFonts w:ascii="Times New Roman" w:cs="Times New Roman" w:eastAsia="Times New Roman" w:hAnsi="Times New Roman"/>
                <w:sz w:val="18"/>
                <w:szCs w:val="18"/>
                <w:color w:val="auto"/>
              </w:rPr>
              <w:t>MISCELLANEOUS.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Nominees for Beneficial Owners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Amendments and Waivers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Notices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Successors and Assigns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Governing Law; Waiver of Jury Trial</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Heading; Interpretations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Severability</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Specific Performance</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4.9</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Further Assurances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4.10</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Additional Investors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4.11</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Entire Agreement</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03"/>
        </w:trPr>
        <w:tc>
          <w:tcPr>
            <w:tcW w:w="300" w:type="dxa"/>
            <w:vAlign w:val="bottom"/>
          </w:tcPr>
          <w:p>
            <w:pPr>
              <w:spacing w:after="0"/>
              <w:rPr>
                <w:sz w:val="17"/>
                <w:szCs w:val="17"/>
                <w:color w:val="auto"/>
              </w:rPr>
            </w:pPr>
          </w:p>
        </w:tc>
        <w:tc>
          <w:tcPr>
            <w:tcW w:w="78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4.12</w:t>
            </w:r>
          </w:p>
        </w:tc>
        <w:tc>
          <w:tcPr>
            <w:tcW w:w="772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Delays or Omissions</w:t>
            </w:r>
          </w:p>
        </w:tc>
        <w:tc>
          <w:tcPr>
            <w:tcW w:w="24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r>
      <w:tr>
        <w:trPr>
          <w:trHeight w:val="234"/>
        </w:trPr>
        <w:tc>
          <w:tcPr>
            <w:tcW w:w="3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4.13</w:t>
            </w:r>
          </w:p>
        </w:tc>
        <w:tc>
          <w:tcPr>
            <w:tcW w:w="7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193040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7" w:right="359" w:bottom="1440" w:gutter="0" w:footer="0" w:header="0"/>
        </w:sectPr>
      </w:pPr>
    </w:p>
    <w:bookmarkStart w:id="244" w:name="page245"/>
    <w:bookmarkEnd w:id="244"/>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1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the 3rd day of August, 2021, by and among Rani Therapeutics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Investors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(together with their successors and Permitted Transferees as provided herein,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xml:space="preserve">”) and any Person that becomes a party to this Agreement pursuant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hereto as an “Investor.”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Investors hold Registrable Securities (as defined herein).</w:t>
      </w:r>
    </w:p>
    <w:p>
      <w:pPr>
        <w:spacing w:after="0" w:line="212" w:lineRule="exact"/>
        <w:rPr>
          <w:sz w:val="20"/>
          <w:szCs w:val="20"/>
          <w:color w:val="auto"/>
        </w:rPr>
      </w:pPr>
    </w:p>
    <w:p>
      <w:pPr>
        <w:jc w:val="both"/>
        <w:ind w:right="20" w:firstLine="1497"/>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of the mutual covenants and obligations hereinafter set forth,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hereby agree as follows:</w:t>
      </w:r>
    </w:p>
    <w:p>
      <w:pPr>
        <w:spacing w:after="0" w:line="154" w:lineRule="exact"/>
        <w:rPr>
          <w:sz w:val="20"/>
          <w:szCs w:val="20"/>
          <w:color w:val="auto"/>
        </w:rPr>
      </w:pPr>
    </w:p>
    <w:p>
      <w:pPr>
        <w:ind w:left="1500" w:hanging="743"/>
        <w:spacing w:after="0"/>
        <w:tabs>
          <w:tab w:leader="none" w:pos="15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Agreement:</w:t>
      </w:r>
    </w:p>
    <w:p>
      <w:pPr>
        <w:spacing w:after="0" w:line="21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or private equity fund now or hereafter existing that is controlled by one or more general partners or managing members of, or shares the same management company with, such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w:t>
            </w:r>
          </w:p>
        </w:tc>
        <w:tc>
          <w:tcPr>
            <w:tcW w:w="88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specified in the Preamble.</w:t>
            </w:r>
          </w:p>
        </w:tc>
      </w:tr>
      <w:tr>
        <w:trPr>
          <w:trHeight w:val="20"/>
        </w:trPr>
        <w:tc>
          <w:tcPr>
            <w:tcW w:w="23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407"/>
        </w:trPr>
        <w:tc>
          <w:tcPr>
            <w:tcW w:w="2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1.3</w:t>
            </w:r>
          </w:p>
        </w:tc>
        <w:tc>
          <w:tcPr>
            <w:tcW w:w="88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Sale</w:t>
            </w:r>
            <w:r>
              <w:rPr>
                <w:rFonts w:ascii="Times New Roman" w:cs="Times New Roman" w:eastAsia="Times New Roman" w:hAnsi="Times New Roman"/>
                <w:sz w:val="18"/>
                <w:szCs w:val="18"/>
                <w:color w:val="auto"/>
              </w:rPr>
              <w:t>” means the sale of Equity Securities to one or several purchasers in a registered transaction by means</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(i) a bought deal, (ii) a block trade or (iii) a registered direct sale.</w:t>
            </w:r>
          </w:p>
        </w:tc>
      </w:tr>
      <w:tr>
        <w:trPr>
          <w:trHeight w:val="407"/>
        </w:trPr>
        <w:tc>
          <w:tcPr>
            <w:tcW w:w="23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1.4</w:t>
            </w:r>
          </w:p>
        </w:tc>
        <w:tc>
          <w:tcPr>
            <w:tcW w:w="88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the</w:t>
            </w:r>
          </w:p>
        </w:tc>
      </w:tr>
    </w:tbl>
    <w:p>
      <w:pPr>
        <w:jc w:val="both"/>
        <w:spacing w:after="0" w:line="243" w:lineRule="auto"/>
        <w:rPr>
          <w:sz w:val="20"/>
          <w:szCs w:val="20"/>
          <w:color w:val="auto"/>
        </w:rPr>
      </w:pPr>
      <w:r>
        <w:rPr>
          <w:rFonts w:ascii="Times New Roman" w:cs="Times New Roman" w:eastAsia="Times New Roman" w:hAnsi="Times New Roman"/>
          <w:sz w:val="18"/>
          <w:szCs w:val="18"/>
          <w:color w:val="auto"/>
        </w:rPr>
        <w:t>Company and any and all securities of any kind whatsoever which may be issued after the date hereof in respect of, or in exchange for, such Class A common stock of the Company pursuant to a merger, consolidation, stock split, stock dividend, conversion or recapitalization of the Company or otherwise.</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8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7"/>
              </w:rPr>
              <w:t>1.5</w:t>
            </w:r>
          </w:p>
        </w:tc>
        <w:tc>
          <w:tcPr>
            <w:tcW w:w="88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specified in the Preamble.</w:t>
            </w:r>
          </w:p>
        </w:tc>
      </w:tr>
      <w:tr>
        <w:trPr>
          <w:trHeight w:val="20"/>
        </w:trPr>
        <w:tc>
          <w:tcPr>
            <w:tcW w:w="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27"/>
        </w:trPr>
        <w:tc>
          <w:tcPr>
            <w:tcW w:w="8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7"/>
              </w:rPr>
              <w:t>1.6</w:t>
            </w:r>
          </w:p>
        </w:tc>
        <w:tc>
          <w:tcPr>
            <w:tcW w:w="88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Damages</w:t>
            </w:r>
            <w:r>
              <w:rPr>
                <w:rFonts w:ascii="Times New Roman" w:cs="Times New Roman" w:eastAsia="Times New Roman" w:hAnsi="Times New Roman"/>
                <w:sz w:val="18"/>
                <w:szCs w:val="18"/>
                <w:color w:val="auto"/>
              </w:rPr>
              <w:t>” means any loss, damage or liability (joint or several) to which a party hereto may become subject</w:t>
            </w:r>
          </w:p>
        </w:tc>
      </w:tr>
    </w:tbl>
    <w:p>
      <w:pPr>
        <w:jc w:val="both"/>
        <w:spacing w:after="0" w:line="236" w:lineRule="auto"/>
        <w:rPr>
          <w:sz w:val="20"/>
          <w:szCs w:val="20"/>
          <w:color w:val="auto"/>
        </w:rPr>
      </w:pPr>
      <w:r>
        <w:rPr>
          <w:rFonts w:ascii="Times New Roman" w:cs="Times New Roman" w:eastAsia="Times New Roman" w:hAnsi="Times New Roman"/>
          <w:sz w:val="18"/>
          <w:szCs w:val="18"/>
          <w:color w:val="auto"/>
        </w:rPr>
        <w:t>under the Securities Act, the Exchange Act or other federal or state law, insofar as such loss, damage or liability (or any action in respect thereof) arises out of or is based upon (i) any untrue statement or alleged untrue statement of a material fact contained in any registration statement of the Company, including any preliminary prospectus, issuer free writing prospectus or final prospectus contained therein or any amendments or supplements thereto; (ii) an omission or alleged omission to state in any registration statement of the Company, including any preliminary prospectus or final prospectus contained therein or any amendments or supplements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6"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8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7"/>
              </w:rPr>
              <w:t>1.7</w:t>
            </w:r>
          </w:p>
        </w:tc>
        <w:tc>
          <w:tcPr>
            <w:tcW w:w="88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has the meaning specified in Section 2.1(a).</w:t>
            </w:r>
          </w:p>
        </w:tc>
      </w:tr>
      <w:tr>
        <w:trPr>
          <w:trHeight w:val="20"/>
        </w:trPr>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27"/>
        </w:trPr>
        <w:tc>
          <w:tcPr>
            <w:tcW w:w="8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7"/>
              </w:rPr>
              <w:t>1.8</w:t>
            </w:r>
          </w:p>
        </w:tc>
        <w:tc>
          <w:tcPr>
            <w:tcW w:w="88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(i) any and all equity securities of the Company held, directly or indirectly, by the</w:t>
            </w:r>
          </w:p>
        </w:tc>
      </w:tr>
    </w:tbl>
    <w:p>
      <w:pPr>
        <w:jc w:val="both"/>
        <w:spacing w:after="0" w:line="239" w:lineRule="auto"/>
        <w:rPr>
          <w:sz w:val="20"/>
          <w:szCs w:val="20"/>
          <w:color w:val="auto"/>
        </w:rPr>
      </w:pPr>
      <w:r>
        <w:rPr>
          <w:rFonts w:ascii="Times New Roman" w:cs="Times New Roman" w:eastAsia="Times New Roman" w:hAnsi="Times New Roman"/>
          <w:sz w:val="18"/>
          <w:szCs w:val="18"/>
          <w:color w:val="auto"/>
        </w:rPr>
        <w:t>Holders from time to time and (ii) any and all other shares of Class A Common Stock or other equity securities of the Company, securities of the Company convertible into, or exchangeable or exercisable for, such shares and options, warrants or other rights to acquire such shares of Class A Common Stock or other equity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07"/>
        </w:trPr>
        <w:tc>
          <w:tcPr>
            <w:tcW w:w="24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1.9</w:t>
            </w:r>
          </w:p>
        </w:tc>
        <w:tc>
          <w:tcPr>
            <w:tcW w:w="8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w:t>
            </w: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promulgated thereunder.</w:t>
            </w:r>
          </w:p>
        </w:tc>
        <w:tc>
          <w:tcPr>
            <w:tcW w:w="8820" w:type="dxa"/>
            <w:vAlign w:val="bottom"/>
          </w:tcPr>
          <w:p>
            <w:pPr>
              <w:spacing w:after="0"/>
              <w:rPr>
                <w:sz w:val="20"/>
                <w:szCs w:val="20"/>
                <w:color w:val="auto"/>
              </w:rPr>
            </w:pPr>
          </w:p>
        </w:tc>
      </w:tr>
      <w:tr>
        <w:trPr>
          <w:trHeight w:val="407"/>
        </w:trPr>
        <w:tc>
          <w:tcPr>
            <w:tcW w:w="24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1.10</w:t>
            </w:r>
          </w:p>
        </w:tc>
        <w:tc>
          <w:tcPr>
            <w:tcW w:w="8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means (i) a registration relating to the sale of securities to employees of the Company</w:t>
            </w:r>
          </w:p>
        </w:tc>
      </w:tr>
    </w:tbl>
    <w:p>
      <w:pPr>
        <w:jc w:val="both"/>
        <w:spacing w:after="0" w:line="238" w:lineRule="auto"/>
        <w:rPr>
          <w:sz w:val="20"/>
          <w:szCs w:val="20"/>
          <w:color w:val="auto"/>
        </w:rPr>
      </w:pPr>
      <w:r>
        <w:rPr>
          <w:rFonts w:ascii="Times New Roman" w:cs="Times New Roman" w:eastAsia="Times New Roman" w:hAnsi="Times New Roman"/>
          <w:sz w:val="18"/>
          <w:szCs w:val="18"/>
          <w:color w:val="auto"/>
        </w:rPr>
        <w:t>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either (A) no Class A Common Stock is being registered or (B) the only Class A Common Stock being registered is Class A Common Stock issuable upon conversion of debt securities that are also being registered.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1.11</w:t>
            </w:r>
          </w:p>
        </w:tc>
        <w:tc>
          <w:tcPr>
            <w:tcW w:w="8800" w:type="dxa"/>
            <w:vAlign w:val="bottom"/>
          </w:tcPr>
          <w:p>
            <w:pPr>
              <w:ind w:left="580"/>
              <w:spacing w:after="0" w:line="207"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Form S</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1</w:t>
            </w:r>
            <w:r>
              <w:rPr>
                <w:rFonts w:ascii="Times New Roman" w:cs="Times New Roman" w:eastAsia="Times New Roman" w:hAnsi="Times New Roman"/>
                <w:sz w:val="18"/>
                <w:szCs w:val="18"/>
                <w:color w:val="auto"/>
                <w:w w:val="99"/>
              </w:rPr>
              <w:t>” means such form under the Securities Act as in effect on the date hereof or any successor registration</w:t>
            </w:r>
          </w:p>
        </w:tc>
      </w:tr>
      <w:tr>
        <w:trPr>
          <w:trHeight w:val="234"/>
        </w:trPr>
        <w:tc>
          <w:tcPr>
            <w:tcW w:w="1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under the Securities Act subsequently adopted by the SEC.</w:t>
            </w:r>
          </w:p>
        </w:tc>
      </w:tr>
      <w:tr>
        <w:trPr>
          <w:trHeight w:val="407"/>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1.12</w:t>
            </w:r>
          </w:p>
        </w:tc>
        <w:tc>
          <w:tcPr>
            <w:tcW w:w="8800" w:type="dxa"/>
            <w:vAlign w:val="bottom"/>
          </w:tcPr>
          <w:p>
            <w:pPr>
              <w:ind w:left="580"/>
              <w:spacing w:after="0" w:line="207"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Form S</w:t>
            </w:r>
            <w:r>
              <w:rPr>
                <w:rFonts w:ascii="MS PGothic" w:cs="MS PGothic" w:eastAsia="MS PGothic" w:hAnsi="MS PGothic"/>
                <w:sz w:val="18"/>
                <w:szCs w:val="18"/>
                <w:color w:val="auto"/>
                <w:strike w:val="1"/>
                <w:w w:val="99"/>
              </w:rPr>
              <w:t>‑</w:t>
            </w:r>
            <w:r>
              <w:rPr>
                <w:rFonts w:ascii="Times New Roman" w:cs="Times New Roman" w:eastAsia="Times New Roman" w:hAnsi="Times New Roman"/>
                <w:sz w:val="18"/>
                <w:szCs w:val="18"/>
                <w:b w:val="1"/>
                <w:bCs w:val="1"/>
                <w:color w:val="auto"/>
                <w:w w:val="99"/>
              </w:rPr>
              <w:t>3</w:t>
            </w:r>
            <w:r>
              <w:rPr>
                <w:rFonts w:ascii="Times New Roman" w:cs="Times New Roman" w:eastAsia="Times New Roman" w:hAnsi="Times New Roman"/>
                <w:sz w:val="18"/>
                <w:szCs w:val="18"/>
                <w:color w:val="auto"/>
                <w:w w:val="99"/>
              </w:rPr>
              <w:t>” means such form under the Securities Act as in effect on the date hereof or any successor registration</w:t>
            </w:r>
          </w:p>
        </w:tc>
      </w:tr>
    </w:tbl>
    <w:p>
      <w:pPr>
        <w:jc w:val="both"/>
        <w:spacing w:after="0" w:line="243" w:lineRule="auto"/>
        <w:rPr>
          <w:sz w:val="20"/>
          <w:szCs w:val="20"/>
          <w:color w:val="auto"/>
        </w:rPr>
      </w:pPr>
      <w:r>
        <w:rPr>
          <w:rFonts w:ascii="Times New Roman" w:cs="Times New Roman" w:eastAsia="Times New Roman" w:hAnsi="Times New Roman"/>
          <w:sz w:val="18"/>
          <w:szCs w:val="18"/>
          <w:color w:val="auto"/>
        </w:rPr>
        <w:t>form under the Securities Act subsequently adopted by the SEC that permits incorporation of substantial information by reference to other documents filed by the Company with the SEC.</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1.13</w:t>
            </w:r>
          </w:p>
        </w:tc>
        <w:tc>
          <w:tcPr>
            <w:tcW w:w="8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Indemnitees</w:t>
            </w:r>
            <w:r>
              <w:rPr>
                <w:rFonts w:ascii="Times New Roman" w:cs="Times New Roman" w:eastAsia="Times New Roman" w:hAnsi="Times New Roman"/>
                <w:sz w:val="18"/>
                <w:szCs w:val="18"/>
                <w:color w:val="auto"/>
              </w:rPr>
              <w:t>” has the meaning specified in Section 2.9(e).</w:t>
            </w:r>
          </w:p>
        </w:tc>
      </w:tr>
      <w:tr>
        <w:trPr>
          <w:trHeight w:val="20"/>
        </w:trPr>
        <w:tc>
          <w:tcPr>
            <w:tcW w:w="920" w:type="dxa"/>
            <w:vAlign w:val="bottom"/>
          </w:tcPr>
          <w:p>
            <w:pPr>
              <w:spacing w:after="0" w:line="20" w:lineRule="exact"/>
              <w:rPr>
                <w:sz w:val="1"/>
                <w:szCs w:val="1"/>
                <w:color w:val="auto"/>
              </w:rPr>
            </w:pPr>
          </w:p>
        </w:tc>
        <w:tc>
          <w:tcPr>
            <w:tcW w:w="430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398"/>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1.14</w:t>
            </w:r>
          </w:p>
        </w:tc>
        <w:tc>
          <w:tcPr>
            <w:tcW w:w="8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has the meaning specified in Section 2.9(e).</w:t>
            </w:r>
          </w:p>
        </w:tc>
      </w:tr>
      <w:tr>
        <w:trPr>
          <w:trHeight w:val="20"/>
        </w:trPr>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439"/>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1.15</w:t>
            </w:r>
          </w:p>
        </w:tc>
        <w:tc>
          <w:tcPr>
            <w:tcW w:w="8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other holder of Registrable Securities who is a party to this Agreement.</w:t>
            </w:r>
          </w:p>
        </w:tc>
      </w:tr>
      <w:tr>
        <w:trPr>
          <w:trHeight w:val="407"/>
        </w:trPr>
        <w:tc>
          <w:tcPr>
            <w:tcW w:w="9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5"/>
              </w:rPr>
              <w:t>1.16</w:t>
            </w:r>
          </w:p>
        </w:tc>
        <w:tc>
          <w:tcPr>
            <w:tcW w:w="8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 child, stepchild, grandchild, parent, stepparent, grandparent, spouse,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-926465</wp:posOffset>
            </wp:positionV>
            <wp:extent cx="25400" cy="1289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3">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jc w:val="both"/>
        <w:spacing w:after="0" w:line="243" w:lineRule="auto"/>
        <w:rPr>
          <w:sz w:val="20"/>
          <w:szCs w:val="20"/>
          <w:color w:val="auto"/>
        </w:rPr>
      </w:pPr>
      <w:r>
        <w:rPr>
          <w:rFonts w:ascii="Times New Roman" w:cs="Times New Roman" w:eastAsia="Times New Roman" w:hAnsi="Times New Roman"/>
          <w:sz w:val="18"/>
          <w:szCs w:val="18"/>
          <w:color w:val="auto"/>
        </w:rPr>
        <w:t>sibling, mother-in-law, father-in-law, son-in-law, daughter-in-law, brother-in-law or sister-in-law, including adoptive relationships, of a natural Person referred to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1.17</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Initiating Holders</w:t>
            </w:r>
            <w:r>
              <w:rPr>
                <w:rFonts w:ascii="Times New Roman" w:cs="Times New Roman" w:eastAsia="Times New Roman" w:hAnsi="Times New Roman"/>
                <w:sz w:val="18"/>
                <w:szCs w:val="18"/>
                <w:color w:val="auto"/>
              </w:rPr>
              <w:t>” means, collectively, Holders who properly initiate a registration request under this</w:t>
            </w: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3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378"/>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1.18</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has the meaning specified in the Preamble</w:t>
            </w:r>
            <w:r>
              <w:rPr>
                <w:rFonts w:ascii="Times New Roman" w:cs="Times New Roman" w:eastAsia="Times New Roman" w:hAnsi="Times New Roman"/>
                <w:sz w:val="18"/>
                <w:szCs w:val="18"/>
                <w:color w:val="auto"/>
                <w:highlight w:val="white"/>
              </w:rPr>
              <w:t>.</w:t>
            </w:r>
          </w:p>
        </w:tc>
      </w:tr>
      <w:tr>
        <w:trPr>
          <w:trHeight w:val="20"/>
        </w:trPr>
        <w:tc>
          <w:tcPr>
            <w:tcW w:w="2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07"/>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1.19</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means the Company’s first underwritten public offering of its Class A Common Stock pursuant to an</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effective registration statement under the Securities Act.</w:t>
            </w:r>
          </w:p>
        </w:tc>
      </w:tr>
      <w:tr>
        <w:trPr>
          <w:trHeight w:val="418"/>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1.20</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has the meaning set forth in the Rani LLC Agreement.</w:t>
            </w:r>
          </w:p>
        </w:tc>
      </w:tr>
      <w:tr>
        <w:trPr>
          <w:trHeight w:val="387"/>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1.21</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trust, limited liability company, association or other</w:t>
            </w: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entity.</w:t>
            </w:r>
          </w:p>
        </w:tc>
        <w:tc>
          <w:tcPr>
            <w:tcW w:w="3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1.22</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Rani LLC</w:t>
            </w:r>
            <w:r>
              <w:rPr>
                <w:rFonts w:ascii="Times New Roman" w:cs="Times New Roman" w:eastAsia="Times New Roman" w:hAnsi="Times New Roman"/>
                <w:sz w:val="18"/>
                <w:szCs w:val="18"/>
                <w:color w:val="auto"/>
              </w:rPr>
              <w:t>” means Rani Therapeutics, LLC, a California limited liability company, and its successors.</w:t>
            </w:r>
          </w:p>
        </w:tc>
      </w:tr>
      <w:tr>
        <w:trPr>
          <w:trHeight w:val="387"/>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1.23</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Rani LLC Agreement</w:t>
            </w:r>
            <w:r>
              <w:rPr>
                <w:rFonts w:ascii="Times New Roman" w:cs="Times New Roman" w:eastAsia="Times New Roman" w:hAnsi="Times New Roman"/>
                <w:sz w:val="18"/>
                <w:szCs w:val="18"/>
                <w:color w:val="auto"/>
              </w:rPr>
              <w:t>” means the Fifth Amended and Restated Limited Liability Company Agreement of Rani</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LLC, dated as of August 3, 2021, as may be amended, amended and restated, or otherwise modified from to time.</w:t>
            </w:r>
          </w:p>
        </w:tc>
      </w:tr>
      <w:tr>
        <w:trPr>
          <w:trHeight w:val="407"/>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1.24</w:t>
            </w:r>
          </w:p>
        </w:tc>
        <w:tc>
          <w:tcPr>
            <w:tcW w:w="88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any shares of Class A Common Stock held by the Holders at any time; (ii)</w:t>
            </w:r>
          </w:p>
        </w:tc>
      </w:tr>
    </w:tbl>
    <w:p>
      <w:pPr>
        <w:jc w:val="both"/>
        <w:spacing w:after="0" w:line="237" w:lineRule="auto"/>
        <w:rPr>
          <w:sz w:val="20"/>
          <w:szCs w:val="20"/>
          <w:color w:val="auto"/>
        </w:rPr>
      </w:pPr>
      <w:r>
        <w:rPr>
          <w:rFonts w:ascii="Times New Roman" w:cs="Times New Roman" w:eastAsia="Times New Roman" w:hAnsi="Times New Roman"/>
          <w:sz w:val="18"/>
          <w:szCs w:val="18"/>
          <w:color w:val="auto"/>
        </w:rPr>
        <w:t>any shares of Class A Common Stock issued or issuable (directly or indirectly) upon conversion and/or exercise of any other securities of the Company held by the Holders at any time; (iii) any shares of Class A Common Stock issued as (or issuable upon the conversion or exercise of any warrant, right, or other security that is issued as) a dividend or other distribution with respect to, or in exchange for or in replacement of, the shares referenced in clauses (i) and (ii) above held by the Holders; or (iv) any shares of Class A Common Stock that may be delivered in exchange for equity interests in Rani LLC pursuant to the terms of the Rani LLC Agreement held by the Holders. As to 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6" w:name="page247"/>
    <w:bookmarkEnd w:id="246"/>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particular Registrable Securities, such securities shall cease to be Registrable Securities when (A) a registration statement with respect to the sale of such securities shall have been declared effective under the Securities Act and such securities shall have been disposed of in accordance with such registration statement, (B) such securities shall have been sold (other than in a privately negotiated sale where the transferor has assigned its rights under this Agreement and the transferee agrees in writing to be bound by the terms hereof) in compliance with the requirements of SEC Rule 144, as such SEC Rule 144 may be amended (or any successor provision thereto) or (C) the registration rights have terminated with respect to such securities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-136525</wp:posOffset>
            </wp:positionV>
            <wp:extent cx="882650" cy="1289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5">
                      <a:extLst>
                        <a:ext uri="{28A0092B-C50C-407E-A947-70E740481C1C}"/>
                      </a:extLst>
                    </a:blip>
                    <a:srcRect/>
                    <a:stretch>
                      <a:fillRect/>
                    </a:stretch>
                  </pic:blipFill>
                  <pic:spPr bwMode="auto">
                    <a:xfrm>
                      <a:off x="0" y="0"/>
                      <a:ext cx="882650" cy="12890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1.25</w:t>
            </w:r>
          </w:p>
        </w:tc>
        <w:tc>
          <w:tcPr>
            <w:tcW w:w="88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tc>
      </w:tr>
      <w:tr>
        <w:trPr>
          <w:trHeight w:val="418"/>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1.26</w:t>
            </w:r>
          </w:p>
        </w:tc>
        <w:tc>
          <w:tcPr>
            <w:tcW w:w="88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Rule 144</w:t>
            </w:r>
            <w:r>
              <w:rPr>
                <w:rFonts w:ascii="Times New Roman" w:cs="Times New Roman" w:eastAsia="Times New Roman" w:hAnsi="Times New Roman"/>
                <w:sz w:val="18"/>
                <w:szCs w:val="18"/>
                <w:color w:val="auto"/>
              </w:rPr>
              <w:t>” means Rule 144 promulgated by the SEC under the Securities Act.</w:t>
            </w:r>
          </w:p>
        </w:tc>
      </w:tr>
      <w:tr>
        <w:trPr>
          <w:trHeight w:val="419"/>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1.27</w:t>
            </w:r>
          </w:p>
        </w:tc>
        <w:tc>
          <w:tcPr>
            <w:tcW w:w="88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Rule 145</w:t>
            </w:r>
            <w:r>
              <w:rPr>
                <w:rFonts w:ascii="Times New Roman" w:cs="Times New Roman" w:eastAsia="Times New Roman" w:hAnsi="Times New Roman"/>
                <w:sz w:val="18"/>
                <w:szCs w:val="18"/>
                <w:color w:val="auto"/>
              </w:rPr>
              <w:t>” means Rule 145 promulgated by the SEC under the Securities Act.</w:t>
            </w:r>
          </w:p>
        </w:tc>
      </w:tr>
      <w:tr>
        <w:trPr>
          <w:trHeight w:val="387"/>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1.28</w:t>
            </w:r>
          </w:p>
        </w:tc>
        <w:tc>
          <w:tcPr>
            <w:tcW w:w="88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w:t>
            </w:r>
          </w:p>
        </w:tc>
      </w:tr>
      <w:tr>
        <w:trPr>
          <w:trHeight w:val="234"/>
        </w:trPr>
        <w:tc>
          <w:tcPr>
            <w:tcW w:w="24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98"/>
              </w:rPr>
              <w:t>thereunder.</w:t>
            </w:r>
          </w:p>
        </w:tc>
        <w:tc>
          <w:tcPr>
            <w:tcW w:w="4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378"/>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1.29</w:t>
            </w:r>
          </w:p>
        </w:tc>
        <w:tc>
          <w:tcPr>
            <w:tcW w:w="88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Underwritten Offering</w:t>
            </w:r>
            <w:r>
              <w:rPr>
                <w:rFonts w:ascii="Times New Roman" w:cs="Times New Roman" w:eastAsia="Times New Roman" w:hAnsi="Times New Roman"/>
                <w:sz w:val="18"/>
                <w:szCs w:val="18"/>
                <w:color w:val="auto"/>
              </w:rPr>
              <w:t>” has the meaning specified in Section 2.2.</w:t>
            </w:r>
          </w:p>
        </w:tc>
      </w:tr>
      <w:tr>
        <w:trPr>
          <w:trHeight w:val="20"/>
        </w:trPr>
        <w:tc>
          <w:tcPr>
            <w:tcW w:w="2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98"/>
        </w:trPr>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1.30</w:t>
            </w:r>
          </w:p>
        </w:tc>
        <w:tc>
          <w:tcPr>
            <w:tcW w:w="88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Take-Down Notice</w:t>
            </w:r>
            <w:r>
              <w:rPr>
                <w:rFonts w:ascii="Times New Roman" w:cs="Times New Roman" w:eastAsia="Times New Roman" w:hAnsi="Times New Roman"/>
                <w:sz w:val="18"/>
                <w:szCs w:val="18"/>
                <w:color w:val="auto"/>
              </w:rPr>
              <w:t>” has the meaning specified in Section 2.2.</w:t>
            </w:r>
          </w:p>
        </w:tc>
      </w:tr>
      <w:tr>
        <w:trPr>
          <w:trHeight w:val="20"/>
        </w:trPr>
        <w:tc>
          <w:tcPr>
            <w:tcW w:w="24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-385445</wp:posOffset>
            </wp:positionV>
            <wp:extent cx="25400" cy="1289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6">
                      <a:extLst>
                        <a:ext uri="{28A0092B-C50C-407E-A947-70E740481C1C}"/>
                      </a:extLst>
                    </a:blip>
                    <a:srcRect/>
                    <a:stretch>
                      <a:fillRect/>
                    </a:stretch>
                  </pic:blipFill>
                  <pic:spPr bwMode="auto">
                    <a:xfrm>
                      <a:off x="0" y="0"/>
                      <a:ext cx="25400" cy="12890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-119380</wp:posOffset>
            </wp:positionV>
            <wp:extent cx="25400" cy="1289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87" w:lineRule="exact"/>
        <w:rPr>
          <w:sz w:val="20"/>
          <w:szCs w:val="20"/>
          <w:color w:val="auto"/>
        </w:rPr>
      </w:pPr>
    </w:p>
    <w:p>
      <w:pPr>
        <w:ind w:left="1500" w:hanging="743"/>
        <w:spacing w:after="0"/>
        <w:tabs>
          <w:tab w:leader="none" w:pos="150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Registration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covenants and agrees as follows:</w:t>
      </w:r>
    </w:p>
    <w:p>
      <w:pPr>
        <w:spacing w:after="0" w:line="216"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1240" w:type="dxa"/>
            <w:vAlign w:val="bottom"/>
          </w:tcPr>
          <w:p>
            <w:pPr>
              <w:jc w:val="right"/>
              <w:ind w:right="901"/>
              <w:spacing w:after="0"/>
              <w:rPr>
                <w:sz w:val="20"/>
                <w:szCs w:val="20"/>
                <w:color w:val="auto"/>
              </w:rPr>
            </w:pPr>
            <w:r>
              <w:rPr>
                <w:rFonts w:ascii="Times New Roman" w:cs="Times New Roman" w:eastAsia="Times New Roman" w:hAnsi="Times New Roman"/>
                <w:sz w:val="18"/>
                <w:szCs w:val="18"/>
                <w:color w:val="auto"/>
                <w:w w:val="97"/>
              </w:rPr>
              <w:t>2.1</w:t>
            </w:r>
          </w:p>
        </w:tc>
        <w:tc>
          <w:tcPr>
            <w:tcW w:w="848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Demand Registration.</w:t>
            </w:r>
          </w:p>
        </w:tc>
      </w:tr>
      <w:tr>
        <w:trPr>
          <w:trHeight w:val="405"/>
        </w:trPr>
        <w:tc>
          <w:tcPr>
            <w:tcW w:w="1240" w:type="dxa"/>
            <w:vAlign w:val="bottom"/>
          </w:tcPr>
          <w:p>
            <w:pPr>
              <w:jc w:val="right"/>
              <w:ind w:right="141"/>
              <w:spacing w:after="0"/>
              <w:rPr>
                <w:sz w:val="20"/>
                <w:szCs w:val="20"/>
                <w:color w:val="auto"/>
              </w:rPr>
            </w:pPr>
            <w:r>
              <w:rPr>
                <w:rFonts w:ascii="Times New Roman" w:cs="Times New Roman" w:eastAsia="Times New Roman" w:hAnsi="Times New Roman"/>
                <w:sz w:val="22"/>
                <w:szCs w:val="22"/>
                <w:color w:val="auto"/>
              </w:rPr>
              <w:t>(a)</w:t>
            </w:r>
          </w:p>
        </w:tc>
        <w:tc>
          <w:tcPr>
            <w:tcW w:w="1760" w:type="dxa"/>
            <w:vAlign w:val="bottom"/>
          </w:tcPr>
          <w:p>
            <w:pPr>
              <w:spacing w:after="0"/>
              <w:rPr>
                <w:sz w:val="24"/>
                <w:szCs w:val="24"/>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S-1 Demand. Subject to Section (c), if the Company receives a request from any</w:t>
            </w:r>
          </w:p>
        </w:tc>
      </w:tr>
      <w:tr>
        <w:trPr>
          <w:trHeight w:val="20"/>
        </w:trPr>
        <w:tc>
          <w:tcPr>
            <w:tcW w:w="1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Investor at any time after ninety (90) days following the closing of an IPO (so as to effect the registration one hundred eighty (180) days following an IPO, or as soon as reasonably practicable thereafter) that the Company file a Form S-1 registration statement, then the Company shall (i) within ten (10) days after the date such request is given, give notice thereof (the “</w:t>
      </w:r>
      <w:r>
        <w:rPr>
          <w:rFonts w:ascii="Times New Roman" w:cs="Times New Roman" w:eastAsia="Times New Roman" w:hAnsi="Times New Roman"/>
          <w:sz w:val="18"/>
          <w:szCs w:val="18"/>
          <w:b w:val="1"/>
          <w:bCs w:val="1"/>
          <w:color w:val="auto"/>
        </w:rPr>
        <w:t>Demand Notice</w:t>
      </w:r>
      <w:r>
        <w:rPr>
          <w:rFonts w:ascii="Times New Roman" w:cs="Times New Roman" w:eastAsia="Times New Roman" w:hAnsi="Times New Roman"/>
          <w:sz w:val="18"/>
          <w:szCs w:val="18"/>
          <w:color w:val="auto"/>
        </w:rPr>
        <w:t xml:space="preserve">”) to all Holders other than the Initiating Holders; and (ii) as soon as practicable and within sixty (60) days after the date such request is given by the Initiating Holders but in no event earlier than the earlier of (x) one hundred eighty (180) days following an IPO or (y) the effective date of the underwriters’ waiver of the any of the restrictions set forth in the applicable lock-up agreement entered into in connection with an IPO,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2246"/>
        <w:spacing w:after="0" w:line="251"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7"/>
          <w:szCs w:val="17"/>
          <w:u w:val="single" w:color="auto"/>
          <w:color w:val="auto"/>
        </w:rPr>
        <w:t>Form S-3 Demand</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u w:val="single" w:color="auto"/>
          <w:color w:val="auto"/>
        </w:rPr>
        <w:t>Section (c)</w:t>
      </w:r>
      <w:r>
        <w:rPr>
          <w:rFonts w:ascii="Times New Roman" w:cs="Times New Roman" w:eastAsia="Times New Roman" w:hAnsi="Times New Roman"/>
          <w:sz w:val="17"/>
          <w:szCs w:val="17"/>
          <w:color w:val="auto"/>
        </w:rPr>
        <w:t>, if at any time when it is eligible to use a Form S-3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registration statement, the Company receives a request from at least 15% of the Registrable Securities held by Investors that the Company file a Form S-3 registration statement with respect to outstanding Registrable Securities, then the Company shall (x) within ten (10) days after the date such request is given, give a Demand Notice to all Holders other than the Initiating Holders; and (y) as soon as practicable, and in any event within thirty (30) days after the date such request is given by the Initiating Holders, file a Form S-3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If the Company is a WKSI at the time of any request for Registration in this Section (b), such Form S-3 shall be an automatic shelf registration statement.</w:t>
      </w:r>
    </w:p>
    <w:p>
      <w:pPr>
        <w:spacing w:after="0" w:line="383"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7"/>
          <w:szCs w:val="17"/>
          <w:u w:val="single" w:color="auto"/>
          <w:color w:val="auto"/>
        </w:rPr>
        <w:t>Limitations on Registration</w:t>
      </w:r>
      <w:r>
        <w:rPr>
          <w:rFonts w:ascii="Times New Roman" w:cs="Times New Roman" w:eastAsia="Times New Roman" w:hAnsi="Times New Roman"/>
          <w:sz w:val="17"/>
          <w:szCs w:val="17"/>
          <w:color w:val="auto"/>
        </w:rPr>
        <w:t>. The Company shall not be obligated to effect, or to take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action to effect, any registration pursuant to </w:t>
      </w:r>
      <w:r>
        <w:rPr>
          <w:rFonts w:ascii="Times New Roman" w:cs="Times New Roman" w:eastAsia="Times New Roman" w:hAnsi="Times New Roman"/>
          <w:sz w:val="17"/>
          <w:szCs w:val="17"/>
          <w:u w:val="single" w:color="auto"/>
          <w:color w:val="auto"/>
        </w:rPr>
        <w:t>Section (a)</w:t>
      </w:r>
      <w:r>
        <w:rPr>
          <w:rFonts w:ascii="Times New Roman" w:cs="Times New Roman" w:eastAsia="Times New Roman" w:hAnsi="Times New Roman"/>
          <w:sz w:val="17"/>
          <w:szCs w:val="17"/>
          <w:color w:val="auto"/>
        </w:rPr>
        <w:t xml:space="preserve"> if the Initiating Holders propose to dispose of shares of Registrable Securities that may be then be eligible to be registered on Form S-3 pursuant to a request made pursuant to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The Company shall not be obligated to effect, or to take any action to effect, any registration pursuant to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if the Company has effected two (2) registrations pursuant to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within the twelve (12)-month</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7" w:name="page248"/>
    <w:bookmarkEnd w:id="247"/>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period immediately preceding the date of such request. A registration shall not be counted as “effected” for purposes of this </w:t>
      </w:r>
      <w:r>
        <w:rPr>
          <w:rFonts w:ascii="Times New Roman" w:cs="Times New Roman" w:eastAsia="Times New Roman" w:hAnsi="Times New Roman"/>
          <w:sz w:val="18"/>
          <w:szCs w:val="18"/>
          <w:u w:val="single" w:color="auto"/>
          <w:color w:val="auto"/>
        </w:rPr>
        <w:t>Section (c)</w:t>
      </w:r>
      <w:r>
        <w:rPr>
          <w:rFonts w:ascii="Times New Roman" w:cs="Times New Roman" w:eastAsia="Times New Roman" w:hAnsi="Times New Roman"/>
          <w:sz w:val="18"/>
          <w:szCs w:val="18"/>
          <w:color w:val="auto"/>
        </w:rPr>
        <w:t xml:space="preserve"> (i) until such time as the applicable registration statement has been declared effective by the SEC, unless the Initiating Holders withdraw their request for such registration and elect not to pay the registration expenses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in which case such withdrawn registration statement shall be counted as “effected” for purposes of this </w:t>
      </w:r>
      <w:r>
        <w:rPr>
          <w:rFonts w:ascii="Times New Roman" w:cs="Times New Roman" w:eastAsia="Times New Roman" w:hAnsi="Times New Roman"/>
          <w:sz w:val="18"/>
          <w:szCs w:val="18"/>
          <w:u w:val="single" w:color="auto"/>
          <w:color w:val="auto"/>
        </w:rPr>
        <w:t>Section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the event that a withdrawal by the Holders is based upon material adverse information relating to the Company that is different from the information known or available (upon request from the Company or otherwise) to the Holders requesting registration at the time of their request for registration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such registration shall not be treated as “effected” for purposes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even though the Holders do not bear the registration expenses for such registration, (ii) if such registration statement is not maintained effective for the period required pursuant to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(iii) if the offering of the Registrable Securities pursuant to such registration statement is subject to a stop order, injunction or similar order or requirement of the SEC during such period, in which case, such requesting holder of Registrable Securities shall be entitled to an additional registration pursuant to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in lieu thereof.</w:t>
      </w:r>
    </w:p>
    <w:p>
      <w:pPr>
        <w:spacing w:after="0" w:line="179" w:lineRule="exact"/>
        <w:rPr>
          <w:sz w:val="20"/>
          <w:szCs w:val="20"/>
          <w:color w:val="auto"/>
        </w:rPr>
      </w:pPr>
    </w:p>
    <w:p>
      <w:pPr>
        <w:jc w:val="both"/>
        <w:ind w:firstLine="2246"/>
        <w:spacing w:after="0" w:line="259"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17"/>
          <w:szCs w:val="17"/>
          <w:color w:val="auto"/>
        </w:rPr>
        <w:t>At any time before a registration statement covering Registrable Securities becomes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effective, the Initiating Holders may request the Company to withdraw or not to file a registration statement. In addition, in the event that a registration statement covering such Registrable Securities is not declared effective within 120 days from the date of first filing with the SEC, the Initiating Holders shall not be deemed to have used one of the registration rights pursuant to </w:t>
      </w:r>
      <w:r>
        <w:rPr>
          <w:rFonts w:ascii="Times New Roman" w:cs="Times New Roman" w:eastAsia="Times New Roman" w:hAnsi="Times New Roman"/>
          <w:sz w:val="17"/>
          <w:szCs w:val="17"/>
          <w:u w:val="single" w:color="auto"/>
          <w:color w:val="auto"/>
        </w:rPr>
        <w:t>Section (c)</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17"/>
          <w:szCs w:val="17"/>
          <w:u w:val="single" w:color="auto"/>
          <w:color w:val="auto"/>
        </w:rPr>
        <w:t>Delay in Filing</w:t>
      </w:r>
      <w:r>
        <w:rPr>
          <w:rFonts w:ascii="Times New Roman" w:cs="Times New Roman" w:eastAsia="Times New Roman" w:hAnsi="Times New Roman"/>
          <w:sz w:val="17"/>
          <w:szCs w:val="17"/>
          <w:color w:val="auto"/>
        </w:rPr>
        <w:t>. If the Company furnishes to the Initiating Holders requesting a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a certificate signed by the chief executive officer or the chief financial officer of the Company stating that in the good faith judgment of the Board of Directors of the Company (after consultation with external legal counsel) it would have a material adverse effect on the Company and its stockholders for such registration statement to either become effective or remain effective for as long as such registration statement otherwise would be required to remain effective because such action would (i) materially and adversely interfere with a significant acquisition, corporate reorganization or other similar transaction involving the Company; (ii) require premature disclosure of material, non-public information that the Company has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business purpose for preserving as confidential and which would be required to be made in, or incorporated into, such registration statement so that such registration statement would not contain any untrue statement of material fact or omit to state a material fact necessary in order to make the statements made therein, in the light of the circumstances under which they were made, not misleading; or (iii) render the Company unable to comply with requirements under the Securities Act or Exchange Act, in each case, the Company shall have the right, upon giving prompt written notice of such action to the Initiating Holders requesting such registration, to delay the filing or initial effectiveness (but not the preparation) of, or suspend use of, such registration statement, and any time periods with respect to filing or effectiveness thereof shall be tolled correspondingly, for a period of not more than forty five (45) days after the request of the Initiating Holders is given;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may not invoke this right only once in any twelve (12) month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Company shall not deliver a suspension notice pursuant to this </w:t>
      </w:r>
      <w:r>
        <w:rPr>
          <w:rFonts w:ascii="Times New Roman" w:cs="Times New Roman" w:eastAsia="Times New Roman" w:hAnsi="Times New Roman"/>
          <w:sz w:val="17"/>
          <w:szCs w:val="17"/>
          <w:u w:val="single" w:color="auto"/>
          <w:color w:val="auto"/>
        </w:rPr>
        <w:t>Section (e)</w:t>
      </w:r>
      <w:r>
        <w:rPr>
          <w:rFonts w:ascii="Times New Roman" w:cs="Times New Roman" w:eastAsia="Times New Roman" w:hAnsi="Times New Roman"/>
          <w:sz w:val="17"/>
          <w:szCs w:val="17"/>
          <w:color w:val="auto"/>
        </w:rPr>
        <w:t xml:space="preserve"> unless all of the Company’s executive officers and directors are similarly prohibited from effecting any public sales of securities of the Company beneficially owned by them for the duration of such suspension period;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Company shall not register any securities for its own account or that of any other stockholder during such forty five (45) day period other than pursuant to a registration relating to the sale of securities to employees of the Company or a subsidiary pursuant to a stock option, stock purchase, or similar plan; a registration on any form that does not include substantially the same information as would be required to be included in a registration statement covering the sale of the Registrable Securities; or a registration in which the only Class A Common Stock being registered is Class A Common Stock issuable upon conversion of debt securities that are also being registered. If the Company so delays the filing or the effectiveness of, or suspends the use of, a registration statement, the Initiating Holder shall be entitled, within fifteen (15) days after receipt of such written notice, to withdraw such registration request and, if such registration request is withdrawn, such registration request shall not count for the purposes of the limitations set forth in </w:t>
      </w:r>
      <w:r>
        <w:rPr>
          <w:rFonts w:ascii="Times New Roman" w:cs="Times New Roman" w:eastAsia="Times New Roman" w:hAnsi="Times New Roman"/>
          <w:sz w:val="17"/>
          <w:szCs w:val="17"/>
          <w:u w:val="single" w:color="auto"/>
          <w:color w:val="auto"/>
        </w:rPr>
        <w:t>Section (c)</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Shelf Take-Downs</w:t>
      </w:r>
      <w:r>
        <w:rPr>
          <w:rFonts w:ascii="Times New Roman" w:cs="Times New Roman" w:eastAsia="Times New Roman" w:hAnsi="Times New Roman"/>
          <w:sz w:val="18"/>
          <w:szCs w:val="18"/>
          <w:color w:val="auto"/>
        </w:rPr>
        <w:t xml:space="preserve">. At any time that a Form S-3 registration statement covering Registrable Securities is effective, subject to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and Section </w:t>
      </w:r>
      <w:r>
        <w:rPr>
          <w:rFonts w:ascii="Times New Roman" w:cs="Times New Roman" w:eastAsia="Times New Roman" w:hAnsi="Times New Roman"/>
          <w:sz w:val="18"/>
          <w:szCs w:val="18"/>
          <w:u w:val="single" w:color="auto"/>
          <w:color w:val="auto"/>
        </w:rPr>
        <w:t>2.1(e)</w:t>
      </w:r>
      <w:r>
        <w:rPr>
          <w:rFonts w:ascii="Times New Roman" w:cs="Times New Roman" w:eastAsia="Times New Roman" w:hAnsi="Times New Roman"/>
          <w:sz w:val="18"/>
          <w:szCs w:val="18"/>
          <w:color w:val="auto"/>
        </w:rPr>
        <w:t>, if any of the Investors delivers a notice to the Company (a “</w:t>
      </w:r>
      <w:r>
        <w:rPr>
          <w:rFonts w:ascii="Times New Roman" w:cs="Times New Roman" w:eastAsia="Times New Roman" w:hAnsi="Times New Roman"/>
          <w:sz w:val="18"/>
          <w:szCs w:val="18"/>
          <w:b w:val="1"/>
          <w:bCs w:val="1"/>
          <w:color w:val="auto"/>
        </w:rPr>
        <w:t>Take-Down Notice</w:t>
      </w:r>
      <w:r>
        <w:rPr>
          <w:rFonts w:ascii="Times New Roman" w:cs="Times New Roman" w:eastAsia="Times New Roman" w:hAnsi="Times New Roman"/>
          <w:sz w:val="18"/>
          <w:szCs w:val="18"/>
          <w:color w:val="auto"/>
        </w:rPr>
        <w:t>”) stating that it intends to effect an underwritten offering of all or part of its Registrable Securities included by it on the Form S-3 registration statement (a “</w:t>
      </w:r>
      <w:r>
        <w:rPr>
          <w:rFonts w:ascii="Times New Roman" w:cs="Times New Roman" w:eastAsia="Times New Roman" w:hAnsi="Times New Roman"/>
          <w:sz w:val="18"/>
          <w:szCs w:val="18"/>
          <w:b w:val="1"/>
          <w:bCs w:val="1"/>
          <w:color w:val="auto"/>
        </w:rPr>
        <w:t>Shelf Underwritten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then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8" w:name="page249"/>
    <w:bookmarkEnd w:id="24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shall amend or supplement the Form S-3 registration statement as may be necessary in order to enable such Registrable Securities to be distributed pursuant to the Shelf Underwritten Offering:</w:t>
      </w:r>
    </w:p>
    <w:p>
      <w:pPr>
        <w:spacing w:after="0" w:line="153"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7"/>
          <w:szCs w:val="17"/>
          <w:color w:val="auto"/>
        </w:rPr>
        <w:t>with respect to any Take-Down Notice that does not pertain to a Block Sale, within two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days of receipt of such Take-Down Notice, the Company shall also deliver the Take-Down Notice to all Holders other than the proposing Holder included on such Form S-3 registration statement and permit each Holder to include its Registrable Securities included on the Form S-3 registration statement in the Shelf Underwritten Offering if such Holder notifies the proposing Holder and the Company within five (5) days after delivery (including via e-mail, if available) of the Take-Down Notice to such Holder;</w:t>
      </w:r>
    </w:p>
    <w:p>
      <w:pPr>
        <w:spacing w:after="0" w:line="384"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7"/>
          <w:szCs w:val="17"/>
          <w:color w:val="auto"/>
        </w:rPr>
        <w:t>with respect to any Take-Down Notice pertaining to a Block Sale, within one (1)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day of receipt of such Take-Down Notice, the Company shall also deliver the Take-Down Notice to all Holders other than the proposing Holder included on such Form S-3 registration statement and permit each Holder to include its Registrable Securities included on the Form S-3 registration statement in the Block Sale if such Holder notifies the proposing Holder and the Company within one (1) day after delivery (including via e-mail, if available) of the Take-Down Notice to such Holder; and</w:t>
      </w:r>
    </w:p>
    <w:p>
      <w:pPr>
        <w:spacing w:after="0" w:line="384"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7"/>
          <w:szCs w:val="17"/>
          <w:color w:val="auto"/>
        </w:rPr>
        <w:t>in the event that the underwriter advises such proposing Holder and the Company in its 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faith opinion that the total number or dollar amount of Registrable Securities proposed to be sold in such offering is such as to adversely affect the success of such offering (including, without limitation, adversely affect the per share offering price), then the underwriter may limit the number of shares which would otherwise be included in such take-down offering in the same manner as described in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 xml:space="preserve"> with respect to a limitation of shares to be included in a registration.</w:t>
      </w:r>
    </w:p>
    <w:p>
      <w:pPr>
        <w:spacing w:after="0" w:line="39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xml:space="preserve">. If the Company proposes to register (including, for this purpose, a registration effected by the Company for stockholders other than the Holders) any of its Class A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before the effective date of such registration, whether or not any Holder has elected to include Registrable Securities in such registration;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 shall not have the right to withdraw the registration of the Registrable Securities unless it is also terminating or withdrawing the registration initiated by it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for its own securities. The expenses (excluding underwriting discounts and commissions) of such withdrawn registration shall be borne by the Company in accordance with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175"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1240" w:type="dxa"/>
            <w:vAlign w:val="bottom"/>
          </w:tcPr>
          <w:p>
            <w:pPr>
              <w:jc w:val="right"/>
              <w:ind w:right="901"/>
              <w:spacing w:after="0"/>
              <w:rPr>
                <w:sz w:val="20"/>
                <w:szCs w:val="20"/>
                <w:color w:val="auto"/>
              </w:rPr>
            </w:pPr>
            <w:r>
              <w:rPr>
                <w:rFonts w:ascii="Times New Roman" w:cs="Times New Roman" w:eastAsia="Times New Roman" w:hAnsi="Times New Roman"/>
                <w:sz w:val="18"/>
                <w:szCs w:val="18"/>
                <w:color w:val="auto"/>
                <w:w w:val="97"/>
              </w:rPr>
              <w:t>2.4</w:t>
            </w:r>
          </w:p>
        </w:tc>
        <w:tc>
          <w:tcPr>
            <w:tcW w:w="260" w:type="dxa"/>
            <w:vAlign w:val="bottom"/>
          </w:tcPr>
          <w:p>
            <w:pPr>
              <w:spacing w:after="0"/>
              <w:rPr>
                <w:sz w:val="18"/>
                <w:szCs w:val="18"/>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Underwriting Requirements.</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141"/>
              <w:spacing w:after="0"/>
              <w:rPr>
                <w:sz w:val="20"/>
                <w:szCs w:val="20"/>
                <w:color w:val="auto"/>
              </w:rPr>
            </w:pPr>
            <w:r>
              <w:rPr>
                <w:rFonts w:ascii="Times New Roman" w:cs="Times New Roman" w:eastAsia="Times New Roman" w:hAnsi="Times New Roman"/>
                <w:sz w:val="22"/>
                <w:szCs w:val="22"/>
                <w:color w:val="auto"/>
              </w:rPr>
              <w:t>(a)</w:t>
            </w:r>
          </w:p>
        </w:tc>
        <w:tc>
          <w:tcPr>
            <w:tcW w:w="2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40" w:type="dxa"/>
            <w:vAlign w:val="bottom"/>
            <w:gridSpan w:val="4"/>
          </w:tcPr>
          <w:p>
            <w:pPr>
              <w:ind w:left="1500"/>
              <w:spacing w:after="0"/>
              <w:rPr>
                <w:sz w:val="20"/>
                <w:szCs w:val="20"/>
                <w:color w:val="auto"/>
              </w:rPr>
            </w:pPr>
            <w:r>
              <w:rPr>
                <w:rFonts w:ascii="Times New Roman" w:cs="Times New Roman" w:eastAsia="Times New Roman" w:hAnsi="Times New Roman"/>
                <w:sz w:val="18"/>
                <w:szCs w:val="18"/>
                <w:color w:val="auto"/>
              </w:rPr>
              <w:t>If, pursuant to Section 2.1, the Initiating Holders intend to distribute the Registrable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Securities covered by their request by means of an underwriting, they shall so advise the Company as a part of their request made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Company shall include such information in the Demand Notice. In the case of a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the underwriter(s) will be selected by a majority-in-interest of the Initiating Holders and shall be reasonably acceptable to the Company. In the case of a registration pursuant to Section 2.3, the underwriter(s) will be selected by the Company and shall be reasonably acceptable to a majority-in-interest of the Holders who have requested to be included in such registration.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9" w:name="page250"/>
    <w:bookmarkEnd w:id="249"/>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be allocated among such Holders of Registrable Securities, including the Initiating Holders, in proportion (as nearly as practicable) to the number of Registrable Securities owned by each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number of Registrable Securities held by the Initiating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72"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7"/>
          <w:szCs w:val="17"/>
          <w:color w:val="auto"/>
        </w:rPr>
        <w:t>In connection with any offering involving an underwriting of shares of the Company’s capital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stock pursuant to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To facilitate the allocation of shares in accordance with the above provisions, the Company or the underwriters may round the number of shares allocated to any Holder to the nearest 100 shares. Notwithstanding the foregoing, in no event shall </w:t>
      </w:r>
      <w:r>
        <w:rPr>
          <w:rFonts w:ascii="Times New Roman" w:cs="Times New Roman" w:eastAsia="Times New Roman" w:hAnsi="Times New Roman"/>
          <w:sz w:val="17"/>
          <w:szCs w:val="17"/>
          <w:color w:val="010000"/>
        </w:rPr>
        <w:t>(i)</w:t>
      </w:r>
      <w:r>
        <w:rPr>
          <w:rFonts w:ascii="Times New Roman" w:cs="Times New Roman" w:eastAsia="Times New Roman" w:hAnsi="Times New Roman"/>
          <w:sz w:val="17"/>
          <w:szCs w:val="17"/>
          <w:color w:val="auto"/>
        </w:rPr>
        <w:t xml:space="preserve"> the number of Registrable Securities included in the offering be reduced unless all other securities (other than securities to be sold by the Company) are first entirely excluded from the offering, </w:t>
      </w:r>
      <w:r>
        <w:rPr>
          <w:rFonts w:ascii="Times New Roman" w:cs="Times New Roman" w:eastAsia="Times New Roman" w:hAnsi="Times New Roman"/>
          <w:sz w:val="17"/>
          <w:szCs w:val="17"/>
          <w:color w:val="010000"/>
        </w:rPr>
        <w:t>(ii)</w:t>
      </w:r>
      <w:r>
        <w:rPr>
          <w:rFonts w:ascii="Times New Roman" w:cs="Times New Roman" w:eastAsia="Times New Roman" w:hAnsi="Times New Roman"/>
          <w:sz w:val="17"/>
          <w:szCs w:val="17"/>
          <w:color w:val="auto"/>
        </w:rPr>
        <w:t xml:space="preserve"> the number of Registrable Securities included in the offering be reduced below twenty five percent (25%) of the total number of securities included in such offering, or </w:t>
      </w:r>
      <w:r>
        <w:rPr>
          <w:rFonts w:ascii="Times New Roman" w:cs="Times New Roman" w:eastAsia="Times New Roman" w:hAnsi="Times New Roman"/>
          <w:sz w:val="17"/>
          <w:szCs w:val="17"/>
          <w:color w:val="010000"/>
        </w:rPr>
        <w:t>(iii)</w:t>
      </w:r>
      <w:r>
        <w:rPr>
          <w:rFonts w:ascii="Times New Roman" w:cs="Times New Roman" w:eastAsia="Times New Roman" w:hAnsi="Times New Roman"/>
          <w:sz w:val="17"/>
          <w:szCs w:val="17"/>
          <w:color w:val="auto"/>
        </w:rPr>
        <w:t xml:space="preserve"> notwithstanding (ii) above, any Registrable Securities which are Registrable Securities held by the Investors be excluded from such underwriting unless all other Registrable Securities (other than securities to be sold by the Company) are first excluded from such offering. For purposes of the provision in this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reduction with respect to such “selling Holder” shall be based upon the aggregate number of Registrable Securities owned by all Persons included in such “selling Holder,” as defined in this sentence.</w:t>
      </w:r>
    </w:p>
    <w:p>
      <w:pPr>
        <w:spacing w:after="0" w:line="378" w:lineRule="exact"/>
        <w:rPr>
          <w:sz w:val="20"/>
          <w:szCs w:val="20"/>
          <w:color w:val="auto"/>
        </w:rPr>
      </w:pPr>
    </w:p>
    <w:p>
      <w:pPr>
        <w:jc w:val="both"/>
        <w:ind w:firstLine="2246"/>
        <w:spacing w:after="0" w:line="26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7"/>
          <w:szCs w:val="17"/>
          <w:color w:val="auto"/>
        </w:rPr>
        <w:t>For purposes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a registration shall not be counted as “effected” if, as a result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an exercise of the underwriter’s cutback provisions in </w:t>
      </w:r>
      <w:r>
        <w:rPr>
          <w:rFonts w:ascii="Times New Roman" w:cs="Times New Roman" w:eastAsia="Times New Roman" w:hAnsi="Times New Roman"/>
          <w:sz w:val="17"/>
          <w:szCs w:val="17"/>
          <w:u w:val="single" w:color="auto"/>
          <w:color w:val="auto"/>
        </w:rPr>
        <w:t>Section (a)</w:t>
      </w:r>
      <w:r>
        <w:rPr>
          <w:rFonts w:ascii="Times New Roman" w:cs="Times New Roman" w:eastAsia="Times New Roman" w:hAnsi="Times New Roman"/>
          <w:sz w:val="17"/>
          <w:szCs w:val="17"/>
          <w:color w:val="auto"/>
        </w:rPr>
        <w:t>, fewer than fifty percent (50%) of the total number of Registrable Securities that the Initiating Holders have requested to be included in such registration statement are actually included.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jc w:val="right"/>
              <w:ind w:right="1164"/>
              <w:spacing w:after="0"/>
              <w:rPr>
                <w:sz w:val="20"/>
                <w:szCs w:val="20"/>
                <w:color w:val="auto"/>
              </w:rPr>
            </w:pPr>
            <w:r>
              <w:rPr>
                <w:rFonts w:ascii="Times New Roman" w:cs="Times New Roman" w:eastAsia="Times New Roman" w:hAnsi="Times New Roman"/>
                <w:sz w:val="18"/>
                <w:szCs w:val="18"/>
                <w:color w:val="auto"/>
              </w:rPr>
              <w:t>2.5</w:t>
            </w:r>
          </w:p>
        </w:tc>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Obligations of the Company. Whenever required under this Section 2 to effect the registration of any Registrable</w:t>
            </w:r>
          </w:p>
        </w:tc>
      </w:tr>
      <w:tr>
        <w:trPr>
          <w:trHeight w:val="20"/>
        </w:trPr>
        <w:tc>
          <w:tcPr>
            <w:tcW w:w="30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2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Securities, the Company shall, as expeditiously as reasonably possible:</w:t>
            </w:r>
          </w:p>
        </w:tc>
        <w:tc>
          <w:tcPr>
            <w:tcW w:w="2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442"/>
        </w:trPr>
        <w:tc>
          <w:tcPr>
            <w:tcW w:w="3000" w:type="dxa"/>
            <w:vAlign w:val="bottom"/>
          </w:tcPr>
          <w:p>
            <w:pPr>
              <w:jc w:val="right"/>
              <w:ind w:right="404"/>
              <w:spacing w:after="0"/>
              <w:rPr>
                <w:sz w:val="20"/>
                <w:szCs w:val="20"/>
                <w:color w:val="auto"/>
              </w:rPr>
            </w:pPr>
            <w:r>
              <w:rPr>
                <w:rFonts w:ascii="Times New Roman" w:cs="Times New Roman" w:eastAsia="Times New Roman" w:hAnsi="Times New Roman"/>
                <w:sz w:val="22"/>
                <w:szCs w:val="22"/>
                <w:color w:val="auto"/>
              </w:rPr>
              <w:t>(a)</w:t>
            </w:r>
          </w:p>
        </w:tc>
        <w:tc>
          <w:tcPr>
            <w:tcW w:w="8240" w:type="dxa"/>
            <w:vAlign w:val="bottom"/>
            <w:gridSpan w:val="4"/>
          </w:tcPr>
          <w:p>
            <w:pPr>
              <w:ind w:left="1500"/>
              <w:spacing w:after="0"/>
              <w:rPr>
                <w:sz w:val="20"/>
                <w:szCs w:val="20"/>
                <w:color w:val="auto"/>
              </w:rPr>
            </w:pPr>
            <w:r>
              <w:rPr>
                <w:rFonts w:ascii="Times New Roman" w:cs="Times New Roman" w:eastAsia="Times New Roman" w:hAnsi="Times New Roman"/>
                <w:sz w:val="18"/>
                <w:szCs w:val="18"/>
                <w:color w:val="auto"/>
              </w:rPr>
              <w:t>prepare and file with the SEC a registration statement with respect to such Registrable</w:t>
            </w:r>
          </w:p>
        </w:tc>
      </w:tr>
    </w:tbl>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Securities, as expeditiously as reasonably practicable, and use its commercially reasonable efforts to cause such registration statement to become effective and, upon the request of the Initiating Holders, keep such registration statement effective for a period of up to one hundred eighty (180) days or, if earlier, until the distribution contemplated in the registration statement has been completed;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such one hundred eighty (180) day period shall be extended for a period of time equal to the period the Holder refrains, at the request of an underwriter of Class A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eighty (180) day period shall be extended for up to two (2) years, if necessary, to keep the registration statement effective until all such Registrable Securities are sold;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at least five (5) days before filing a registration statement or any amendments or supplements thereto (including documents that would be incorporated or deemed to be incorporated therein by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0" w:name="page251"/>
    <w:bookmarkEnd w:id="250"/>
    <w:p>
      <w:pPr>
        <w:jc w:val="both"/>
        <w:spacing w:after="0"/>
        <w:rPr>
          <w:sz w:val="20"/>
          <w:szCs w:val="20"/>
          <w:color w:val="auto"/>
        </w:rPr>
      </w:pPr>
      <w:r>
        <w:rPr>
          <w:rFonts w:ascii="Times New Roman" w:cs="Times New Roman" w:eastAsia="Times New Roman" w:hAnsi="Times New Roman"/>
          <w:sz w:val="18"/>
          <w:szCs w:val="18"/>
          <w:color w:val="auto"/>
        </w:rPr>
        <w:t xml:space="preserve">reference), the Company shall furnish or otherwise make available to the holders of the Registrable Securities covered by such registration statement, their counsel and the managing underwriters, if any, copies of all such documents proposed to be filed, which documents will be subject to the reasonable review and comment of the Investors’ counsel and such other documents reasonably requested by such counsel, including any comment letter from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not file any such registration statement or any amendments or supplements thereto (including such documents that, upon filing, would be incorporated or deemed to be incorporated by reference therein) with respect to a registration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to which the holders of a majority of the Registrable Securities covered by such registration statement, their counsel, or the managing underwriters, if any, shall reasonably object, in writing, on a timely basis, unless, in the opinion of the Company, such filing is necessary to comply with applicable law;</w:t>
      </w:r>
    </w:p>
    <w:p>
      <w:pPr>
        <w:spacing w:after="0" w:line="175" w:lineRule="exact"/>
        <w:rPr>
          <w:sz w:val="20"/>
          <w:szCs w:val="20"/>
          <w:color w:val="auto"/>
        </w:rPr>
      </w:pPr>
    </w:p>
    <w:p>
      <w:pPr>
        <w:jc w:val="both"/>
        <w:ind w:firstLine="2246"/>
        <w:spacing w:after="0" w:line="264"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7"/>
          <w:szCs w:val="17"/>
          <w:color w:val="auto"/>
        </w:rPr>
        <w:t>prepare and file with the SEC such amendments and supplements to such 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statement, the prospectus used in connection with such registration statement or any other required document as may be necessary to comply with the Securities Act in order to enable the disposition of all securities covered by such registration statement;</w:t>
      </w:r>
    </w:p>
    <w:p>
      <w:pPr>
        <w:spacing w:after="0" w:line="156" w:lineRule="exact"/>
        <w:rPr>
          <w:sz w:val="20"/>
          <w:szCs w:val="20"/>
          <w:color w:val="auto"/>
        </w:rPr>
      </w:pPr>
    </w:p>
    <w:p>
      <w:pPr>
        <w:jc w:val="both"/>
        <w:ind w:firstLine="2246"/>
        <w:spacing w:after="0" w:line="26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7"/>
          <w:szCs w:val="17"/>
          <w:color w:val="auto"/>
        </w:rPr>
        <w:t>furnish to the selling Holders, its counsel and each managing underwriter, if any, without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charge, such number of copies of a prospectus, including a preliminary prospectus, as required by the Securities Act or as may be reasonably requested, and such other documents as such selling Holders may reasonably request in order to facilitate their disposition of their Registrable Securities;</w:t>
      </w:r>
    </w:p>
    <w:p>
      <w:pPr>
        <w:spacing w:after="0" w:line="156" w:lineRule="exact"/>
        <w:rPr>
          <w:sz w:val="20"/>
          <w:szCs w:val="20"/>
          <w:color w:val="auto"/>
        </w:rPr>
      </w:pPr>
    </w:p>
    <w:p>
      <w:pPr>
        <w:jc w:val="both"/>
        <w:ind w:right="20" w:firstLine="2246"/>
        <w:spacing w:after="0" w:line="259"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17"/>
          <w:szCs w:val="17"/>
          <w:color w:val="auto"/>
        </w:rPr>
        <w:t>use its commercially reasonable efforts to register and qualify the securities covered by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registration statement under such other securities or blue-sky laws of such jurisdictions as shall be reasonably requested by the selling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61"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17"/>
          <w:szCs w:val="17"/>
          <w:color w:val="auto"/>
        </w:rPr>
        <w:t>in the event of any underwritten public offering, enter into and perform its obligations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an underwriting agreement, in usual and customary form, with the underwriter(s) of such offering, and make such representations and warranties in the underwriting agreement to the holders of such Registrable Securities and the underwriters, if any, with respect to the business of the Company and its subsidiaries, and the registration statement, prospectus and documents, if any, incorporated or deemed to be incorporated by reference therein, in each case, in form, substance and scope as are customarily made by issuers to underwriters in underwritten offerings, and, if true, confirm the same if and when reasonably requested;</w:t>
      </w:r>
    </w:p>
    <w:p>
      <w:pPr>
        <w:spacing w:after="0" w:line="381" w:lineRule="exact"/>
        <w:rPr>
          <w:sz w:val="20"/>
          <w:szCs w:val="20"/>
          <w:color w:val="auto"/>
        </w:rPr>
      </w:pPr>
    </w:p>
    <w:p>
      <w:pPr>
        <w:jc w:val="both"/>
        <w:ind w:firstLine="2246"/>
        <w:spacing w:after="0" w:line="264"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17"/>
          <w:szCs w:val="17"/>
          <w:color w:val="auto"/>
        </w:rPr>
        <w:t>use its commercially reasonable efforts to cause all such Registrable Securities covered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such registration statement to be listed on a national securities exchange or trading system and each securities exchange and trading system (if any) on which similar securities issued by the Company are then listed;</w:t>
      </w:r>
    </w:p>
    <w:p>
      <w:pPr>
        <w:spacing w:after="0" w:line="156" w:lineRule="exact"/>
        <w:rPr>
          <w:sz w:val="20"/>
          <w:szCs w:val="20"/>
          <w:color w:val="auto"/>
        </w:rPr>
      </w:pPr>
    </w:p>
    <w:p>
      <w:pPr>
        <w:jc w:val="both"/>
        <w:ind w:firstLine="2246"/>
        <w:spacing w:after="0" w:line="252"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17"/>
          <w:szCs w:val="17"/>
          <w:color w:val="auto"/>
        </w:rPr>
        <w:t>use its commercially reasonable efforts to furnish, (i) an opinion, dated as of the date that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such Registrable Securities are delivered to the underwriters for sale, if such securities are being sold through underwriters, of the counsel representing the Company for the purposes of such registration, in form and substance as is customarily given to underwriters in an underwritten public offering, addressed to the underwriters, if any, and reasonably satisfactory to a majority in interest of the Holders requesting registration of Registrable Securities and (ii) “comfort” letters dated as of the date such Registrable Securities are priced and on the date that such Registrable Securities are delivered to the underwriters for sale, in each case if such securities are being sold through underwriters, from the independent certified public accountants of the Company, in form and substance as is customarily given by independent certified public accountants to underwriters in an underwritten public offering, addressed to the underwriters;</w:t>
      </w:r>
    </w:p>
    <w:p>
      <w:pPr>
        <w:spacing w:after="0" w:line="379"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17"/>
          <w:szCs w:val="17"/>
          <w:color w:val="auto"/>
        </w:rPr>
        <w:t>provide and caused to be maintained a transfer agent and registrar for all Registrable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Securities registered pursuant to this Agreement and provide a CUSIP number for all such Registrable Securities, in each case not later than the effective date of such registration;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1" w:name="page252"/>
    <w:bookmarkEnd w:id="251"/>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7"/>
          <w:szCs w:val="17"/>
          <w:color w:val="auto"/>
        </w:rPr>
        <w:t>promptly make available for inspection by the selling Holders, any managing underwriter(s)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381" w:lineRule="exact"/>
        <w:rPr>
          <w:sz w:val="20"/>
          <w:szCs w:val="20"/>
          <w:color w:val="auto"/>
        </w:rPr>
      </w:pPr>
    </w:p>
    <w:p>
      <w:pPr>
        <w:jc w:val="both"/>
        <w:ind w:firstLine="2246"/>
        <w:spacing w:after="0" w:line="259"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17"/>
          <w:szCs w:val="17"/>
          <w:color w:val="auto"/>
        </w:rPr>
        <w:t>use its commercially reasonable efforts to comply with all applicable rules and regulations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the SEC, and make available to its security holders, as soon as reasonably practicable, an earnings statement covering the period of at least twelve months, but not more than eighteen months, beginning with the first month after the effective date of the registration statement, which earnings statement shall satisfy the provisions of Section 11(a) of the Securities Act;</w:t>
      </w:r>
    </w:p>
    <w:p>
      <w:pPr>
        <w:spacing w:after="0" w:line="161" w:lineRule="exact"/>
        <w:rPr>
          <w:sz w:val="20"/>
          <w:szCs w:val="20"/>
          <w:color w:val="auto"/>
        </w:rPr>
      </w:pPr>
    </w:p>
    <w:p>
      <w:pPr>
        <w:jc w:val="both"/>
        <w:ind w:right="20" w:firstLine="2246"/>
        <w:spacing w:after="0" w:line="264" w:lineRule="auto"/>
        <w:rPr>
          <w:sz w:val="20"/>
          <w:szCs w:val="20"/>
          <w:color w:val="auto"/>
        </w:rPr>
      </w:pPr>
      <w:r>
        <w:rPr>
          <w:rFonts w:ascii="Times New Roman" w:cs="Times New Roman" w:eastAsia="Times New Roman" w:hAnsi="Times New Roman"/>
          <w:sz w:val="22"/>
          <w:szCs w:val="22"/>
          <w:color w:val="auto"/>
        </w:rPr>
        <w:t xml:space="preserve">(k) </w:t>
      </w:r>
      <w:r>
        <w:rPr>
          <w:rFonts w:ascii="Times New Roman" w:cs="Times New Roman" w:eastAsia="Times New Roman" w:hAnsi="Times New Roman"/>
          <w:sz w:val="17"/>
          <w:szCs w:val="17"/>
          <w:color w:val="auto"/>
        </w:rPr>
        <w:t>use its reasonable best efforts to obtain the withdrawal of any order suspending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effectiveness of a registration statement, or the lifting of any suspension of the qualification (or exemption from qualification) of any of the Registrable Securities for sale in any jurisdiction at the earliest date reasonably practicable;</w:t>
      </w:r>
    </w:p>
    <w:p>
      <w:pPr>
        <w:spacing w:after="0" w:line="156" w:lineRule="exact"/>
        <w:rPr>
          <w:sz w:val="20"/>
          <w:szCs w:val="20"/>
          <w:color w:val="auto"/>
        </w:rPr>
      </w:pPr>
    </w:p>
    <w:p>
      <w:pPr>
        <w:jc w:val="both"/>
        <w:ind w:firstLine="2246"/>
        <w:spacing w:after="0" w:line="259" w:lineRule="auto"/>
        <w:rPr>
          <w:sz w:val="20"/>
          <w:szCs w:val="20"/>
          <w:color w:val="auto"/>
        </w:rPr>
      </w:pPr>
      <w:r>
        <w:rPr>
          <w:rFonts w:ascii="Times New Roman" w:cs="Times New Roman" w:eastAsia="Times New Roman" w:hAnsi="Times New Roman"/>
          <w:sz w:val="22"/>
          <w:szCs w:val="22"/>
          <w:color w:val="auto"/>
        </w:rPr>
        <w:t xml:space="preserve">(l) </w:t>
      </w:r>
      <w:r>
        <w:rPr>
          <w:rFonts w:ascii="Times New Roman" w:cs="Times New Roman" w:eastAsia="Times New Roman" w:hAnsi="Times New Roman"/>
          <w:sz w:val="17"/>
          <w:szCs w:val="17"/>
          <w:color w:val="auto"/>
        </w:rPr>
        <w:t>use its commercially reasonable efforts to qualify such Registrable Securities for inclusion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the automated quotation system of the National Association of Securities Dealers, Inc., or such other national securities exchange on which any shares of Class A Common Stock are listed or quoted, or, if the Class A Common Stock is not then listed or quoted, use commercially reasonable efforts to list such Registrable Securities on a national securities exchange as the holders of a majority of such Registrable Securities shall reasonably request;</w:t>
      </w:r>
    </w:p>
    <w:p>
      <w:pPr>
        <w:spacing w:after="0" w:line="161"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2"/>
          <w:szCs w:val="22"/>
          <w:color w:val="auto"/>
        </w:rPr>
        <w:t xml:space="preserve">(m) </w:t>
      </w:r>
      <w:r>
        <w:rPr>
          <w:rFonts w:ascii="Times New Roman" w:cs="Times New Roman" w:eastAsia="Times New Roman" w:hAnsi="Times New Roman"/>
          <w:sz w:val="17"/>
          <w:szCs w:val="17"/>
          <w:color w:val="auto"/>
        </w:rPr>
        <w:t>notify each selling Holder and such selling Holder’s counsel, promptly after the 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receives notice thereof, of the time (i) when such registration statement has been declared effective; (ii) a supplement to any prospectus forming a part of such registration statement has been filed; (iii) of the receipt by the Company of any notification with respect to any comments by the SEC with respect to such registration statement or prospectus or any amendment or supplement thereto or any request by the SEC for the amending or supplementing thereof or for additional information with respect thereto, (iv) of the receipt by the Company of any notification with respect to the issuance by the SEC of any stop order suspending the effectiveness of such registration statement or prospectus or any amendment or supplement thereto or the initiation or threatening of any proceeding for that purpose, and (v) of the receipt by the Company of any notification with respect to the suspension of the qualification of such Registrable Securities for sale in any jurisdiction or the initiation or threatening of any proceeding for such purposes ; or (vi) of the happening of any event that makes any statement made in such registration statement or related prospectus, free writing prospectus, amendment or supplement thereto, or any document incorporated or deemed to be incorporated therein by reference, as then in effect, untrue in any material respect or that requires the making of any changes in such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the light of the circumstances under which they were made, not misleading (which notice shall notify the selling Holders only of the occurrence of such an event and shall provide no additional information regarding such event to the extent such information would constitute material non-public information);</w:t>
      </w:r>
    </w:p>
    <w:p>
      <w:pPr>
        <w:spacing w:after="0" w:line="383" w:lineRule="exact"/>
        <w:rPr>
          <w:sz w:val="20"/>
          <w:szCs w:val="20"/>
          <w:color w:val="auto"/>
        </w:rPr>
      </w:pPr>
    </w:p>
    <w:p>
      <w:pPr>
        <w:jc w:val="both"/>
        <w:ind w:firstLine="2246"/>
        <w:spacing w:after="0" w:line="286" w:lineRule="auto"/>
        <w:rPr>
          <w:sz w:val="20"/>
          <w:szCs w:val="20"/>
          <w:color w:val="auto"/>
        </w:rPr>
      </w:pPr>
      <w:r>
        <w:rPr>
          <w:rFonts w:ascii="Times New Roman" w:cs="Times New Roman" w:eastAsia="Times New Roman" w:hAnsi="Times New Roman"/>
          <w:sz w:val="22"/>
          <w:szCs w:val="22"/>
          <w:color w:val="auto"/>
        </w:rPr>
        <w:t xml:space="preserve">(n) </w:t>
      </w:r>
      <w:r>
        <w:rPr>
          <w:rFonts w:ascii="Times New Roman" w:cs="Times New Roman" w:eastAsia="Times New Roman" w:hAnsi="Times New Roman"/>
          <w:sz w:val="17"/>
          <w:szCs w:val="17"/>
          <w:color w:val="auto"/>
        </w:rPr>
        <w:t>after such registration statement becomes effective, notify each selling Holder of any request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by the SEC that the Company amend or supplement such registration statement or prospectus; and</w:t>
      </w:r>
    </w:p>
    <w:p>
      <w:pPr>
        <w:spacing w:after="0" w:line="136" w:lineRule="exact"/>
        <w:rPr>
          <w:sz w:val="20"/>
          <w:szCs w:val="20"/>
          <w:color w:val="auto"/>
        </w:rPr>
      </w:pPr>
    </w:p>
    <w:p>
      <w:pPr>
        <w:ind w:right="40" w:firstLine="2349"/>
        <w:spacing w:after="0" w:line="266" w:lineRule="auto"/>
        <w:tabs>
          <w:tab w:leader="none" w:pos="2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take all other steps necessary to effect the registration of such Registrable Securities contemplated hereby.</w:t>
      </w:r>
    </w:p>
    <w:p>
      <w:pPr>
        <w:spacing w:after="0" w:line="149"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the Registrable Securities of any selling Holder that such Holder shall furnish to the Company such information regarding itself, the Registrable Securities held by it, and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color w:val="auto"/>
        </w:rPr>
        <w:t>intended method of disposition of such securities as is reasonably required to effect the registration of such Holder’s Registrable Securities.</w:t>
      </w:r>
    </w:p>
    <w:p>
      <w:pPr>
        <w:spacing w:after="0" w:line="21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underwriting discounts and commissions) incurred in connection with registrations, filings or qualifications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including all registration, filing, qualification, listing and ratings agency fees; printers’ and accounting fees; Securities Act liability insurance if the Company so desires or any underwriters require; and fees and disbursements of counsel for the Company and the Holders who shall have such Registrable Securities effected in registration, shall be borne and paid by the Company, whether or not any registration statement is filed or becomes effective. All underwriting discounts and commissions relating to Registrable Securities registered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borne and paid by the 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 number of Registrable Securities registered on their behalf.</w:t>
      </w:r>
    </w:p>
    <w:p>
      <w:pPr>
        <w:spacing w:after="0" w:line="392"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Delay of Registration</w:t>
      </w:r>
      <w:r>
        <w:rPr>
          <w:rFonts w:ascii="Times New Roman" w:cs="Times New Roman" w:eastAsia="Times New Roman" w:hAnsi="Times New Roman"/>
          <w:sz w:val="18"/>
          <w:szCs w:val="18"/>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gridSpan w:val="3"/>
          </w:tcPr>
          <w:p>
            <w:pPr>
              <w:jc w:val="right"/>
              <w:ind w:right="892"/>
              <w:spacing w:after="0"/>
              <w:rPr>
                <w:sz w:val="20"/>
                <w:szCs w:val="20"/>
                <w:color w:val="auto"/>
              </w:rPr>
            </w:pPr>
            <w:r>
              <w:rPr>
                <w:rFonts w:ascii="Times New Roman" w:cs="Times New Roman" w:eastAsia="Times New Roman" w:hAnsi="Times New Roman"/>
                <w:sz w:val="18"/>
                <w:szCs w:val="18"/>
                <w:color w:val="auto"/>
              </w:rPr>
              <w:t>2.9</w:t>
            </w:r>
          </w:p>
        </w:tc>
        <w:tc>
          <w:tcPr>
            <w:tcW w:w="8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Indemnification. If any Registrable Securities are included in a registration statement whether or not pursuant to</w:t>
            </w:r>
          </w:p>
        </w:tc>
      </w:tr>
      <w:tr>
        <w:trPr>
          <w:trHeight w:val="183"/>
        </w:trPr>
        <w:tc>
          <w:tcPr>
            <w:tcW w:w="2740" w:type="dxa"/>
            <w:vAlign w:val="bottom"/>
            <w:gridSpan w:val="3"/>
          </w:tcPr>
          <w:p>
            <w:pPr>
              <w:jc w:val="right"/>
              <w:ind w:right="1592"/>
              <w:spacing w:after="0" w:line="182" w:lineRule="exact"/>
              <w:rPr>
                <w:sz w:val="20"/>
                <w:szCs w:val="20"/>
                <w:color w:val="auto"/>
              </w:rPr>
            </w:pPr>
            <w:r>
              <w:rPr>
                <w:rFonts w:ascii="Times New Roman" w:cs="Times New Roman" w:eastAsia="Times New Roman" w:hAnsi="Times New Roman"/>
                <w:sz w:val="18"/>
                <w:szCs w:val="18"/>
                <w:color w:val="auto"/>
                <w:w w:val="98"/>
              </w:rPr>
              <w:t>this Section 2:</w:t>
            </w:r>
          </w:p>
        </w:tc>
        <w:tc>
          <w:tcPr>
            <w:tcW w:w="2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060" w:type="dxa"/>
            <w:vAlign w:val="bottom"/>
          </w:tcPr>
          <w:p>
            <w:pPr>
              <w:spacing w:after="0"/>
              <w:rPr>
                <w:sz w:val="15"/>
                <w:szCs w:val="15"/>
                <w:color w:val="auto"/>
              </w:rPr>
            </w:pPr>
          </w:p>
        </w:tc>
      </w:tr>
      <w:tr>
        <w:trPr>
          <w:trHeight w:val="468"/>
        </w:trPr>
        <w:tc>
          <w:tcPr>
            <w:tcW w:w="3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7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(a)</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the extent permitted by law, the Company will indemnify and hold harmless each selling</w:t>
            </w:r>
          </w:p>
        </w:tc>
      </w:tr>
    </w:tbl>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Holder, and the partners, members, officers, directors and stockholders of each such Holder; legal counsel and accountants for each such Holder; any underwriter (as defined in the Securities Act) for each such Holder; and each Person, if any, who controls such Holder or underwriter, broker or any other Person acting on behalf of the Holders , against any Damages, and the Company will pay to each such Holder, controlling Person or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indemnity agreement contained in this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shall not apply to amounts paid in settlement of any such claim or proceeding if such settlement is effected without the consent of the Company, which consent shall not be unreasonably delayed, conditioned or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78" w:lineRule="exact"/>
        <w:rPr>
          <w:sz w:val="20"/>
          <w:szCs w:val="20"/>
          <w:color w:val="auto"/>
        </w:rPr>
      </w:pPr>
    </w:p>
    <w:p>
      <w:pPr>
        <w:jc w:val="both"/>
        <w:ind w:firstLine="2246"/>
        <w:spacing w:after="0" w:line="251"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7"/>
          <w:szCs w:val="17"/>
          <w:color w:val="auto"/>
        </w:rPr>
        <w:t>To the extent permitted by law, each selling Holder, severally and not jointly, will indemnify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indemnity agreement contained in this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shall not apply to amounts paid in settlement of any such claim or proceeding if such settlement is effected without the consent of the Holder, which consent shall not be unreasonably delayed, conditioned or withheld;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no event shall the aggregate amounts payable by any Holder by way of indemnity or contribution under this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(d)</w:t>
      </w:r>
      <w:r>
        <w:rPr>
          <w:rFonts w:ascii="Times New Roman" w:cs="Times New Roman" w:eastAsia="Times New Roman" w:hAnsi="Times New Roman"/>
          <w:sz w:val="17"/>
          <w:szCs w:val="17"/>
          <w:color w:val="auto"/>
        </w:rPr>
        <w:t xml:space="preserve"> exceed the proceeds from the offering actually received by such Holder (net of any underwriting discounts and commissions paid by such Holder), except in the case of fraud or willful misconduct by such Holder.</w:t>
      </w:r>
    </w:p>
    <w:p>
      <w:pPr>
        <w:spacing w:after="0" w:line="173"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7"/>
          <w:szCs w:val="17"/>
          <w:color w:val="auto"/>
        </w:rPr>
        <w:t>Promptly after receipt by an indemnified party under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of notice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give the indemnifying party notice of the commencement thereof. The indemnifying party shall have the right to participate in such action and, to the extent the indemnifying party so desires, participate jointly with</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3" w:name="page254"/>
    <w:bookmarkEnd w:id="253"/>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any other indemnifying party to which notice has been given, and to assume the defense thereof with counsel mutually satisfactory to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17"/>
          <w:szCs w:val="17"/>
          <w:color w:val="auto"/>
        </w:rPr>
        <w:t>To provide for just and equitable contribution to joint liability under the Securities Act in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case in which either (i) any party otherwise entitled to indemnification hereunder makes a claim for indemnification pursuant to this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xml:space="preserve"> provides for indemnification in such case, or (ii) contribution under the Securities Act may be required on the part of any party hereto for which indemnification is provided under this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in no event shall a Holder’s liability pursuant to this </w:t>
      </w:r>
      <w:r>
        <w:rPr>
          <w:rFonts w:ascii="Times New Roman" w:cs="Times New Roman" w:eastAsia="Times New Roman" w:hAnsi="Times New Roman"/>
          <w:sz w:val="17"/>
          <w:szCs w:val="17"/>
          <w:u w:val="single" w:color="auto"/>
          <w:color w:val="auto"/>
        </w:rPr>
        <w:t>Section (d)</w:t>
      </w:r>
      <w:r>
        <w:rPr>
          <w:rFonts w:ascii="Times New Roman" w:cs="Times New Roman" w:eastAsia="Times New Roman" w:hAnsi="Times New Roman"/>
          <w:sz w:val="17"/>
          <w:szCs w:val="17"/>
          <w:color w:val="auto"/>
        </w:rPr>
        <w:t xml:space="preserve">, when combined with the amounts paid or payable by such Holder pursuant to </w:t>
      </w:r>
      <w:r>
        <w:rPr>
          <w:rFonts w:ascii="Times New Roman" w:cs="Times New Roman" w:eastAsia="Times New Roman" w:hAnsi="Times New Roman"/>
          <w:sz w:val="17"/>
          <w:szCs w:val="17"/>
          <w:u w:val="single" w:color="auto"/>
          <w:color w:val="auto"/>
        </w:rPr>
        <w:t>Section (b)</w:t>
      </w:r>
      <w:r>
        <w:rPr>
          <w:rFonts w:ascii="Times New Roman" w:cs="Times New Roman" w:eastAsia="Times New Roman" w:hAnsi="Times New Roman"/>
          <w:sz w:val="17"/>
          <w:szCs w:val="17"/>
          <w:color w:val="auto"/>
        </w:rPr>
        <w:t>, exceed the proceeds from the offering received by such Holder (net of any underwriting discounts and commissions paid by such Holder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except in the case of willful misconduct or fraud by such Holder.</w:t>
      </w:r>
    </w:p>
    <w:p>
      <w:pPr>
        <w:spacing w:after="0" w:line="381" w:lineRule="exact"/>
        <w:rPr>
          <w:sz w:val="20"/>
          <w:szCs w:val="20"/>
          <w:color w:val="auto"/>
        </w:rPr>
      </w:pPr>
    </w:p>
    <w:p>
      <w:pPr>
        <w:jc w:val="both"/>
        <w:ind w:firstLine="2246"/>
        <w:spacing w:after="0" w:line="250"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17"/>
          <w:szCs w:val="17"/>
          <w:color w:val="auto"/>
        </w:rPr>
        <w:t>The Company hereby acknowledges that certain Holders (the “</w:t>
      </w:r>
      <w:r>
        <w:rPr>
          <w:rFonts w:ascii="Times New Roman" w:cs="Times New Roman" w:eastAsia="Times New Roman" w:hAnsi="Times New Roman"/>
          <w:sz w:val="17"/>
          <w:szCs w:val="17"/>
          <w:b w:val="1"/>
          <w:bCs w:val="1"/>
          <w:color w:val="auto"/>
        </w:rPr>
        <w:t>Fund Indemnitees</w:t>
      </w:r>
      <w:r>
        <w:rPr>
          <w:rFonts w:ascii="Times New Roman" w:cs="Times New Roman" w:eastAsia="Times New Roman" w:hAnsi="Times New Roman"/>
          <w:sz w:val="17"/>
          <w:szCs w:val="17"/>
          <w:color w:val="auto"/>
        </w:rPr>
        <w:t>”) may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have rights to indemnification, advancement of expenses and/or insurance with respect to their service on the Board of Directors of the Company or otherwise in connection with their involvement with the Company provided by other Persons (collectively, the “</w:t>
      </w:r>
      <w:r>
        <w:rPr>
          <w:rFonts w:ascii="Times New Roman" w:cs="Times New Roman" w:eastAsia="Times New Roman" w:hAnsi="Times New Roman"/>
          <w:sz w:val="17"/>
          <w:szCs w:val="17"/>
          <w:b w:val="1"/>
          <w:bCs w:val="1"/>
          <w:color w:val="auto"/>
        </w:rPr>
        <w:t>Fund Indemnitors</w:t>
      </w:r>
      <w:r>
        <w:rPr>
          <w:rFonts w:ascii="Times New Roman" w:cs="Times New Roman" w:eastAsia="Times New Roman" w:hAnsi="Times New Roman"/>
          <w:sz w:val="17"/>
          <w:szCs w:val="17"/>
          <w:color w:val="auto"/>
        </w:rPr>
        <w:t xml:space="preserve">”). The Company hereby agrees (i) that it is the indemnitor of first resort (i.e., its obligations to the Fund Indemnitee are primary and any obligation of the Fund Indemnitors to advance expenses or to provide indemnification for the same expenses or liabilities incurred by the Fund Indemnitees are secondary), (ii) that it shall be required to advance the full amount of expenses incurred by the Fund Indemnitees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the Fund Indemnitees), without regard to any rights the Fund Indemnitees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the Fund Indemnitees with respect to any claim for which the Fund Indemnitees have sought indemnification from the Company shall affect the foregoing and the Fund Indemnitors shall have a right of contribution and/or be subrogated to the extent of such advancement or payment to all of the rights of recovery of the Fund Indemnitees against the Company. The Company and the Fund Indemnitors agree that the Fund Indemnitees are express third party beneficiaries of the terms of this </w:t>
      </w:r>
      <w:r>
        <w:rPr>
          <w:rFonts w:ascii="Times New Roman" w:cs="Times New Roman" w:eastAsia="Times New Roman" w:hAnsi="Times New Roman"/>
          <w:sz w:val="17"/>
          <w:szCs w:val="17"/>
          <w:u w:val="single" w:color="auto"/>
          <w:color w:val="auto"/>
        </w:rPr>
        <w:t>Section (e)</w:t>
      </w:r>
      <w:r>
        <w:rPr>
          <w:rFonts w:ascii="Times New Roman" w:cs="Times New Roman" w:eastAsia="Times New Roman" w:hAnsi="Times New Roman"/>
          <w:sz w:val="17"/>
          <w:szCs w:val="17"/>
          <w:color w:val="auto"/>
        </w:rPr>
        <w: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4" w:name="page255"/>
    <w:bookmarkEnd w:id="254"/>
    <w:p>
      <w:pPr>
        <w:jc w:val="both"/>
        <w:ind w:firstLine="2246"/>
        <w:spacing w:after="0" w:line="286"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17"/>
          <w:szCs w:val="17"/>
          <w:color w:val="auto"/>
        </w:rPr>
        <w:t>The obligations of the Company and Holders under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u w:val="single" w:color="auto"/>
          <w:color w:val="auto"/>
        </w:rPr>
        <w:t>Section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shall survive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 xml:space="preserve">completion of any offering of Registrable Securities in a registration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otherwise shall survive the termination of this Agreement.</w:t>
      </w:r>
    </w:p>
    <w:p>
      <w:pPr>
        <w:spacing w:after="0" w:line="136" w:lineRule="exact"/>
        <w:rPr>
          <w:sz w:val="20"/>
          <w:szCs w:val="20"/>
          <w:color w:val="auto"/>
        </w:rPr>
      </w:pPr>
    </w:p>
    <w:p>
      <w:pPr>
        <w:jc w:val="both"/>
        <w:ind w:firstLine="1497"/>
        <w:spacing w:after="0" w:line="220" w:lineRule="exact"/>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Reports Under Exchange Act</w:t>
      </w:r>
      <w:r>
        <w:rPr>
          <w:rFonts w:ascii="Times New Roman" w:cs="Times New Roman" w:eastAsia="Times New Roman" w:hAnsi="Times New Roman"/>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the Company shall:</w:t>
      </w:r>
    </w:p>
    <w:p>
      <w:pPr>
        <w:sectPr>
          <w:pgSz w:w="11900" w:h="16838" w:orient="portrait"/>
          <w:cols w:equalWidth="0" w:num="1">
            <w:col w:w="11240"/>
          </w:cols>
          <w:pgMar w:left="320" w:top="355" w:right="339" w:bottom="1440" w:gutter="0" w:footer="0" w:header="0"/>
        </w:sectPr>
      </w:pP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and keep available adequate current public information, as those terms are understood</w:t>
      </w:r>
    </w:p>
    <w:p>
      <w:pPr>
        <w:spacing w:after="0" w:line="36" w:lineRule="exact"/>
        <w:rPr>
          <w:sz w:val="20"/>
          <w:szCs w:val="20"/>
          <w:color w:val="auto"/>
        </w:rPr>
      </w:pPr>
    </w:p>
    <w:p>
      <w:pPr>
        <w:sectPr>
          <w:pgSz w:w="11900" w:h="16838" w:orient="portrait"/>
          <w:cols w:equalWidth="0" w:num="2">
            <w:col w:w="3780" w:space="720"/>
            <w:col w:w="6740"/>
          </w:cols>
          <w:pgMar w:left="320" w:top="35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and defined in SEC Rule 144, at all times after the effective date of the registration statement filed by the Company for the IPO;</w:t>
      </w:r>
    </w:p>
    <w:p>
      <w:pPr>
        <w:sectPr>
          <w:pgSz w:w="11900" w:h="16838" w:orient="portrait"/>
          <w:cols w:equalWidth="0" w:num="1">
            <w:col w:w="11240"/>
          </w:cols>
          <w:pgMar w:left="320" w:top="355" w:right="339" w:bottom="1440" w:gutter="0" w:footer="0" w:header="0"/>
          <w:type w:val="continuous"/>
        </w:sectPr>
      </w:pPr>
    </w:p>
    <w:p>
      <w:pPr>
        <w:spacing w:after="0" w:line="17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9"/>
          <w:szCs w:val="19"/>
          <w:color w:val="auto"/>
        </w:rPr>
        <w:t>(b)</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commercially reasonable efforts to file with the SEC in a timely manner all reports and</w:t>
      </w:r>
    </w:p>
    <w:p>
      <w:pPr>
        <w:spacing w:after="0" w:line="39" w:lineRule="exact"/>
        <w:rPr>
          <w:sz w:val="20"/>
          <w:szCs w:val="20"/>
          <w:color w:val="auto"/>
        </w:rPr>
      </w:pPr>
    </w:p>
    <w:p>
      <w:pPr>
        <w:sectPr>
          <w:pgSz w:w="11900" w:h="16838" w:orient="portrait"/>
          <w:cols w:equalWidth="0" w:num="2">
            <w:col w:w="3780" w:space="720"/>
            <w:col w:w="6740"/>
          </w:cols>
          <w:pgMar w:left="320" w:top="355" w:right="339" w:bottom="1440" w:gutter="0" w:footer="0" w:header="0"/>
          <w:type w:val="continuous"/>
        </w:sectPr>
      </w:pPr>
    </w:p>
    <w:p>
      <w:pPr>
        <w:jc w:val="both"/>
        <w:spacing w:after="0" w:line="235" w:lineRule="auto"/>
        <w:rPr>
          <w:sz w:val="20"/>
          <w:szCs w:val="20"/>
          <w:color w:val="auto"/>
        </w:rPr>
      </w:pPr>
      <w:r>
        <w:rPr>
          <w:rFonts w:ascii="Times New Roman" w:cs="Times New Roman" w:eastAsia="Times New Roman" w:hAnsi="Times New Roman"/>
          <w:sz w:val="18"/>
          <w:szCs w:val="18"/>
          <w:color w:val="auto"/>
        </w:rPr>
        <w:t>other documents required of the Company under the Securities Act and the Exchange Act (at any time after the Company has become subject to such reporting requirements); and</w:t>
      </w:r>
    </w:p>
    <w:p>
      <w:pPr>
        <w:spacing w:after="0" w:line="176" w:lineRule="exact"/>
        <w:rPr>
          <w:sz w:val="20"/>
          <w:szCs w:val="20"/>
          <w:color w:val="auto"/>
        </w:rPr>
      </w:pPr>
    </w:p>
    <w:p>
      <w:pPr>
        <w:jc w:val="both"/>
        <w:ind w:firstLine="2246"/>
        <w:spacing w:after="0" w:line="217" w:lineRule="exact"/>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17"/>
          <w:szCs w:val="17"/>
          <w:color w:val="auto"/>
        </w:rPr>
        <w:t>furnish to any Holder, so long as the Holder owns any Registrable Securities, forthwith upon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3 (at any time after the Company so qualifies to use such form).</w:t>
      </w:r>
    </w:p>
    <w:p>
      <w:pPr>
        <w:spacing w:after="0" w:line="155"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1240" w:type="dxa"/>
            <w:vAlign w:val="bottom"/>
          </w:tcPr>
          <w:p>
            <w:pPr>
              <w:jc w:val="right"/>
              <w:ind w:right="821"/>
              <w:spacing w:after="0"/>
              <w:rPr>
                <w:sz w:val="20"/>
                <w:szCs w:val="20"/>
                <w:color w:val="auto"/>
              </w:rPr>
            </w:pPr>
            <w:r>
              <w:rPr>
                <w:rFonts w:ascii="Times New Roman" w:cs="Times New Roman" w:eastAsia="Times New Roman" w:hAnsi="Times New Roman"/>
                <w:sz w:val="18"/>
                <w:szCs w:val="18"/>
                <w:color w:val="auto"/>
                <w:w w:val="95"/>
              </w:rPr>
              <w:t>2.11</w:t>
            </w:r>
          </w:p>
        </w:tc>
        <w:tc>
          <w:tcPr>
            <w:tcW w:w="260" w:type="dxa"/>
            <w:vAlign w:val="bottom"/>
          </w:tcPr>
          <w:p>
            <w:pPr>
              <w:spacing w:after="0"/>
              <w:rPr>
                <w:sz w:val="17"/>
                <w:szCs w:val="17"/>
                <w:color w:val="auto"/>
              </w:rPr>
            </w:pPr>
          </w:p>
        </w:tc>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Limitations on Subsequent Registration Rights; No Inconsistent Agreement.</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141"/>
              <w:spacing w:after="0"/>
              <w:rPr>
                <w:sz w:val="20"/>
                <w:szCs w:val="20"/>
                <w:color w:val="auto"/>
              </w:rPr>
            </w:pPr>
            <w:r>
              <w:rPr>
                <w:rFonts w:ascii="Times New Roman" w:cs="Times New Roman" w:eastAsia="Times New Roman" w:hAnsi="Times New Roman"/>
                <w:sz w:val="22"/>
                <w:szCs w:val="22"/>
                <w:color w:val="auto"/>
              </w:rPr>
              <w:t>(a)</w:t>
            </w:r>
          </w:p>
        </w:tc>
        <w:tc>
          <w:tcPr>
            <w:tcW w:w="26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1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From and after the date of this Agreement, the Company shall not, without the prior written</w:t>
            </w:r>
          </w:p>
        </w:tc>
        <w:tc>
          <w:tcPr>
            <w:tcW w:w="0" w:type="dxa"/>
            <w:vAlign w:val="bottom"/>
          </w:tcPr>
          <w:p>
            <w:pPr>
              <w:spacing w:after="0"/>
              <w:rPr>
                <w:sz w:val="1"/>
                <w:szCs w:val="1"/>
                <w:color w:val="auto"/>
              </w:rPr>
            </w:pPr>
          </w:p>
        </w:tc>
      </w:tr>
    </w:tbl>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consent of the Holders of a majority of the Registrable Securities held by all Holders, enter into any agreement with any holder or prospective holder of any securities of the Company that (A) would provide to such holder the right to include securities in any registration on other than either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respect to the Registrable Securities or on a subordinate basis after all Holders have had the opportunity to include in the registration and offering all shares of Registrable Securities that they wish to so include or (B) allow such holder or prospective holder to initiate a demand for registration of any securities held by such holder or prospective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limitation shall not apply to any additional Investor who becomes a party to this Agreement in accordance with </w:t>
      </w:r>
      <w:r>
        <w:rPr>
          <w:rFonts w:ascii="Times New Roman" w:cs="Times New Roman" w:eastAsia="Times New Roman" w:hAnsi="Times New Roman"/>
          <w:sz w:val="18"/>
          <w:szCs w:val="18"/>
          <w:u w:val="single" w:color="auto"/>
          <w:color w:val="auto"/>
        </w:rPr>
        <w:t>Section 4.10.</w:t>
      </w:r>
    </w:p>
    <w:p>
      <w:pPr>
        <w:spacing w:after="0" w:line="176"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17"/>
          <w:szCs w:val="17"/>
          <w:color w:val="auto"/>
        </w:rPr>
        <w:t>The Company hereby represents that, as of the date hereof, the rights granted to the Holders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of Registrable Securities hereunder do not in any way conflict with and are not inconsistent with any other agreements to which the Company is a party or by which it is bound.</w:t>
      </w:r>
    </w:p>
    <w:p>
      <w:pPr>
        <w:spacing w:after="0" w:line="372" w:lineRule="exact"/>
        <w:rPr>
          <w:sz w:val="20"/>
          <w:szCs w:val="20"/>
          <w:color w:val="auto"/>
        </w:rPr>
      </w:pPr>
    </w:p>
    <w:p>
      <w:pPr>
        <w:jc w:val="both"/>
        <w:ind w:firstLine="1497"/>
        <w:spacing w:after="0" w:line="208" w:lineRule="exact"/>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Market Stand</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off” Agreement</w:t>
      </w:r>
      <w:r>
        <w:rPr>
          <w:rFonts w:ascii="Times New Roman" w:cs="Times New Roman" w:eastAsia="Times New Roman" w:hAnsi="Times New Roman"/>
          <w:sz w:val="18"/>
          <w:szCs w:val="18"/>
          <w:color w:val="auto"/>
        </w:rPr>
        <w:t xml:space="preserve">. If requested by the Company and an underwriter of Class A Common Stock or any other Equity Securities of the Company, each Holder shall not, without the prior written consent of the managing underwriter(s), during the period commencing on the date of the final prospectus relating to the registration by the Company of shares of its Class A Common Stock or any other Equity Securities under the Securities Act on a registration statement on Form S-1 or Form S-3, and ending on the date specified by the Company and the managing underwriter (such period not to exceed ninety (90) days or such other period as may be requested by the Company or an underwriter), (i) lend; offer; pledge; sell; contract to sell; sell any option or contract to purchase; purchase any option or contract to sell; grant any option, right or warrant to purchase; or otherwise transfer or dispose of, directly or indirectly, any shares of Class A Common Stock or any securities convertible into or exercisable or exchangeable (directly or indirectly) for Class A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Class A Common Stock or other securities, in cash,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executive officers and directors of the Company are bound by and have entered into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255" w:name="page256"/>
    <w:bookmarkEnd w:id="255"/>
    <w:p>
      <w:pPr>
        <w:jc w:val="both"/>
        <w:spacing w:after="0" w:line="206" w:lineRule="exact"/>
        <w:rPr>
          <w:sz w:val="20"/>
          <w:szCs w:val="20"/>
          <w:color w:val="auto"/>
        </w:rPr>
      </w:pPr>
      <w:r>
        <w:rPr>
          <w:rFonts w:ascii="Times New Roman" w:cs="Times New Roman" w:eastAsia="Times New Roman" w:hAnsi="Times New Roman"/>
          <w:sz w:val="18"/>
          <w:szCs w:val="18"/>
          <w:color w:val="auto"/>
        </w:rPr>
        <w:t xml:space="preserve">similar agreements unless waived by the Holders, which waiver shall be in the sole discretion of the Holders. The foregoing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shall not apply to (i) the registration and sale of any Registrable Securities on a registration statement on Form S-1 or Form S-3 or (ii) the sale of any shares by the Holders to an underwriter pursuant to an underwriting agreement (including any Registrable Securities), or the transfer of any shares to any trust for the direct or indirect benefit of the Holder or an Immediate Family Member of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trustee of the trust agrees to be bound in writing by the restrictions set forth herein,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transfer shall not involve a disposition for value. The underwriters in connection with such registration are intended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party beneficiaries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 If requested by the Company and an underwriter of Class A Common Stock (or other securities) of the Company,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that are necessary to give further effect thereto. Any discretionary waiver or termination of the restrictions of any or all of such agreements by the Company or the underwriters shall apply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all Holders subject to such agreements, based on the number of shares subject to such agreements.</w:t>
      </w:r>
    </w:p>
    <w:p>
      <w:pPr>
        <w:spacing w:after="0" w:line="186"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The right of any Holder to request inclusion of Registrable Securities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terminate and be of no further force or effect at such time after the IPO that such Holder holds less than 1% of the Company’s then outstanding Class A Common Stock (treating for this purpose all shares of Class A Common Stock issuable upon exercise of or conversion of outstanding options, warrants or convertible securities, as if exercised or convertedf);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Holder’s rights and obligations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as well as the Company’s obligations to pay expenses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survive with respect to any registration statement in which any Registrable Securities of such Holder were included and, for the avoidance of doubt, any underwriter lock-up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that a Holder has executed prior to a Holder’s termination in accordance with this clause shall remain in effect in accordance with its terms.</w:t>
      </w:r>
    </w:p>
    <w:p>
      <w:pPr>
        <w:spacing w:after="0" w:line="181" w:lineRule="exact"/>
        <w:rPr>
          <w:sz w:val="20"/>
          <w:szCs w:val="20"/>
          <w:color w:val="auto"/>
        </w:rPr>
      </w:pPr>
    </w:p>
    <w:p>
      <w:pPr>
        <w:jc w:val="both"/>
        <w:ind w:firstLine="757"/>
        <w:spacing w:after="0" w:line="238" w:lineRule="auto"/>
        <w:tabs>
          <w:tab w:leader="none" w:pos="1498"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Hedging Transactions</w:t>
      </w:r>
      <w:r>
        <w:rPr>
          <w:rFonts w:ascii="Times New Roman" w:cs="Times New Roman" w:eastAsia="Times New Roman" w:hAnsi="Times New Roman"/>
          <w:sz w:val="18"/>
          <w:szCs w:val="18"/>
          <w:b w:val="1"/>
          <w:bCs w:val="1"/>
          <w:color w:val="auto"/>
          <w:highlight w:val="white"/>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highlight w:val="white"/>
        </w:rPr>
        <w:t>The parties agree that the provisions of this Agreement relating to the registration, offer and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apply also to (i) any transaction which transfers some or all of the economic risk of ownership of Registrable Securities, including any forward contract, equity swap, put or call, put or call equivalent position, collar, margin loan, sale of exchangeable security or similar transaction (including the registration, offer and sale under the Securities Act of Registrable Securities pledged to the counterparty to such transaction or of securities of the same class as the underlying Registrable Securities by the counterparty to such transaction in connection therewith), and that the counterparty to such transaction shall be selected in the sole discretion of the Holders and (ii) any derivative transactions in which a broker-dealer, other financial institution or unaffiliated Person may sell Registrable Securities covered by any prospectus and the applicable prospectus supplement including short sale transactions using Registrable Securities pledged by a Holder or borrowed from the Holder or others and Registrable Securities loaned, pledged or hypothecated to any such party. The prospectus shall permit, in connection with derivative transactions, a broker-dealer, other financial institution or third party to sell shares of the Registrable Securities covered by such prospectus and the applicable prospectus supplement, including in short sale transactions.</w:t>
      </w:r>
    </w:p>
    <w:p>
      <w:pPr>
        <w:spacing w:after="0" w:line="188"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Nominees for Beneficial Owners</w:t>
      </w:r>
      <w:r>
        <w:rPr>
          <w:rFonts w:ascii="Times New Roman" w:cs="Times New Roman" w:eastAsia="Times New Roman" w:hAnsi="Times New Roman"/>
          <w:sz w:val="18"/>
          <w:szCs w:val="18"/>
          <w:color w:val="auto"/>
        </w:rPr>
        <w:t xml:space="preserve">. If Registrable Securities are held by a nominee for the beneficial owner thereof, the beneficial owner thereof may, at its option, be treated as the Holder of such Registrable Securities for purposes of any request or other action by any Holder or Holders of Registrable Securities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have received assurances reasonably satisfactory to it of such beneficial ownership, written confirmation from such nominee and the beneficial owner agrees to be bound by the terms of this Agreement, including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Except as otherwise provided herein, no modification, amendment or waiver of any provision of this Agreement shall be effective against the Company or any Holder unless such modification, amendment or waiver is approved in writing by the Company and the Holders of a majority of the Registrable Securities then outstanding. No waiver of any of the provisions of this Agreement shall be deemed to or shall constitute a waiver of any other provision hereof (whether or not similar). No failure or delay on the part of any party in exercising any right, power or privilege hereunder shall operate as a waiver thereof or of any other or future exercise of any such right, power or privilege.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6" w:name="page257"/>
    <w:bookmarkEnd w:id="256"/>
    <w:p>
      <w:pPr>
        <w:jc w:val="both"/>
        <w:ind w:firstLine="1497"/>
        <w:spacing w:after="0" w:line="239"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Investors at their addresses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or to the principal office of the Company and to the attention of the Chief Financial Officer, in the case of the Company, or to such facsimile number or address as subsequently modified by written notice given in accordance with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If notice is given to the Company or to the Investors, a copy shall be sent to such party at the addresses set forth below:</w:t>
      </w:r>
    </w:p>
    <w:p>
      <w:pPr>
        <w:spacing w:after="0" w:line="18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2051 Ringwood Avenue</w:t>
      </w:r>
    </w:p>
    <w:p>
      <w:pPr>
        <w:ind w:left="1880"/>
        <w:spacing w:after="0" w:line="234" w:lineRule="auto"/>
        <w:rPr>
          <w:sz w:val="20"/>
          <w:szCs w:val="20"/>
          <w:color w:val="auto"/>
        </w:rPr>
      </w:pPr>
      <w:r>
        <w:rPr>
          <w:rFonts w:ascii="Times New Roman" w:cs="Times New Roman" w:eastAsia="Times New Roman" w:hAnsi="Times New Roman"/>
          <w:sz w:val="18"/>
          <w:szCs w:val="18"/>
          <w:color w:val="auto"/>
        </w:rPr>
        <w:t>San Jose, CA 95131</w:t>
      </w:r>
    </w:p>
    <w:p>
      <w:pPr>
        <w:ind w:left="1880"/>
        <w:spacing w:after="0" w:line="235" w:lineRule="auto"/>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svai@ranitherapeutics.com</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Cooley LLP</w:t>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3175 Hanover Street</w:t>
      </w:r>
    </w:p>
    <w:p>
      <w:pPr>
        <w:ind w:left="1880"/>
        <w:spacing w:after="0" w:line="234" w:lineRule="auto"/>
        <w:rPr>
          <w:sz w:val="20"/>
          <w:szCs w:val="20"/>
          <w:color w:val="auto"/>
        </w:rPr>
      </w:pPr>
      <w:r>
        <w:rPr>
          <w:rFonts w:ascii="Times New Roman" w:cs="Times New Roman" w:eastAsia="Times New Roman" w:hAnsi="Times New Roman"/>
          <w:sz w:val="18"/>
          <w:szCs w:val="18"/>
          <w:color w:val="auto"/>
        </w:rPr>
        <w:t>Palo Alto, CA 94304-1130</w:t>
      </w:r>
    </w:p>
    <w:p>
      <w:pPr>
        <w:ind w:left="1880"/>
        <w:spacing w:after="0" w:line="235" w:lineRule="auto"/>
        <w:rPr>
          <w:sz w:val="20"/>
          <w:szCs w:val="20"/>
          <w:color w:val="auto"/>
        </w:rPr>
      </w:pPr>
      <w:r>
        <w:rPr>
          <w:rFonts w:ascii="Times New Roman" w:cs="Times New Roman" w:eastAsia="Times New Roman" w:hAnsi="Times New Roman"/>
          <w:sz w:val="18"/>
          <w:szCs w:val="18"/>
          <w:color w:val="auto"/>
        </w:rPr>
        <w:t>Attention: Josh Seidenfeld</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jseidenfeld@cooley.com</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if to the Investors, to:</w:t>
      </w:r>
    </w:p>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[c/o</w:t>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[Address]</w:t>
      </w:r>
    </w:p>
    <w:p>
      <w:pPr>
        <w:ind w:left="1880"/>
        <w:spacing w:after="0" w:line="234" w:lineRule="auto"/>
        <w:rPr>
          <w:sz w:val="20"/>
          <w:szCs w:val="20"/>
          <w:color w:val="auto"/>
        </w:rPr>
      </w:pPr>
      <w:r>
        <w:rPr>
          <w:rFonts w:ascii="Times New Roman" w:cs="Times New Roman" w:eastAsia="Times New Roman" w:hAnsi="Times New Roman"/>
          <w:sz w:val="18"/>
          <w:szCs w:val="18"/>
          <w:color w:val="auto"/>
        </w:rPr>
        <w:t>Attention:</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w:t>
      </w:r>
    </w:p>
    <w:p>
      <w:pPr>
        <w:spacing w:after="0" w:line="19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9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650 Page Mill Road</w:t>
      </w:r>
    </w:p>
    <w:p>
      <w:pPr>
        <w:ind w:left="1880"/>
        <w:spacing w:after="0" w:line="234" w:lineRule="auto"/>
        <w:rPr>
          <w:sz w:val="20"/>
          <w:szCs w:val="20"/>
          <w:color w:val="auto"/>
        </w:rPr>
      </w:pPr>
      <w:r>
        <w:rPr>
          <w:rFonts w:ascii="Times New Roman" w:cs="Times New Roman" w:eastAsia="Times New Roman" w:hAnsi="Times New Roman"/>
          <w:sz w:val="18"/>
          <w:szCs w:val="18"/>
          <w:color w:val="auto"/>
        </w:rPr>
        <w:t>Palo Alto, CA 94304</w:t>
      </w:r>
    </w:p>
    <w:p>
      <w:pPr>
        <w:ind w:left="1880"/>
        <w:spacing w:after="0" w:line="235" w:lineRule="auto"/>
        <w:rPr>
          <w:sz w:val="20"/>
          <w:szCs w:val="20"/>
          <w:color w:val="auto"/>
        </w:rPr>
      </w:pPr>
      <w:r>
        <w:rPr>
          <w:rFonts w:ascii="Times New Roman" w:cs="Times New Roman" w:eastAsia="Times New Roman" w:hAnsi="Times New Roman"/>
          <w:sz w:val="18"/>
          <w:szCs w:val="18"/>
          <w:color w:val="auto"/>
        </w:rPr>
        <w:t>Attention: Adam Bloom</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Email: abloom@wsgr.com</w:t>
      </w:r>
    </w:p>
    <w:p>
      <w:pPr>
        <w:spacing w:after="0" w:line="19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rights under this Agreement may be assigned (but only with all related obligations) by a Holder to a transferee of Registrable Securities in accordance with the Company’s organizational documents and the Rani LLC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the Company is, within a reasonable time after such transfer, furnished with written notice of the name and address of such transferee and the Registrable Securities with respect to which such rights are being transferred; and (B)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For the purposes of determining the number of shares of Registrable Securities held by a transferee, the holdings of a transferee (i) that is an Affiliate or stockholder of a Holder; (ii) who is a Holder’s Immediate Family Member; or (iii) that is a trust for the benefit of an individual Holder or such Holder’s Immediate Family Member shall be aggregated together and with those of the transferring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transferees who would not qualify individually for assignment of rights shall have a single attorney-in-fact for the purpose of exercising any rights, receiving notices, or taking any action under this Agreement. The terms and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7" w:name="page258"/>
    <w:bookmarkEnd w:id="257"/>
    <w:p>
      <w:pPr>
        <w:jc w:val="both"/>
        <w:spacing w:after="0" w:line="245" w:lineRule="auto"/>
        <w:rPr>
          <w:sz w:val="20"/>
          <w:szCs w:val="20"/>
          <w:color w:val="auto"/>
        </w:rPr>
      </w:pPr>
      <w:r>
        <w:rPr>
          <w:rFonts w:ascii="Times New Roman" w:cs="Times New Roman" w:eastAsia="Times New Roman" w:hAnsi="Times New Roman"/>
          <w:sz w:val="18"/>
          <w:szCs w:val="18"/>
          <w:color w:val="auto"/>
        </w:rPr>
        <w:t>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 If any Holder shall acquire additional Registrable Securities, such Registrable Securities shall be subject to all of the terms, and entitled to all the benefits, of this Agreement.</w:t>
      </w:r>
    </w:p>
    <w:p>
      <w:pPr>
        <w:spacing w:after="0" w:line="181"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exclusive jurisdiction and venue therein and waive any objection based on venue or forum non conveniens with respect to any action instituted therein. TO THE EXTENT ALLOWABLE UNDER APPLICABLE LAW, THE PARTIES HERETO HEREBY IRREVOCABLY WAIVE ANY AND ALL RIGHT TO TRIAL BY JURY IN ANY LEGAL PROCEEDING ARISING OUT OF OR RELATED TO THIS AGREEMENT OR THE TRANSACTIONS CONTEMPLATED HEREBY.</w:t>
      </w:r>
    </w:p>
    <w:p>
      <w:pPr>
        <w:spacing w:after="0" w:line="18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Heading; Interpretations</w:t>
      </w:r>
      <w:r>
        <w:rPr>
          <w:rFonts w:ascii="Times New Roman" w:cs="Times New Roman" w:eastAsia="Times New Roman" w:hAnsi="Times New Roman"/>
          <w:sz w:val="18"/>
          <w:szCs w:val="18"/>
          <w:color w:val="auto"/>
        </w:rPr>
        <w:t>. The headings in this Agreement are for convenience of reference only and shall not limit or otherwise affect the meaning hereof. All Section references are to this Agreement unless otherwise expressly provided. When used in this Agreement, the words “include,” “includes” and “including” are to be read as if they were followed by the phrase “without limitation.”</w:t>
      </w:r>
    </w:p>
    <w:p>
      <w:pPr>
        <w:spacing w:after="0" w:line="177"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which is invalid or unenforceable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w:t>
      </w:r>
    </w:p>
    <w:p>
      <w:pPr>
        <w:spacing w:after="0" w:line="17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acknowledge that there would be no adequate remedy at law if any party fails to perform any of its obligations hereunder, and accordingly agree that each party, in addition to any other remedy to which it may be entitled at law or in equity, shall be entitled to injunctive relief, including specific performance, to enforce such obligations without the posting of any bond, and, if any action should be brought in equity to enforce any of the provisions of this Agreement, none of the parties hereto shall raise the defense that there is an adequate remedy at law. All remedies, either under this Agreement, by law, or otherwise afforded to any party, shall be cumulative and not alternative.</w:t>
      </w:r>
    </w:p>
    <w:p>
      <w:pPr>
        <w:spacing w:after="0" w:line="18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do and perform or cause to be done and performed all such further acts and things and shall execute and deliver all such other agreements, certificates, instruments and documents as any other party hereto reasonably may request in order to carry out the intent and accomplish the purposes of this Agreement and the consummation of the transactions contemplated hereby.</w:t>
      </w:r>
    </w:p>
    <w:p>
      <w:pPr>
        <w:spacing w:after="0" w:line="177"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Additional Investors</w:t>
      </w:r>
      <w:r>
        <w:rPr>
          <w:rFonts w:ascii="Times New Roman" w:cs="Times New Roman" w:eastAsia="Times New Roman" w:hAnsi="Times New Roman"/>
          <w:sz w:val="18"/>
          <w:szCs w:val="18"/>
          <w:color w:val="auto"/>
        </w:rPr>
        <w:t>. Notwithstanding anything to the contrary contained herein, if the Company issues to any Person additional Class A Common Stock or equity interests convertible into or exercisable for shares of Class A Common Stock, such Person may become an “Investor” pursuant to this Agreement with the prior written consent of the Investors holding a majority of the Registrable Securities held by all Investors by (i) executing and delivering an additional counterpart signature page to this Agreement, and (ii) agreeing in writing to be bound by all of the obligations of an “Investor” hereunder. Thereafter, each additional Investor shall be deemed an “Investor” for all purposes hereunder.</w:t>
      </w:r>
    </w:p>
    <w:p>
      <w:pPr>
        <w:spacing w:after="0" w:line="18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77"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Delays or Omissions</w:t>
      </w:r>
      <w:r>
        <w:rPr>
          <w:rFonts w:ascii="Times New Roman" w:cs="Times New Roman" w:eastAsia="Times New Roman" w:hAnsi="Times New Roman"/>
          <w:sz w:val="18"/>
          <w:szCs w:val="18"/>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8" w:name="page259"/>
    <w:bookmarkEnd w:id="258"/>
    <w:p>
      <w:pPr>
        <w:jc w:val="both"/>
        <w:spacing w:after="0" w:line="266" w:lineRule="auto"/>
        <w:rPr>
          <w:sz w:val="20"/>
          <w:szCs w:val="20"/>
          <w:color w:val="auto"/>
        </w:rPr>
      </w:pPr>
      <w:r>
        <w:rPr>
          <w:rFonts w:ascii="Times New Roman" w:cs="Times New Roman" w:eastAsia="Times New Roman" w:hAnsi="Times New Roman"/>
          <w:sz w:val="18"/>
          <w:szCs w:val="18"/>
          <w:color w:val="auto"/>
        </w:rPr>
        <w:t>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2" w:lineRule="exact"/>
        <w:rPr>
          <w:sz w:val="20"/>
          <w:szCs w:val="20"/>
          <w:color w:val="auto"/>
        </w:rPr>
      </w:pPr>
    </w:p>
    <w:p>
      <w:pPr>
        <w:jc w:val="both"/>
        <w:ind w:firstLine="1497"/>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together shall constitute one instrument. For purposes of this Agreement, a document (or signature page thereto) signed and transmitted by facsimile machine or other electronic means (including pdf) is to be treated as an original document. The signature of any party on any such document, for purposes hereof, is to be considered as an original signature, and the document transmitted is to be considered to have the same binding effect as an original signature on an original document. At the request of any party, any facsimile or other electronic signature is to be re-executed in original form by the party which executed the facsimile or other electronic signature. No party may raise the use of a facsimile machine or other electronic means, or the fact that any signature was transmitted through the use of a facsimile machine or other electronic means, as a defense to the enforcement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9" w:name="page260"/>
    <w:bookmarkEnd w:id="259"/>
    <w:p>
      <w:pPr>
        <w:ind w:left="38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98" w:lineRule="exact"/>
        <w:rPr>
          <w:sz w:val="20"/>
          <w:szCs w:val="20"/>
          <w:color w:val="auto"/>
        </w:rPr>
      </w:pPr>
    </w:p>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8890</wp:posOffset>
            </wp:positionV>
            <wp:extent cx="320611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Talat Imran</w:t>
      </w:r>
    </w:p>
    <w:p>
      <w:pPr>
        <w:ind w:left="5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0" w:name="page261"/>
    <w:bookmarkEnd w:id="260"/>
    <w:p>
      <w:pPr>
        <w:ind w:left="38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ALPHA SUGARCOAT INVESTMENT LLC</w:t>
      </w: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Renee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8890</wp:posOffset>
            </wp:positionV>
            <wp:extent cx="320611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Renee Li</w:t>
      </w:r>
    </w:p>
    <w:p>
      <w:pPr>
        <w:ind w:left="5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IV</w:t>
      </w: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 A.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8890</wp:posOffset>
            </wp:positionV>
            <wp:extent cx="320611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Stephan A. Stein</w:t>
      </w:r>
    </w:p>
    <w:p>
      <w:pPr>
        <w:ind w:left="5080"/>
        <w:spacing w:after="0"/>
        <w:rPr>
          <w:sz w:val="20"/>
          <w:szCs w:val="20"/>
          <w:color w:val="auto"/>
        </w:rPr>
      </w:pPr>
      <w:r>
        <w:rPr>
          <w:rFonts w:ascii="Times New Roman" w:cs="Times New Roman" w:eastAsia="Times New Roman" w:hAnsi="Times New Roman"/>
          <w:sz w:val="18"/>
          <w:szCs w:val="18"/>
          <w:color w:val="auto"/>
        </w:rPr>
        <w:t>Title: Member</w:t>
      </w:r>
    </w:p>
    <w:p>
      <w:pPr>
        <w:spacing w:after="0" w:line="174"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III</w:t>
      </w:r>
    </w:p>
    <w:p>
      <w:pPr>
        <w:spacing w:after="0" w:line="200" w:lineRule="exact"/>
        <w:rPr>
          <w:sz w:val="20"/>
          <w:szCs w:val="20"/>
          <w:color w:val="auto"/>
        </w:rPr>
      </w:pPr>
    </w:p>
    <w:p>
      <w:pPr>
        <w:spacing w:after="0" w:line="205" w:lineRule="exact"/>
        <w:rPr>
          <w:sz w:val="20"/>
          <w:szCs w:val="20"/>
          <w:color w:val="auto"/>
        </w:rPr>
      </w:pPr>
    </w:p>
    <w:tbl>
      <w:tblPr>
        <w:tblLayout w:type="fixed"/>
        <w:tblInd w:w="4520" w:type="dxa"/>
        <w:tblCellMar>
          <w:top w:w="0" w:type="dxa"/>
          <w:left w:w="0" w:type="dxa"/>
          <w:bottom w:w="0" w:type="dxa"/>
          <w:right w:w="0" w:type="dxa"/>
        </w:tblCellMar>
      </w:tblPr>
      <w:tr>
        <w:trPr>
          <w:trHeight w:val="2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560" w:type="dxa"/>
            <w:vAlign w:val="bottom"/>
          </w:tcPr>
          <w:p>
            <w:pPr>
              <w:spacing w:after="0"/>
              <w:rPr>
                <w:sz w:val="15"/>
                <w:szCs w:val="15"/>
                <w:color w:val="auto"/>
              </w:rPr>
            </w:pP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05"/>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BUTTONWOOD ALPHA FUND LLC</w:t>
            </w:r>
          </w:p>
        </w:tc>
      </w:tr>
      <w:tr>
        <w:trPr>
          <w:trHeight w:val="35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38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560" w:type="dxa"/>
            <w:vAlign w:val="bottom"/>
          </w:tcPr>
          <w:p>
            <w:pPr>
              <w:spacing w:after="0"/>
              <w:rPr>
                <w:sz w:val="15"/>
                <w:szCs w:val="15"/>
                <w:color w:val="auto"/>
              </w:rPr>
            </w:pP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405"/>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BUTTONWOOD ALPHA QP FUND LLC</w:t>
            </w:r>
          </w:p>
        </w:tc>
      </w:tr>
      <w:tr>
        <w:trPr>
          <w:trHeight w:val="35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38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560" w:type="dxa"/>
            <w:vAlign w:val="bottom"/>
          </w:tcPr>
          <w:p>
            <w:pPr>
              <w:spacing w:after="0"/>
              <w:rPr>
                <w:sz w:val="15"/>
                <w:szCs w:val="15"/>
                <w:color w:val="auto"/>
              </w:rPr>
            </w:pP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bl>
    <w:p>
      <w:pPr>
        <w:spacing w:after="0" w:line="37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05" w:right="339" w:bottom="1440" w:gutter="0" w:footer="0" w:header="0"/>
        </w:sectPr>
      </w:pPr>
    </w:p>
    <w:bookmarkStart w:id="261" w:name="page262"/>
    <w:bookmarkEnd w:id="261"/>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ER INVESTMENT GROUP 1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Elie 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8890</wp:posOffset>
            </wp:positionV>
            <wp:extent cx="31718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6">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Elie Rieder</w:t>
      </w:r>
    </w:p>
    <w:p>
      <w:pPr>
        <w:ind w:left="51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7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ERS INVESTMENTS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Elie 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8890</wp:posOffset>
            </wp:positionV>
            <wp:extent cx="31718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Elie Rieder</w:t>
      </w:r>
    </w:p>
    <w:p>
      <w:pPr>
        <w:ind w:left="51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2" w:name="page263"/>
    <w:bookmarkEnd w:id="262"/>
    <w:p>
      <w:pPr>
        <w:ind w:left="38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3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GV 2013, L.P.</w:t>
      </w:r>
    </w:p>
    <w:p>
      <w:pPr>
        <w:spacing w:after="0" w:line="202"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GV 2013 GP, L.L.C.,</w:t>
      </w:r>
    </w:p>
    <w:p>
      <w:pPr>
        <w:spacing w:after="0" w:line="16"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381"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Inga Goldbard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324040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9">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Inga Goldbard</w:t>
      </w:r>
    </w:p>
    <w:p>
      <w:pPr>
        <w:ind w:left="50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7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GV 2015, L.P.</w:t>
      </w:r>
    </w:p>
    <w:p>
      <w:pPr>
        <w:spacing w:after="0" w:line="202"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GV 2015 GP, L.L.C.</w:t>
      </w:r>
    </w:p>
    <w:p>
      <w:pPr>
        <w:spacing w:after="0" w:line="16"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381"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Inga Goldbard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324040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0">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Inga Goldbard</w:t>
      </w:r>
    </w:p>
    <w:p>
      <w:pPr>
        <w:ind w:left="50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7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GV 2017, L.P.</w:t>
      </w:r>
    </w:p>
    <w:p>
      <w:pPr>
        <w:spacing w:after="0" w:line="202"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GV 2017 GP, L.P., its General Partner</w:t>
      </w:r>
    </w:p>
    <w:p>
      <w:pPr>
        <w:spacing w:after="0" w:line="16"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GV 2017 GP, L.L.C., its General Partner</w:t>
      </w:r>
    </w:p>
    <w:p>
      <w:pPr>
        <w:spacing w:after="0" w:line="392" w:lineRule="exact"/>
        <w:rPr>
          <w:sz w:val="20"/>
          <w:szCs w:val="20"/>
          <w:color w:val="auto"/>
        </w:rPr>
      </w:pPr>
    </w:p>
    <w:p>
      <w:pPr>
        <w:ind w:left="452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Inga Goldbard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324040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Inga Goldbard</w:t>
      </w:r>
    </w:p>
    <w:p>
      <w:pPr>
        <w:ind w:left="504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3" w:name="page264"/>
    <w:bookmarkEnd w:id="263"/>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INCUBE LABS,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8890</wp:posOffset>
            </wp:positionV>
            <wp:extent cx="320611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Mir Imran</w:t>
      </w:r>
    </w:p>
    <w:p>
      <w:pPr>
        <w:ind w:left="50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4" w:name="page265"/>
    <w:bookmarkEnd w:id="264"/>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INCUBE VENTURES II, 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8890</wp:posOffset>
            </wp:positionV>
            <wp:extent cx="317182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Andrew Farquharson</w:t>
      </w:r>
    </w:p>
    <w:p>
      <w:pPr>
        <w:ind w:left="51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5" w:name="page266"/>
    <w:bookmarkEnd w:id="265"/>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MEDIMMUNE,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2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8890</wp:posOffset>
            </wp:positionV>
            <wp:extent cx="317182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David E. White</w:t>
      </w:r>
    </w:p>
    <w:p>
      <w:pPr>
        <w:ind w:left="5140"/>
        <w:spacing w:after="0"/>
        <w:rPr>
          <w:sz w:val="20"/>
          <w:szCs w:val="20"/>
          <w:color w:val="auto"/>
        </w:rPr>
      </w:pPr>
      <w:r>
        <w:rPr>
          <w:rFonts w:ascii="Times New Roman" w:cs="Times New Roman" w:eastAsia="Times New Roman" w:hAnsi="Times New Roman"/>
          <w:sz w:val="18"/>
          <w:szCs w:val="18"/>
          <w:color w:val="auto"/>
        </w:rPr>
        <w:t>Title: Treasurer</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6" w:name="page267"/>
    <w:bookmarkEnd w:id="266"/>
    <w:p>
      <w:pPr>
        <w:ind w:left="38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3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NOVARTIS PHARMACEUTICALS CORPORATION</w:t>
      </w: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Ceulemans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8890</wp:posOffset>
            </wp:positionV>
            <wp:extent cx="31972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Marc Ceulemans</w:t>
      </w:r>
    </w:p>
    <w:p>
      <w:pPr>
        <w:jc w:val="right"/>
        <w:spacing w:after="0"/>
        <w:rPr>
          <w:sz w:val="20"/>
          <w:szCs w:val="20"/>
          <w:color w:val="auto"/>
        </w:rPr>
      </w:pPr>
      <w:r>
        <w:rPr>
          <w:rFonts w:ascii="Times New Roman" w:cs="Times New Roman" w:eastAsia="Times New Roman" w:hAnsi="Times New Roman"/>
          <w:sz w:val="18"/>
          <w:szCs w:val="18"/>
          <w:color w:val="auto"/>
        </w:rPr>
        <w:t>Title: Head of Strategic Venture Fund &amp; Pharma Equities</w:t>
      </w:r>
    </w:p>
    <w:p>
      <w:pPr>
        <w:spacing w:after="0" w:line="1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440" w:top="405" w:right="1239" w:bottom="1440" w:gutter="0" w:footer="0" w:header="0"/>
        </w:sectPr>
      </w:pPr>
    </w:p>
    <w:bookmarkStart w:id="267" w:name="page268"/>
    <w:bookmarkEnd w:id="267"/>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RANI INVESTMENT CORP.</w:t>
      </w: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8890</wp:posOffset>
            </wp:positionV>
            <wp:extent cx="31972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Andrew Farquharson</w:t>
      </w:r>
    </w:p>
    <w:p>
      <w:pPr>
        <w:ind w:left="51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8" w:name="page269"/>
    <w:bookmarkEnd w:id="268"/>
    <w:p>
      <w:pPr>
        <w:ind w:left="38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written above.</w:t>
      </w:r>
    </w:p>
    <w:p>
      <w:pPr>
        <w:spacing w:after="0" w:line="3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TAKEDA VENTURES, INC.</w:t>
      </w: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8890</wp:posOffset>
            </wp:positionV>
            <wp:extent cx="320611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Michael Martin</w:t>
      </w:r>
    </w:p>
    <w:p>
      <w:pPr>
        <w:jc w:val="right"/>
        <w:ind w:right="1199"/>
        <w:spacing w:after="0"/>
        <w:rPr>
          <w:sz w:val="20"/>
          <w:szCs w:val="20"/>
          <w:color w:val="auto"/>
        </w:rPr>
      </w:pPr>
      <w:r>
        <w:rPr>
          <w:rFonts w:ascii="Times New Roman" w:cs="Times New Roman" w:eastAsia="Times New Roman" w:hAnsi="Times New Roman"/>
          <w:sz w:val="18"/>
          <w:szCs w:val="18"/>
          <w:color w:val="auto"/>
        </w:rPr>
        <w:t>Title: President, Takeda Ventures, Inc.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69" w:name="page270"/>
    <w:bookmarkEnd w:id="269"/>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NDREW</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ARQUHARSON</w:t>
      </w: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66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0" w:name="page271"/>
    <w:bookmarkEnd w:id="270"/>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ALAT</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MRAN</w:t>
      </w: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661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1" w:name="page272"/>
    <w:bookmarkEnd w:id="271"/>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DAVID PYOTT LIVING TRUST</w:t>
      </w:r>
    </w:p>
    <w:p>
      <w:pPr>
        <w:spacing w:after="0" w:line="200" w:lineRule="exact"/>
        <w:rPr>
          <w:sz w:val="20"/>
          <w:szCs w:val="20"/>
          <w:color w:val="auto"/>
        </w:rPr>
      </w:pPr>
    </w:p>
    <w:p>
      <w:pPr>
        <w:spacing w:after="0" w:line="205"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8890</wp:posOffset>
            </wp:positionV>
            <wp:extent cx="31972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Name: David Pyott</w:t>
      </w:r>
    </w:p>
    <w:p>
      <w:pPr>
        <w:ind w:left="5100"/>
        <w:spacing w:after="0"/>
        <w:rPr>
          <w:sz w:val="20"/>
          <w:szCs w:val="20"/>
          <w:color w:val="auto"/>
        </w:rPr>
      </w:pPr>
      <w:r>
        <w:rPr>
          <w:rFonts w:ascii="Times New Roman" w:cs="Times New Roman" w:eastAsia="Times New Roman" w:hAnsi="Times New Roman"/>
          <w:sz w:val="18"/>
          <w:szCs w:val="18"/>
          <w:color w:val="auto"/>
        </w:rPr>
        <w:t>Title: Trustee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2" w:name="page273"/>
    <w:bookmarkEnd w:id="272"/>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AVID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YOTT</w:t>
      </w: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David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661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3" w:name="page274"/>
    <w:bookmarkEnd w:id="273"/>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NGELA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URCH</w:t>
      </w:r>
    </w:p>
    <w:p>
      <w:pPr>
        <w:spacing w:after="0" w:line="200" w:lineRule="exact"/>
        <w:rPr>
          <w:sz w:val="20"/>
          <w:szCs w:val="20"/>
          <w:color w:val="auto"/>
        </w:rPr>
      </w:pPr>
    </w:p>
    <w:p>
      <w:pPr>
        <w:spacing w:after="0" w:line="20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Angela Murch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8890</wp:posOffset>
            </wp:positionV>
            <wp:extent cx="35661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4" w:name="page275"/>
    <w:bookmarkEnd w:id="274"/>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ENNIS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USIELLO</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Ausiello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5" w:name="page276"/>
    <w:bookmarkEnd w:id="275"/>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RVINDER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HALLA</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Arvinder Dhalla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6" w:name="page277"/>
    <w:bookmarkEnd w:id="276"/>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IR</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ASHIM</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 Hashim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7" w:name="page278"/>
    <w:bookmarkEnd w:id="277"/>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TEPHANIE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RORY</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Stephanie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8" w:name="page279"/>
    <w:bookmarkEnd w:id="278"/>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AULIK</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ANAVATY</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Maulik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79" w:name="page280"/>
    <w:bookmarkEnd w:id="279"/>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HRISTINE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HAN</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Christine 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80" w:name="page281"/>
    <w:bookmarkEnd w:id="280"/>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VAI</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ANFORD</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81" w:name="page282"/>
    <w:bookmarkEnd w:id="281"/>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OHSEN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HIRAZI</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Mohsen Shirzai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82" w:name="page283"/>
    <w:bookmarkEnd w:id="282"/>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ETSY</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UTIERREZ</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Betsy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83" w:name="page284"/>
    <w:bookmarkEnd w:id="283"/>
    <w:p>
      <w:pPr>
        <w:ind w:left="380"/>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ARY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ANG</w:t>
      </w:r>
    </w:p>
    <w:p>
      <w:pPr>
        <w:spacing w:after="0" w:line="202"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8890</wp:posOffset>
            </wp:positionV>
            <wp:extent cx="32143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5" w:right="1440" w:bottom="1440" w:gutter="0" w:footer="0" w:header="0"/>
        </w:sectPr>
      </w:pPr>
    </w:p>
    <w:bookmarkStart w:id="284" w:name="page285"/>
    <w:bookmarkEnd w:id="28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521335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285" w:name="page286"/>
    <w:bookmarkEnd w:id="2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JOINDER TO</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18,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Reference is made to that certain Registration Rights Agreement (as may be further amended and/or restated from time to time,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color w:val="auto"/>
        </w:rPr>
        <w:t>”), dated as of August 3, 2021, by and among Rani Therapeutics Holding,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investor listed on Schedule A of the Registration Rights Agreement together with their successors and Permitted Transferees as provided for in the Registration Rights Agreement (each, an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Capitalized terms used but not otherwise defined herein shall have the meanings ascribed to such terms in the Registration Rights Agreement.</w:t>
      </w:r>
    </w:p>
    <w:p>
      <w:pPr>
        <w:spacing w:after="0" w:line="18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undersigned hereby acknowledges and agrees that its signature below constitutes an executed counterpart to the Registration Rights Agreement and hereby agrees to, and does become a party to, the Registration Rights Agreement as an Investor thereunder.</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 undersigned further agrees to be bound by, and to comply with, all provisions contained in the Registration Rights Agreement as an Investor. This Joinder shall serve as a counterpart signature page to the Registration Rights Agreement and by executing below the undersigned is deemed to have executed the Registration Rights Agreement with the same force and effect as if originally named a party thereto.</w:t>
      </w:r>
    </w:p>
    <w:p>
      <w:pPr>
        <w:spacing w:after="0" w:line="177"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undersigned hereby acknowledges that it has received a copy of the Registration Rights Agreement. For purposes of notices under the Registration Rights Agreement, the address of the undersigned Investor is set forth on its signature page below.</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color w:val="auto"/>
        </w:rPr>
        <w:t>Accordingly, the undersigned have duly executed this joinder as of the date first set forth above.</w:t>
      </w:r>
    </w:p>
    <w:p>
      <w:pPr>
        <w:spacing w:after="0" w:line="1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7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AEQUANIMITAS LIMITED PARTNERSHIP</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By its general partner Aequanimitas Management LLC</w:t>
      </w:r>
    </w:p>
    <w:p>
      <w:pPr>
        <w:spacing w:after="0" w:line="16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u w:val="single" w:color="auto"/>
          <w:color w:val="auto"/>
        </w:rPr>
        <w:t>/s/ Isidoro Quiroga Cortés</w:t>
      </w:r>
    </w:p>
    <w:p>
      <w:pPr>
        <w:ind w:left="4880"/>
        <w:spacing w:after="0" w:line="221" w:lineRule="auto"/>
        <w:rPr>
          <w:sz w:val="20"/>
          <w:szCs w:val="20"/>
          <w:color w:val="auto"/>
        </w:rPr>
      </w:pPr>
      <w:r>
        <w:rPr>
          <w:rFonts w:ascii="Times New Roman" w:cs="Times New Roman" w:eastAsia="Times New Roman" w:hAnsi="Times New Roman"/>
          <w:sz w:val="18"/>
          <w:szCs w:val="18"/>
          <w:color w:val="auto"/>
        </w:rPr>
        <w:t>By: Isidoro Quiroga Cortés</w:t>
      </w:r>
    </w:p>
    <w:p>
      <w:pPr>
        <w:ind w:left="4880"/>
        <w:spacing w:after="0"/>
        <w:rPr>
          <w:sz w:val="20"/>
          <w:szCs w:val="20"/>
          <w:color w:val="auto"/>
        </w:rPr>
      </w:pPr>
      <w:r>
        <w:rPr>
          <w:rFonts w:ascii="Times New Roman" w:cs="Times New Roman" w:eastAsia="Times New Roman" w:hAnsi="Times New Roman"/>
          <w:sz w:val="18"/>
          <w:szCs w:val="18"/>
          <w:color w:val="auto"/>
        </w:rPr>
        <w:t>Title: Manager</w:t>
      </w:r>
    </w:p>
    <w:p>
      <w:pPr>
        <w:spacing w:after="0" w:line="34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1376045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4" w:right="1440"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color w:val="auto"/>
        </w:rPr>
        <w:t>Accordingly, the undersigned have duly executed this joinder as of the date first set forth above.</w:t>
      </w: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1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SOUTH LAKE ONE LLC</w:t>
      </w:r>
    </w:p>
    <w:p>
      <w:pPr>
        <w:spacing w:after="0" w:line="200" w:lineRule="exact"/>
        <w:rPr>
          <w:sz w:val="20"/>
          <w:szCs w:val="20"/>
          <w:color w:val="auto"/>
        </w:rPr>
      </w:pPr>
    </w:p>
    <w:p>
      <w:pPr>
        <w:spacing w:after="0" w:line="20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u w:val="single" w:color="auto"/>
          <w:color w:val="auto"/>
        </w:rPr>
        <w:t>/s/ Isidoro Quiroga Moreno</w:t>
      </w:r>
    </w:p>
    <w:p>
      <w:pPr>
        <w:spacing w:after="0" w:line="11" w:lineRule="exact"/>
        <w:rPr>
          <w:sz w:val="20"/>
          <w:szCs w:val="20"/>
          <w:color w:val="auto"/>
        </w:rPr>
      </w:pPr>
    </w:p>
    <w:p>
      <w:pPr>
        <w:ind w:left="488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Isidoro Quiroga Moreno</w:t>
      </w:r>
    </w:p>
    <w:p>
      <w:pPr>
        <w:ind w:left="4880"/>
        <w:spacing w:after="0"/>
        <w:tabs>
          <w:tab w:leader="none" w:pos="5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200" w:lineRule="exact"/>
        <w:rPr>
          <w:sz w:val="20"/>
          <w:szCs w:val="20"/>
          <w:color w:val="auto"/>
        </w:rPr>
      </w:pPr>
    </w:p>
    <w:p>
      <w:pPr>
        <w:spacing w:after="0" w:line="38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u w:val="single" w:color="auto"/>
          <w:color w:val="auto"/>
        </w:rPr>
        <w:t>/s/ Luis Felipe Correa González</w:t>
      </w:r>
    </w:p>
    <w:p>
      <w:pPr>
        <w:spacing w:after="0" w:line="11" w:lineRule="exact"/>
        <w:rPr>
          <w:sz w:val="20"/>
          <w:szCs w:val="20"/>
          <w:color w:val="auto"/>
        </w:rPr>
      </w:pPr>
    </w:p>
    <w:p>
      <w:pPr>
        <w:ind w:left="488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Luis Felipe Correa González</w:t>
      </w:r>
    </w:p>
    <w:p>
      <w:pPr>
        <w:ind w:left="4880"/>
        <w:spacing w:after="0"/>
        <w:tabs>
          <w:tab w:leader="none" w:pos="5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w:t>
      </w:r>
    </w:p>
    <w:p>
      <w:pPr>
        <w:spacing w:after="0" w:line="1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1118870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64" w:right="1440"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color w:val="auto"/>
        </w:rPr>
        <w:t>Agreed and Accepted by the Company:</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Talat Imran</w:t>
            </w:r>
          </w:p>
        </w:tc>
      </w:tr>
      <w:tr>
        <w:trPr>
          <w:trHeight w:val="20"/>
        </w:trPr>
        <w:tc>
          <w:tcPr>
            <w:tcW w:w="6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191"/>
        </w:trPr>
        <w:tc>
          <w:tcPr>
            <w:tcW w:w="6220" w:type="dxa"/>
            <w:vAlign w:val="bottom"/>
          </w:tcPr>
          <w:p>
            <w:pPr>
              <w:spacing w:after="0"/>
              <w:rPr>
                <w:sz w:val="16"/>
                <w:szCs w:val="16"/>
                <w:color w:val="auto"/>
              </w:rPr>
            </w:pPr>
          </w:p>
        </w:tc>
        <w:tc>
          <w:tcPr>
            <w:tcW w:w="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gridSpan w:val="2"/>
          </w:tcPr>
          <w:p>
            <w:pPr>
              <w:ind w:left="160"/>
              <w:spacing w:after="0" w:line="191" w:lineRule="exact"/>
              <w:rPr>
                <w:sz w:val="20"/>
                <w:szCs w:val="20"/>
                <w:color w:val="auto"/>
              </w:rPr>
            </w:pPr>
            <w:r>
              <w:rPr>
                <w:rFonts w:ascii="Times New Roman" w:cs="Times New Roman" w:eastAsia="Times New Roman" w:hAnsi="Times New Roman"/>
                <w:sz w:val="18"/>
                <w:szCs w:val="18"/>
                <w:color w:val="auto"/>
              </w:rPr>
              <w:t>Talat Imran</w:t>
            </w:r>
          </w:p>
        </w:tc>
      </w:tr>
      <w:tr>
        <w:trPr>
          <w:trHeight w:val="234"/>
        </w:trPr>
        <w:tc>
          <w:tcPr>
            <w:tcW w:w="62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7"/>
        </w:trPr>
        <w:tc>
          <w:tcPr>
            <w:tcW w:w="6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LLC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 LIMITED LIABILITY COMPANY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August 3, 2021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UNITS REPRESENTED BY THIS FIFTH AMENDED AND RESTATED LIMITED LIABILITY COMPANY AGREEMENT HAVE NOT BEEN REGISTERED UNDER THE UNITED STATES SECURITIES ACT OF 1933, AS AMENDED, OR UNDER ANY OTHER APPLICABLE SECURITIES LAWS. SUCH UNITS MAY NOT BE SOLD, ASSIGNED, PLEDGED OR OTHERWISE DISPOSED OF AT ANY TIME WITHOUT EFFECTIVE REGISTRATION UNDER SUCH ACT AND LAWS OR EXEMPTION THEREFROM, AND COMPLIANCE WITH THE OTHER SUBSTANTIAL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66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60" w:type="dxa"/>
            <w:vAlign w:val="bottom"/>
          </w:tcPr>
          <w:p>
            <w:pPr>
              <w:spacing w:after="0"/>
              <w:rPr>
                <w:sz w:val="20"/>
                <w:szCs w:val="20"/>
                <w:color w:val="auto"/>
              </w:rPr>
            </w:pPr>
          </w:p>
        </w:tc>
      </w:tr>
      <w:tr>
        <w:trPr>
          <w:trHeight w:val="405"/>
        </w:trPr>
        <w:tc>
          <w:tcPr>
            <w:tcW w:w="9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7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ORGANIZATIONAL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Formation of Company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Liability Company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2.4</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Purpose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2.5</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2.6</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Office; Registered Office</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2.7</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2.8</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State-Law Partnership</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2.9</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Treatment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2.10</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CAPITALIZATION; CAPITAL CONTRIBUTIONS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Provisions with Respect to Units.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Accounts.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3.4</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Negative Capital Accounts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3.5</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Withdrawal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3.6</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From Members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DISTRIBUTIONS AND ALLOCATIONS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Allocations of Net Profit and Net Loss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Allocations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4.4</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Allocations.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4.5</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Allocation Rules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4.6</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4.7</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Allocations Upon Final Liquidation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MANAGEMENT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Designation and Authority of Managing Member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Actions of the Managing Member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Expenses.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5.4</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Delegation of Authority.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5.5</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Liability.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10"/>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RIGHTS AND OBLIGATIONS OF MEMBERS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Liability.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Lack of Authority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193040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7" w:right="459" w:bottom="1440" w:gutter="0" w:footer="0" w:header="0"/>
        </w:sectPr>
      </w:pPr>
    </w:p>
    <w:bookmarkStart w:id="291" w:name="page292"/>
    <w:bookmarkEnd w:id="291"/>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(continued)</w:t>
      </w: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5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6.3</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Right of Partition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6.4</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BOOKS, RECORDS, ACCOUNTING AND REPORTS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7.1</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Records and Accounting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7.2</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Fiscal Year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7.3</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7.4</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Transmission of Communications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7.5</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TAX MATTERS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8.1</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Preparation of Tax Returns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8.2</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Elections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8.3</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Controversies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RESTRICTIONS ON TRANSFER OF UNITS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9.1</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Transfers of Units.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9.2</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Units Legend.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9.3</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Assignee’s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1"/>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9.4</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Assignor’s Rights and Obligations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9.5</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Restrictions.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9.6</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Joinder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0"/>
        </w:trPr>
        <w:tc>
          <w:tcPr>
            <w:tcW w:w="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9.7</w:t>
            </w:r>
          </w:p>
        </w:tc>
        <w:tc>
          <w:tcPr>
            <w:tcW w:w="7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Ineffective Transfer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1"/>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ADMISSION OF MEMBERS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10.1 Substituted Members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10.2 Additional Members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10.3 Additional Managing Member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WITHDRAWAL AND RESIGNATION OF MEMBERS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10"/>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REDEMPTION AND EXCHANGE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12.1 Exchange Procedures.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11"/>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12.2 Exchange Payment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12.3 Splits, Distributions and Reclassifications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12.4 PubCo Covenants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12.5 Exchange Taxes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12.6 PubCo Call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12.7 Distribution Rights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12.8 Exchange Restrictions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0"/>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12.9 Tax Matters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11"/>
        </w:trPr>
        <w:tc>
          <w:tcPr>
            <w:tcW w:w="8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12.10    Withholding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220980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8" w:right="45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6820" w:type="dxa"/>
            <w:vAlign w:val="bottom"/>
          </w:tcPr>
          <w:p>
            <w:pPr>
              <w:jc w:val="right"/>
              <w:ind w:right="4248"/>
              <w:spacing w:after="0"/>
              <w:rPr>
                <w:sz w:val="20"/>
                <w:szCs w:val="20"/>
                <w:color w:val="auto"/>
              </w:rPr>
            </w:pPr>
            <w:r>
              <w:rPr>
                <w:rFonts w:ascii="Times New Roman" w:cs="Times New Roman" w:eastAsia="Times New Roman" w:hAnsi="Times New Roman"/>
                <w:sz w:val="22"/>
                <w:szCs w:val="22"/>
                <w:b w:val="1"/>
                <w:bCs w:val="1"/>
                <w:color w:val="auto"/>
              </w:rPr>
              <w:t>TABLE OF CONTENTS</w:t>
            </w:r>
          </w:p>
        </w:tc>
      </w:tr>
      <w:tr>
        <w:trPr>
          <w:trHeight w:val="239"/>
        </w:trPr>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820" w:type="dxa"/>
            <w:vAlign w:val="bottom"/>
          </w:tcPr>
          <w:p>
            <w:pPr>
              <w:jc w:val="right"/>
              <w:ind w:right="4908"/>
              <w:spacing w:after="0" w:line="239" w:lineRule="exact"/>
              <w:rPr>
                <w:sz w:val="20"/>
                <w:szCs w:val="20"/>
                <w:color w:val="auto"/>
              </w:rPr>
            </w:pPr>
            <w:r>
              <w:rPr>
                <w:rFonts w:ascii="Times New Roman" w:cs="Times New Roman" w:eastAsia="Times New Roman" w:hAnsi="Times New Roman"/>
                <w:sz w:val="22"/>
                <w:szCs w:val="22"/>
                <w:color w:val="auto"/>
              </w:rPr>
              <w:t>(continued)</w:t>
            </w:r>
          </w:p>
        </w:tc>
      </w:tr>
      <w:tr>
        <w:trPr>
          <w:trHeight w:val="286"/>
        </w:trPr>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8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379"/>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12.11</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1"/>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XIII DISSOLUTION AND WINDING UP</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13.1</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Dissolution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13.2</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Winding Up and Termination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13.3</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Deferment; Distribution in Kind</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13.4</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Cancellation of Certificate</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13.5</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Reasonable Time for Winding Up</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13.6</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Return of Capital</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1"/>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XIV VALUATION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14.1</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14.2</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Determination and Dispute</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1"/>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ARTICLE XV GENERAL PROVISIONS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15.1</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Power of Attorney.</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15.2</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15.3</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Title to Company Assets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15.4</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Addresses and Notices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15.5</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Binding Effect</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15.6</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Creditors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15.7</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311"/>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15.8</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0"/>
        </w:trPr>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15.9</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Applicable Law; Waiver of Jury Trial</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0"/>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15.10</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0"/>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15.11</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Action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0"/>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15.12</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by Facsimile</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10"/>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15.13</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Offset</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0"/>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15.14</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1"/>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15.15</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0"/>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15.16</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Descriptive Headings; Interpretation</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10"/>
        </w:trPr>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15.17</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Spousal Consent</w:t>
            </w:r>
          </w:p>
        </w:tc>
        <w:tc>
          <w:tcPr>
            <w:tcW w:w="6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220980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02"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color w:val="auto"/>
        </w:rPr>
        <w:t>EXHIBIT AND SCHEDULES</w:t>
      </w:r>
    </w:p>
    <w:p>
      <w:pPr>
        <w:spacing w:after="0" w:line="212" w:lineRule="exact"/>
        <w:rPr>
          <w:sz w:val="20"/>
          <w:szCs w:val="20"/>
          <w:color w:val="auto"/>
        </w:rPr>
      </w:pPr>
    </w:p>
    <w:p>
      <w:pPr>
        <w:spacing w:after="0"/>
        <w:tabs>
          <w:tab w:leader="none" w:pos="1060" w:val="left"/>
          <w:tab w:leader="none" w:pos="3580" w:val="left"/>
        </w:tabs>
        <w:rPr>
          <w:sz w:val="20"/>
          <w:szCs w:val="20"/>
          <w:color w:val="auto"/>
        </w:rPr>
      </w:pPr>
      <w:r>
        <w:rPr>
          <w:rFonts w:ascii="Times New Roman" w:cs="Times New Roman" w:eastAsia="Times New Roman" w:hAnsi="Times New Roman"/>
          <w:sz w:val="18"/>
          <w:szCs w:val="18"/>
          <w:b w:val="1"/>
          <w:bCs w:val="1"/>
          <w:color w:val="auto"/>
        </w:rPr>
        <w:t>Exhibit A</w:t>
      </w:r>
      <w:r>
        <w:rPr>
          <w:sz w:val="20"/>
          <w:szCs w:val="20"/>
          <w:color w:val="auto"/>
        </w:rPr>
        <w:tab/>
      </w:r>
      <w:r>
        <w:rPr>
          <w:rFonts w:ascii="Times New Roman" w:cs="Times New Roman" w:eastAsia="Times New Roman" w:hAnsi="Times New Roman"/>
          <w:sz w:val="18"/>
          <w:szCs w:val="18"/>
          <w:color w:val="auto"/>
        </w:rPr>
        <w:t>Form of Election of Exchange</w:t>
      </w:r>
      <w:r>
        <w:rPr>
          <w:sz w:val="20"/>
          <w:szCs w:val="20"/>
          <w:color w:val="auto"/>
        </w:rPr>
        <w:tab/>
      </w:r>
      <w:r>
        <w:rPr>
          <w:rFonts w:ascii="Times New Roman" w:cs="Times New Roman" w:eastAsia="Times New Roman" w:hAnsi="Times New Roman"/>
          <w:sz w:val="17"/>
          <w:szCs w:val="17"/>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63" w:right="1440"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LLC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 LIMITED LIABILITY COMPANY AGREEMENT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THIS FIFTH AMENDED AND RESTATED LIMITED LIABILITY COMPANY AGREEMENT, dated as of August 3, 2021, is entered into by and among Rani Therapeutics, LLC, a California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Rani Therapeutics Holdings, Inc., a Delaware corporation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xml:space="preserve">”), and the Members, and is made effective as of the Effective Time. Capitalized terms used herein without definition shall have the meanings assigned to such terms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certain of the Members entered into the Fourth Amended and Restated Limited Liability Company Agreement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dated as of October 30, 2020 (as amended, the “</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7, 2021, the Board of Managers (as defined in the Prior Agreement) of the Company approved an “Up-C IPO structure”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PubCo desires to effect a proposed underwritten initial public offering of shares of its Class A common stock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prior to the Effective Time and in contemplation of the IPO, (i) all outstanding Profits Interests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converted into a fewer number of Common Units that are not subject to a “Profits Interest Threshold Amount” (as defined in the Prior Agreement) and ceased to exist as Common Units that are Profits Interests pursuant to Sections 12 and 13(a) of the Company’s 2016 Equity Incentive Plan (the “</w:t>
      </w:r>
      <w:r>
        <w:rPr>
          <w:rFonts w:ascii="Times New Roman" w:cs="Times New Roman" w:eastAsia="Times New Roman" w:hAnsi="Times New Roman"/>
          <w:sz w:val="18"/>
          <w:szCs w:val="18"/>
          <w:b w:val="1"/>
          <w:bCs w:val="1"/>
          <w:color w:val="auto"/>
        </w:rPr>
        <w:t>Profits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 Conversion</w:t>
      </w:r>
      <w:r>
        <w:rPr>
          <w:rFonts w:ascii="Times New Roman" w:cs="Times New Roman" w:eastAsia="Times New Roman" w:hAnsi="Times New Roman"/>
          <w:sz w:val="18"/>
          <w:szCs w:val="18"/>
          <w:color w:val="auto"/>
        </w:rPr>
        <w:t>”), and (ii) all outstanding Preferred Units automatically converted into Common Units pursuant to Section 3.13(b)(i) of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ceased to exist as Preferred Units, as agreed by the Board of Managers of the Company on June 14, 2021, and approved by a “Majority in Interest of the Members” (as defined in the Prior Agreement) and a “Majority in Interest of the Preferred Members” (as defined in the Prior Agreement) (the “</w:t>
      </w:r>
      <w:r>
        <w:rPr>
          <w:rFonts w:ascii="Times New Roman" w:cs="Times New Roman" w:eastAsia="Times New Roman" w:hAnsi="Times New Roman"/>
          <w:sz w:val="18"/>
          <w:szCs w:val="18"/>
          <w:b w:val="1"/>
          <w:bCs w:val="1"/>
          <w:color w:val="auto"/>
        </w:rPr>
        <w:t>Preferred Unit Conversion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the Effective Time, (i) all Common Units received in the Profits Interest Conversion are, automatically without any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on the part of the Company and the Members, reclassified and changed into Class A Common Units, and cease to exist as Common Units; and (ii) all other Common Units (including Common Units received in the Preferred Unit Conversion) are, automatically without any further action on the part of the Company and the Members, reclassified and changed into Class A Common Units paired with a corresponding number of Class B Voting Units as set forth herein, and shall cease to exist as Common Units (the conversions described in this recital, the “</w:t>
      </w:r>
      <w:r>
        <w:rPr>
          <w:rFonts w:ascii="Times New Roman" w:cs="Times New Roman" w:eastAsia="Times New Roman" w:hAnsi="Times New Roman"/>
          <w:sz w:val="18"/>
          <w:szCs w:val="18"/>
          <w:b w:val="1"/>
          <w:bCs w:val="1"/>
          <w:color w:val="auto"/>
        </w:rPr>
        <w:t>Recapitalization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after the Effective Time and prior to the effectiveness of PubCo’s initial public offering (the “</w:t>
      </w:r>
      <w:r>
        <w:rPr>
          <w:rFonts w:ascii="Times New Roman" w:cs="Times New Roman" w:eastAsia="Times New Roman" w:hAnsi="Times New Roman"/>
          <w:sz w:val="18"/>
          <w:szCs w:val="18"/>
          <w:b w:val="1"/>
          <w:bCs w:val="1"/>
          <w:color w:val="auto"/>
        </w:rPr>
        <w:t>Pre-IPO Effective Time</w:t>
      </w:r>
      <w:r>
        <w:rPr>
          <w:rFonts w:ascii="Times New Roman" w:cs="Times New Roman" w:eastAsia="Times New Roman" w:hAnsi="Times New Roman"/>
          <w:sz w:val="18"/>
          <w:szCs w:val="18"/>
          <w:color w:val="auto"/>
        </w:rPr>
        <w:t>”),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Class A Common Units will contribute all of their Class A Common Units to PubCo in exchange for Class A Common Stock, immediately after which the holders of Class B Voting Units will contribute all of their Class B Voting Units to PubCo in exchange for Class B Common Stock (the exchanges described in this recital, the “</w:t>
      </w:r>
      <w:r>
        <w:rPr>
          <w:rFonts w:ascii="Times New Roman" w:cs="Times New Roman" w:eastAsia="Times New Roman" w:hAnsi="Times New Roman"/>
          <w:sz w:val="18"/>
          <w:szCs w:val="18"/>
          <w:b w:val="1"/>
          <w:bCs w:val="1"/>
          <w:color w:val="auto"/>
        </w:rPr>
        <w:t>Pre-IPO Exchanges</w:t>
      </w:r>
      <w:r>
        <w:rPr>
          <w:rFonts w:ascii="Times New Roman" w:cs="Times New Roman" w:eastAsia="Times New Roman" w:hAnsi="Times New Roman"/>
          <w:sz w:val="18"/>
          <w:szCs w:val="18"/>
          <w:color w:val="auto"/>
        </w:rPr>
        <w:t>,” and the agreements pursuant to which the Pre-IPO Exchanges are effected,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immediately following the Pre-IPO Exchanges, (i) PubCo, as holder of all the Class B Voting Units, designates itself as,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admitted to the Company as, Managing Member, and in such capacity shall have the rights and obligations as provided in this Agreement, and (ii) PubCo shall use the net proceeds received from the IPO to purchase Class A Common Units from the Company.</w:t>
      </w:r>
    </w:p>
    <w:p>
      <w:pPr>
        <w:spacing w:after="0" w:line="17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PubCo, and a Majority in Interest of the Members desire to amend and restate the Prior Agreement in its entirety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 effective as of the Effective Time, at which time the Prior Agreement will be superseded entirely by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5" w:name="page296"/>
    <w:bookmarkEnd w:id="295"/>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herein and other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hereto, intending to be legally bound, hereby agree to amend and restate the Prior Agreement to read in its entirety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definitions shall be applied to the terms used in this Agreement for all purposes, unless otherwise clearly indicated to the contrary.</w:t>
      </w:r>
    </w:p>
    <w:p>
      <w:pPr>
        <w:spacing w:after="0" w:line="2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Member</w:t>
      </w:r>
      <w:r>
        <w:rPr>
          <w:rFonts w:ascii="Times New Roman" w:cs="Times New Roman" w:eastAsia="Times New Roman" w:hAnsi="Times New Roman"/>
          <w:sz w:val="18"/>
          <w:szCs w:val="18"/>
          <w:color w:val="auto"/>
        </w:rPr>
        <w:t xml:space="preserve">” means a Person admitted to the Company as a Member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“Adjusted Capital Account Balance” </w:t>
      </w:r>
      <w:r>
        <w:rPr>
          <w:rFonts w:ascii="Times New Roman" w:cs="Times New Roman" w:eastAsia="Times New Roman" w:hAnsi="Times New Roman"/>
          <w:sz w:val="18"/>
          <w:szCs w:val="18"/>
          <w:color w:val="auto"/>
        </w:rPr>
        <w:t>means, with respect to each Member, the balance in such Member’s Capital Account adjusted (i)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taking into account the adjustments, allocations and distributions described in Treasury Regulations Sections 1.704-1(b)(2)(ii)(d)(4), (5) and (6); and (ii) by adding to such balance such Member’s share of Company Minimum Gain and Member Nonrecourse Debt Minimum Gain, determined pursuant to Treasury Regulations Sections 1.704-2(g) and 1.704-2(i)(5), any amounts such Member is obligated to restore pursuant to any provision of this Agreement or by applicable law. The foregoing definition of Adjusted Capital Account Balance is intended to comply with the provisions of Treasury Regulations Section 1.704-1(b)(2)(ii)(d) and shall be interpreted consistently therewith.</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Admission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means any Person that directly or indirectly controls, is controlled by, or is under common control with the Person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Fifth Amended and Restated Limited Liability Company Agreement of Rani Therapeutics, LLC.</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Appraiser FMV</w:t>
      </w:r>
      <w:r>
        <w:rPr>
          <w:rFonts w:ascii="Times New Roman" w:cs="Times New Roman" w:eastAsia="Times New Roman" w:hAnsi="Times New Roman"/>
          <w:sz w:val="18"/>
          <w:szCs w:val="18"/>
          <w:color w:val="auto"/>
        </w:rPr>
        <w:t>” means the fair market value of any Equity Security as determined by an independent appraiser mutually agreed upon by the Managing Member and the relevant Exchanging Member, whose determination shall be final and binding for those purposes for which Appraiser FMV is used in this Agreement. Appraiser FMV shall be the fair market value determined without regard to any discounts for minority interest, illiquidity or other discounts. The cost of any independent appraisal in connection with the determination of Appraiser FMV in accordance with this Agreement shall be borne by the Company.</w:t>
      </w:r>
    </w:p>
    <w:p>
      <w:pPr>
        <w:spacing w:after="0" w:line="181"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Company’s Articles of Organization as filed with the Secretary of State of the State of California, as amended or amended and restated from time to time.</w:t>
      </w:r>
    </w:p>
    <w:p>
      <w:pPr>
        <w:spacing w:after="0" w:line="154" w:lineRule="exact"/>
        <w:rPr>
          <w:sz w:val="20"/>
          <w:szCs w:val="20"/>
          <w:color w:val="auto"/>
        </w:rPr>
      </w:pPr>
    </w:p>
    <w:p>
      <w:pPr>
        <w:jc w:val="both"/>
        <w:ind w:firstLine="794"/>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xml:space="preserve">” means a Person to whom any Units have been Transferred in accordance with the terms of this Agreement but who has not become a Member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Tax Rate</w:t>
      </w:r>
      <w:r>
        <w:rPr>
          <w:rFonts w:ascii="Times New Roman" w:cs="Times New Roman" w:eastAsia="Times New Roman" w:hAnsi="Times New Roman"/>
          <w:sz w:val="18"/>
          <w:szCs w:val="18"/>
          <w:color w:val="auto"/>
        </w:rPr>
        <w:t>” means the highest effective marginal combined U.S. federal, state and local income tax rate (including the tax imposed under Section 1411 of the Code on net investment income) for a Taxable Year prescribed for an individual or corporate resident in California or New York, New York (whichever results in the application of the highest state and local tax rate for a given type of income), and taking into account (a) the limitations imposed on the deductibility of expenses and other items, (b) the character (e.g., long-term or short-term capital gain or ordinary or exempt income) of the applicable income, and (c) the deductibility of state and local income taxes, to the extent applicable (and with any dollar limitation on state and local income tax deductibility assumed to be exceeded), but not taking into account any deduction under Section 199A of the Code or any similar state or local law, as determined in good faith by the Managing Member. For the avoidance of doubt, the Assumed Tax Rate shall be the same for all Members.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6" w:name="page297"/>
    <w:bookmarkEnd w:id="296"/>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means, on any date, a variable rate per annum equal to the rate of interest most recently published by The Wall Street Journal as the “prime rate” at large U.S. money center banks.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PubCo, as constituted at any given time.</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 Value</w:t>
      </w:r>
      <w:r>
        <w:rPr>
          <w:rFonts w:ascii="Times New Roman" w:cs="Times New Roman" w:eastAsia="Times New Roman" w:hAnsi="Times New Roman"/>
          <w:sz w:val="18"/>
          <w:szCs w:val="18"/>
          <w:color w:val="auto"/>
        </w:rPr>
        <w:t>” means with respect to any asset, the asset’s adjusted basis for U.S. federal income tax purposes, except that (i) the initial Book Value of any asset contributed by a Member to the Company shall be the gross Fair Market Value of such asset; (ii) the Book Value of any property of the Company distributed to any Member shall be adjusted to equal the gross Fair Market Value of such property on the date of distribution; and (iii) the Book Values of assets of the Company shall be increased (or decreased) to the extent the Managing Member determines reasonably and in good faith that such adjustment is necessary or appropriate to comply with the provisions of Treasury Regulations Section 1.704-1(b)(2)(iv).</w:t>
      </w:r>
    </w:p>
    <w:p>
      <w:pPr>
        <w:spacing w:after="0" w:line="18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any other day on which commercial banks located in the State of New York are authorized or obligated by law or executive order to close.</w:t>
      </w:r>
    </w:p>
    <w:p>
      <w:pPr>
        <w:spacing w:after="0" w:line="15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“California Act</w:t>
      </w:r>
      <w:r>
        <w:rPr>
          <w:rFonts w:ascii="Times New Roman" w:cs="Times New Roman" w:eastAsia="Times New Roman" w:hAnsi="Times New Roman"/>
          <w:sz w:val="18"/>
          <w:szCs w:val="18"/>
          <w:color w:val="auto"/>
        </w:rPr>
        <w:t>” means the California Revised Uniform Limited Liability Company Act, Title 2.6, California Corporations Code,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17701.01 et seq., as it may be amended from time to time, and any successor to the California Act.</w:t>
      </w:r>
    </w:p>
    <w:p>
      <w:pPr>
        <w:spacing w:after="0" w:line="1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xml:space="preserve">” means the capital account maintained for a Member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Contribution</w:t>
      </w:r>
      <w:r>
        <w:rPr>
          <w:rFonts w:ascii="Times New Roman" w:cs="Times New Roman" w:eastAsia="Times New Roman" w:hAnsi="Times New Roman"/>
          <w:sz w:val="18"/>
          <w:szCs w:val="18"/>
          <w:color w:val="auto"/>
        </w:rPr>
        <w:t xml:space="preserve">” means any cash, cash equivalents, promissory obligations or the Fair Market Value of other property which a Member contributes to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shall mean any and all shares, interests, participations or other equivalents (however designated) of capital stock of a corporation, any and all equivalent ownership interests in a Person (other than a corporation) including, without limitation, partnership or membership interests (including any components thereof such as capital accounts, priority returns or the like) in a limited partnership or limited liability company and any and all warrants, rights or options to purchase any of the foregoing.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Exchange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12.1(b).</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Exchange Payment</w:t>
      </w:r>
      <w:r>
        <w:rPr>
          <w:rFonts w:ascii="Times New Roman" w:cs="Times New Roman" w:eastAsia="Times New Roman" w:hAnsi="Times New Roman"/>
          <w:sz w:val="18"/>
          <w:szCs w:val="18"/>
          <w:color w:val="auto"/>
        </w:rPr>
        <w:t xml:space="preserve">” means with respect to a particular Exchange for which PubCo has elected to make a Cash Exchange Payment in accordance with </w:t>
      </w:r>
      <w:r>
        <w:rPr>
          <w:rFonts w:ascii="Times New Roman" w:cs="Times New Roman" w:eastAsia="Times New Roman" w:hAnsi="Times New Roman"/>
          <w:sz w:val="18"/>
          <w:szCs w:val="18"/>
          <w:u w:val="single" w:color="auto"/>
          <w:color w:val="auto"/>
        </w:rPr>
        <w:t>Section 12.1(b)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757"/>
        <w:spacing w:after="0" w:line="245" w:lineRule="auto"/>
        <w:tabs>
          <w:tab w:leader="none" w:pos="96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A Common Stock trades on a National Securities Exchange or automated or electronic quotation system, an amount of cash equal to the product of (x) the number of shares of Class A Common Stock that would have been received by the Exchanging Member in the Exchange for that portion of the Class A Common Units subject to the Exchange set forth in the Cash Exchange Notice if PubCo had paid the Stock Exchange Payment with respect to such number of Class A Common Units, and (y) the Class A 3-Day VWAP; or</w:t>
      </w:r>
    </w:p>
    <w:p>
      <w:pPr>
        <w:spacing w:after="0" w:line="180" w:lineRule="exact"/>
        <w:rPr>
          <w:rFonts w:ascii="Times New Roman" w:cs="Times New Roman" w:eastAsia="Times New Roman" w:hAnsi="Times New Roman"/>
          <w:sz w:val="18"/>
          <w:szCs w:val="18"/>
          <w:color w:val="auto"/>
        </w:rPr>
      </w:pPr>
    </w:p>
    <w:p>
      <w:pPr>
        <w:jc w:val="both"/>
        <w:ind w:firstLine="757"/>
        <w:spacing w:after="0"/>
        <w:tabs>
          <w:tab w:leader="none" w:pos="105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Class A Common Stock is not then traded on a National Securities Exchange or automated or electronic quotation system, as applicable, an amount of cash equal to the product of (x) the number of shares of Class A Common Stock that would have been received by the Exchanging Member in the Exchange for that portion of the Class A Common Units subject to the Exchange set forth in the Cash Exchange Notice if PubCo had paid the Stock Exchange Payment with respect to such number of Class A Common Units, for which PubCo has elected to make a Cash Exchange Payment and</w:t>
      </w:r>
    </w:p>
    <w:p>
      <w:pPr>
        <w:spacing w:after="0" w:line="2" w:lineRule="exact"/>
        <w:rPr>
          <w:rFonts w:ascii="Times New Roman" w:cs="Times New Roman" w:eastAsia="Times New Roman" w:hAnsi="Times New Roman"/>
          <w:sz w:val="18"/>
          <w:szCs w:val="18"/>
          <w:color w:val="auto"/>
        </w:rPr>
      </w:pPr>
    </w:p>
    <w:p>
      <w:pPr>
        <w:jc w:val="both"/>
        <w:ind w:firstLine="8"/>
        <w:spacing w:after="0" w:line="239" w:lineRule="auto"/>
        <w:tabs>
          <w:tab w:leader="none" w:pos="26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Appraiser FMV of one (1) share of Class A Common Stock that would be obtained in an arms-length transaction between an informed and willing buyer and an informed and willing seller, neither of whom is under any compulsion to buy or sell, respectively, and without regard to the particular circumstances of the buyer or seller.</w:t>
      </w:r>
    </w:p>
    <w:p>
      <w:pPr>
        <w:spacing w:after="0" w:line="18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Delivery</w:t>
      </w:r>
      <w:r>
        <w:rPr>
          <w:rFonts w:ascii="Times New Roman" w:cs="Times New Roman" w:eastAsia="Times New Roman" w:hAnsi="Times New Roman"/>
          <w:sz w:val="18"/>
          <w:szCs w:val="18"/>
          <w:color w:val="auto"/>
        </w:rPr>
        <w:t>” means, in the case of any shares of Paired Voting Stock to be transferred and surrendered by an Exchanging Member in connection with an Exchange which are represented by a certificate or certificates, the process by which the Exchanging Member shall also present and surrender such certificate or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7" w:name="page298"/>
    <w:bookmarkEnd w:id="297"/>
    <w:p>
      <w:pPr>
        <w:jc w:val="both"/>
        <w:spacing w:after="0" w:line="245" w:lineRule="auto"/>
        <w:rPr>
          <w:sz w:val="20"/>
          <w:szCs w:val="20"/>
          <w:color w:val="auto"/>
        </w:rPr>
      </w:pPr>
      <w:r>
        <w:rPr>
          <w:rFonts w:ascii="Times New Roman" w:cs="Times New Roman" w:eastAsia="Times New Roman" w:hAnsi="Times New Roman"/>
          <w:sz w:val="18"/>
          <w:szCs w:val="18"/>
          <w:color w:val="auto"/>
        </w:rPr>
        <w:t>certificates representing such shares of Paired Voting Stock during normal business hours at the principal executive offices of PubCo, or if any agent for the registration or transfer of shares of Paired Voting Stock is then duly appointed and acting, at the office of such transfer agent, along with any instruments of transfer reasonably required by the Managing Member or such transfer agent, as applicable, duly executed by the Exchanging Member or the Exchanging Member’s duly authorized representative.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3-Day VWAP</w:t>
      </w:r>
      <w:r>
        <w:rPr>
          <w:rFonts w:ascii="Times New Roman" w:cs="Times New Roman" w:eastAsia="Times New Roman" w:hAnsi="Times New Roman"/>
          <w:sz w:val="18"/>
          <w:szCs w:val="18"/>
          <w:color w:val="auto"/>
        </w:rPr>
        <w:t>” means, on any relevant measurement date, the VWAP for five (5) consecutive Trading Days ending on such date.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Class A common stock, par value $0.0001 per share, of PubCo.</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Units</w:t>
      </w:r>
      <w:r>
        <w:rPr>
          <w:rFonts w:ascii="Times New Roman" w:cs="Times New Roman" w:eastAsia="Times New Roman" w:hAnsi="Times New Roman"/>
          <w:sz w:val="18"/>
          <w:szCs w:val="18"/>
          <w:color w:val="auto"/>
        </w:rPr>
        <w:t xml:space="preserve">” means the limited liability company interests described in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xml:space="preserve"> and having the rights, powers and preferences specified herein.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means the Class B common stock, par value $0.0001 per share, of PubCo.</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C Common Stock</w:t>
      </w:r>
      <w:r>
        <w:rPr>
          <w:rFonts w:ascii="Times New Roman" w:cs="Times New Roman" w:eastAsia="Times New Roman" w:hAnsi="Times New Roman"/>
          <w:sz w:val="18"/>
          <w:szCs w:val="18"/>
          <w:color w:val="auto"/>
        </w:rPr>
        <w:t>” means the Class C common stock, par value $0.0001 per share, of PubCo.</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Voting Units”</w:t>
      </w:r>
      <w:r>
        <w:rPr>
          <w:rFonts w:ascii="Times New Roman" w:cs="Times New Roman" w:eastAsia="Times New Roman" w:hAnsi="Times New Roman"/>
          <w:sz w:val="18"/>
          <w:szCs w:val="18"/>
          <w:color w:val="auto"/>
        </w:rPr>
        <w:t xml:space="preserve"> means the limited liability company interests described in </w:t>
      </w:r>
      <w:r>
        <w:rPr>
          <w:rFonts w:ascii="Times New Roman" w:cs="Times New Roman" w:eastAsia="Times New Roman" w:hAnsi="Times New Roman"/>
          <w:sz w:val="18"/>
          <w:szCs w:val="18"/>
          <w:u w:val="single" w:color="auto"/>
          <w:color w:val="auto"/>
        </w:rPr>
        <w:t>Section 3.1(a)(ii)</w:t>
      </w:r>
      <w:r>
        <w:rPr>
          <w:rFonts w:ascii="Times New Roman" w:cs="Times New Roman" w:eastAsia="Times New Roman" w:hAnsi="Times New Roman"/>
          <w:sz w:val="18"/>
          <w:szCs w:val="18"/>
          <w:color w:val="auto"/>
        </w:rPr>
        <w:t xml:space="preserve"> and having the rights, powers and preferences specified herein.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 shall mean the issued and outstanding Common Units, as defined in the Prior Agreement, as of immediately prior to the Effective Time.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Rani Therapeutics, LLC, a California limited liability company.</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“Company Minimum Gain” </w:t>
      </w:r>
      <w:r>
        <w:rPr>
          <w:rFonts w:ascii="Times New Roman" w:cs="Times New Roman" w:eastAsia="Times New Roman" w:hAnsi="Times New Roman"/>
          <w:sz w:val="18"/>
          <w:szCs w:val="18"/>
          <w:color w:val="auto"/>
        </w:rPr>
        <w:t>has the meaning ascribed to the term “partnership minimum gain” set forth in Treasury Regulations 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1.704-2(b)(2) and 1.704-2(d).</w:t>
      </w:r>
    </w:p>
    <w:p>
      <w:pPr>
        <w:spacing w:after="0" w:line="15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Member</w:t>
      </w:r>
      <w:r>
        <w:rPr>
          <w:rFonts w:ascii="Times New Roman" w:cs="Times New Roman" w:eastAsia="Times New Roman" w:hAnsi="Times New Roman"/>
          <w:sz w:val="18"/>
          <w:szCs w:val="18"/>
          <w:color w:val="auto"/>
        </w:rPr>
        <w:t>” means each member receiving Class A Common Units in the Recapitalization for so long as such Member continues to hold such Class A Common Units after the Pre-IPO Exchanges.</w:t>
      </w:r>
    </w:p>
    <w:p>
      <w:pPr>
        <w:spacing w:after="0" w:line="15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Member Representative</w:t>
      </w:r>
      <w:r>
        <w:rPr>
          <w:rFonts w:ascii="Times New Roman" w:cs="Times New Roman" w:eastAsia="Times New Roman" w:hAnsi="Times New Roman"/>
          <w:sz w:val="18"/>
          <w:szCs w:val="18"/>
          <w:color w:val="auto"/>
        </w:rPr>
        <w:t>” means ICL or any Affiliate of ICL designated in writing by ICL to PubCo, the Company and each of the Continuing Members after the Effective Time.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Transaction</w:t>
      </w:r>
      <w:r>
        <w:rPr>
          <w:rFonts w:ascii="Times New Roman" w:cs="Times New Roman" w:eastAsia="Times New Roman" w:hAnsi="Times New Roman"/>
          <w:sz w:val="18"/>
          <w:szCs w:val="18"/>
          <w:color w:val="auto"/>
        </w:rPr>
        <w:t>” means any Liquidity Event or any other sale, redemption or Transfer of Units.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means each distribution made by the Company to a Member, whether in cash, property or securities of the Company and whether by liquidating distribution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shall be a Distribution: (a) any redemption or repurchase by the Company of any securities, or (b) any recapitalization or exchange of securities of the Company, or any subdivision (by Unit split or otherwise) or any combination (by reverse Unit split or otherwise) of any outstanding Units.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such time as is immediately prior to the Pre-IPO Effective Time.</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preferred interests or equity of (or other ownership or profit interests in) such Person, all of the securities convertible into or exchangeable for shares of capital stock or equity of (or other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8" w:name="page299"/>
    <w:bookmarkEnd w:id="298"/>
    <w:p>
      <w:pPr>
        <w:jc w:val="both"/>
        <w:spacing w:after="0" w:line="245" w:lineRule="auto"/>
        <w:rPr>
          <w:sz w:val="20"/>
          <w:szCs w:val="20"/>
          <w:color w:val="auto"/>
        </w:rPr>
      </w:pPr>
      <w:r>
        <w:rPr>
          <w:rFonts w:ascii="Times New Roman" w:cs="Times New Roman" w:eastAsia="Times New Roman" w:hAnsi="Times New Roman"/>
          <w:sz w:val="18"/>
          <w:szCs w:val="18"/>
          <w:color w:val="auto"/>
        </w:rPr>
        <w:t>ownership or profit interests in) such Person, including convertible debt securities,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Withdrawal</w:t>
      </w:r>
      <w:r>
        <w:rPr>
          <w:rFonts w:ascii="Times New Roman" w:cs="Times New Roman" w:eastAsia="Times New Roman" w:hAnsi="Times New Roman"/>
          <w:sz w:val="18"/>
          <w:szCs w:val="18"/>
          <w:color w:val="auto"/>
        </w:rPr>
        <w:t>” means the death, retirement, resignation, expulsion, bankruptcy or dissolution of a Member or the occurrence of any other event that terminates the continued membership of a Member in the Company.</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means (a) the redemption by the Company of vested Class A Common Units held by a Member (together with the surrender and cancellation of the same number of outstanding shares of Paired Voting Stock held by such Member) for either (i) a Stock Exchange Payment or (ii) a Cash Exchange Payment, or (b) the direct purchase by PubCo of vested Class A Common Units and Paired Voting Stock held by a Member in accordance with a PubCo Call Right, in each case in accordance with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applicable rules and regulations thereunder, and any successor to such statute, rules or regulations. Any reference herein to a specific section, rule or regulation of the Exchange Act shall be deemed to include any corresponding provisions of future law.</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Agreements</w:t>
      </w:r>
      <w:r>
        <w:rPr>
          <w:rFonts w:ascii="Times New Roman" w:cs="Times New Roman" w:eastAsia="Times New Roman" w:hAnsi="Times New Roman"/>
          <w:sz w:val="18"/>
          <w:szCs w:val="18"/>
          <w:color w:val="auto"/>
        </w:rPr>
        <w:t>” has the meaning set forth in the Recitals.</w:t>
      </w:r>
    </w:p>
    <w:p>
      <w:pPr>
        <w:spacing w:after="0" w:line="21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Blackout Period</w:t>
      </w:r>
      <w:r>
        <w:rPr>
          <w:rFonts w:ascii="Times New Roman" w:cs="Times New Roman" w:eastAsia="Times New Roman" w:hAnsi="Times New Roman"/>
          <w:sz w:val="18"/>
          <w:szCs w:val="18"/>
          <w:color w:val="auto"/>
        </w:rPr>
        <w:t xml:space="preserve">” means (i) any “black out” or similar period under PubCo’s policies covering trading in PubCo’s securities to which the applicable Exchanging Member is subject (or will be subject at such time as it owns Class A Common Stock), which period restricts the ability of such Exchanging Member to immediately resell shares of Class A Common Stock to be delivered to such Exchanging Member in connection with a Stock Exchange Payment and (ii) the period of time commencing on (x) the date of the declaration of a dividend by PubCo and ending on the first day following (y) the record date determined by the Board with respect to such dividend declared pursuant to clause (x), which period of time shall be no longer than 10 Business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 Exchange Blackout Period which respect to clause (ii) of the definition hereof occur more than four (4) times per calendar year.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Conditions</w:t>
      </w:r>
      <w:r>
        <w:rPr>
          <w:rFonts w:ascii="Times New Roman" w:cs="Times New Roman" w:eastAsia="Times New Roman" w:hAnsi="Times New Roman"/>
          <w:sz w:val="18"/>
          <w:szCs w:val="18"/>
          <w:color w:val="auto"/>
        </w:rPr>
        <w:t>” means any of the following conditions:</w:t>
      </w:r>
    </w:p>
    <w:p>
      <w:pPr>
        <w:spacing w:after="0" w:line="216" w:lineRule="exact"/>
        <w:rPr>
          <w:sz w:val="20"/>
          <w:szCs w:val="20"/>
          <w:color w:val="auto"/>
        </w:rPr>
      </w:pPr>
    </w:p>
    <w:p>
      <w:pPr>
        <w:jc w:val="both"/>
        <w:ind w:firstLine="757"/>
        <w:spacing w:after="0" w:line="236" w:lineRule="auto"/>
        <w:tabs>
          <w:tab w:leader="none" w:pos="968"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valid request for registration pursuant to the Registration Rights Agreement, (a) PubCo shall have failed to cause any related prospectus to be supplemented by any required prospectus supplement necessary to effect such Exchange, (b) PubCo shall have exercised its right to defer, delay or suspend the filing or effectiveness of a Registration Statement and such deferral, delay or suspension shall affect the ability of such Exchanging Member to have its Class A Common Stock registered at or immediately following the consummation of the Exchange, (c) any stop order relating to the Registration Statement pursuant to which the Class A Common Stock was to be registered by such Exchanging Member at or immediately following the Exchange shall have been issued by the Securities and Exchange Commission, (d) there shall be in effect an injunction, a restraining order or a decree of any nature of any Governmental Entity that restrains or prohibits the Exchange, or (e) PubCo shall have failed to comply in any material respect with its obligations under the Registration Rights Agreement to the extent related to the resale of the Class A Common Stock of an Exchanging Member, and such failure shall have adversely affected the ability of such Exchanging Member to consummate the resale of Class A Common Stock to be received upon such Exchange pursuant to an effective Registration Statement; (ii) PubCo shall have disclosed in good faith to such Exchanging Member any material non-public information concerning PubCo, the receipt of which results in such Exchanging Member being prohibited or restricted from selling Class A Common Stock at or immediately following the Exchange without disclosure of such information (and PubCo does not permit disclosure); (iii) there shall have occurred a material disruption in the securities markets generally or in the market or markets in which the Class A Common Stock is then traded; (iv) there shall be in effect an injunction, a restraining order or a decree of any nature of any Governmental Entity that restrains or prohibits the Exchange; or</w:t>
      </w:r>
    </w:p>
    <w:p>
      <w:pPr>
        <w:spacing w:after="0" w:line="5" w:lineRule="exact"/>
        <w:rPr>
          <w:rFonts w:ascii="Times New Roman" w:cs="Times New Roman" w:eastAsia="Times New Roman" w:hAnsi="Times New Roman"/>
          <w:sz w:val="18"/>
          <w:szCs w:val="18"/>
          <w:color w:val="auto"/>
        </w:rPr>
      </w:pPr>
    </w:p>
    <w:p>
      <w:pPr>
        <w:ind w:right="20" w:firstLine="8"/>
        <w:spacing w:after="0" w:line="243" w:lineRule="auto"/>
        <w:tabs>
          <w:tab w:leader="none" w:pos="26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Date would occur three (3) Business Days or less prior to, or during, an Exchange Blackout Period. For purposes of clarity, the matters contemplated in clauses (ii)</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9" w:name="page300"/>
    <w:bookmarkEnd w:id="299"/>
    <w:p>
      <w:pPr>
        <w:jc w:val="both"/>
        <w:spacing w:after="0" w:line="266" w:lineRule="auto"/>
        <w:rPr>
          <w:sz w:val="20"/>
          <w:szCs w:val="20"/>
          <w:color w:val="auto"/>
        </w:rPr>
      </w:pPr>
      <w:r>
        <w:rPr>
          <w:rFonts w:ascii="Times New Roman" w:cs="Times New Roman" w:eastAsia="Times New Roman" w:hAnsi="Times New Roman"/>
          <w:sz w:val="18"/>
          <w:szCs w:val="18"/>
          <w:color w:val="auto"/>
        </w:rPr>
        <w:t>through (v) above shall constitute an Exchange Condition regardless of the existence of a valid request for registration pursuant to the Registration Rights Agreement.</w:t>
      </w:r>
    </w:p>
    <w:p>
      <w:pPr>
        <w:spacing w:after="0" w:line="15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Date</w:t>
      </w:r>
      <w:r>
        <w:rPr>
          <w:rFonts w:ascii="Times New Roman" w:cs="Times New Roman" w:eastAsia="Times New Roman" w:hAnsi="Times New Roman"/>
          <w:sz w:val="18"/>
          <w:szCs w:val="18"/>
          <w:color w:val="auto"/>
        </w:rPr>
        <w:t xml:space="preserve">” means the date that is five (5) Business Days after the Exchange Notice Date is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Exchanging Member delays the consummation of an Exchange by delivering an Exchange Delay Notice, the Exchange Date shall occur on the date that is three (3) Business Days following the date on which the conditions giving rise to such delay cease to exist which shall in no event be prior to the date otherwise determined pursuant to this definition (or such earlier day as the Managing Member and such Exchanging Member may agree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Exchange Date for any Exchange with respect to which PubCo elects to make a Stock Exchange Payment would otherwise fall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Exchange Blackout Period, then the Exchange Date shall occur on the next Business Day following the end of such Exchange Blackout Period.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“Exchange Delay Notice</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12.1(c).</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Notice</w:t>
      </w:r>
      <w:r>
        <w:rPr>
          <w:rFonts w:ascii="Times New Roman" w:cs="Times New Roman" w:eastAsia="Times New Roman" w:hAnsi="Times New Roman"/>
          <w:sz w:val="18"/>
          <w:szCs w:val="18"/>
          <w:color w:val="auto"/>
        </w:rPr>
        <w:t>” means a written election of Exchange in the form of Exhibit A, duly executed by the Exchanging Member.</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Notice Date</w:t>
      </w:r>
      <w:r>
        <w:rPr>
          <w:rFonts w:ascii="Times New Roman" w:cs="Times New Roman" w:eastAsia="Times New Roman" w:hAnsi="Times New Roman"/>
          <w:sz w:val="18"/>
          <w:szCs w:val="18"/>
          <w:color w:val="auto"/>
        </w:rPr>
        <w:t xml:space="preserve">” means, with respect to any Exchange Notice, the date such Exchange Notice is given to the Company in accordance with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Exchanged Units</w:t>
      </w:r>
      <w:r>
        <w:rPr>
          <w:rFonts w:ascii="Times New Roman" w:cs="Times New Roman" w:eastAsia="Times New Roman" w:hAnsi="Times New Roman"/>
          <w:sz w:val="18"/>
          <w:szCs w:val="18"/>
          <w:color w:val="auto"/>
        </w:rPr>
        <w:t xml:space="preserve">” means, with respect to any Exchange, the Class A Common Units being exchanged pursuant to a relevant Exchange Notice, and an equal number of shares of Paired Voting Stock held by the relevant Exchanging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amount of Class A Common Units shall in no event be less than the Minimum Exchange Amount.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Exchanging Member</w:t>
      </w:r>
      <w:r>
        <w:rPr>
          <w:rFonts w:ascii="Times New Roman" w:cs="Times New Roman" w:eastAsia="Times New Roman" w:hAnsi="Times New Roman"/>
          <w:sz w:val="18"/>
          <w:szCs w:val="18"/>
          <w:color w:val="auto"/>
        </w:rPr>
        <w:t>” means a Member initiating an Exchange.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Exempt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means, with respect to any asset or equity interest, its fair market value determined according to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Group</w:t>
      </w:r>
      <w:r>
        <w:rPr>
          <w:rFonts w:ascii="Times New Roman" w:cs="Times New Roman" w:eastAsia="Times New Roman" w:hAnsi="Times New Roman"/>
          <w:sz w:val="18"/>
          <w:szCs w:val="18"/>
          <w:color w:val="auto"/>
        </w:rPr>
        <w:t>” means a Member’s spouse, parents, siblings and descendants (whether by birth or adoption) and any trust (whether revocable or irrevocable) or other estate planning vehicle established solely for the benefit of such Member and/or such Member’s spouse and/or such Member’s descendants (by birth or adoption), parents, siblings or dependents, or any charitable trust the grantor of which is such Member and/or member of such Member’s Family Group.</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xml:space="preserve">” means the Company’s annual accounting period established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Ownership Percentage</w:t>
      </w:r>
      <w:r>
        <w:rPr>
          <w:rFonts w:ascii="Times New Roman" w:cs="Times New Roman" w:eastAsia="Times New Roman" w:hAnsi="Times New Roman"/>
          <w:sz w:val="18"/>
          <w:szCs w:val="18"/>
          <w:color w:val="auto"/>
        </w:rPr>
        <w:t>” means the percentage obtained by dividing (i) the total number of Class A Common Units owned by the Founder Members by (ii) the aggregate number of Class A Common Units outstanding at such time.</w:t>
      </w:r>
    </w:p>
    <w:p>
      <w:pPr>
        <w:spacing w:after="0" w:line="15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Members</w:t>
      </w:r>
      <w:r>
        <w:rPr>
          <w:rFonts w:ascii="Times New Roman" w:cs="Times New Roman" w:eastAsia="Times New Roman" w:hAnsi="Times New Roman"/>
          <w:sz w:val="18"/>
          <w:szCs w:val="18"/>
          <w:color w:val="auto"/>
        </w:rPr>
        <w:t>” means ICL, Mir Imran, Talat Imran, Sanah Imran, InCube Ventures II, L.P., Rani Investment Corp., Biologix Partners, LP, and VH Rani, LP, and their respective Permitted Transferees or any other transferee of such Founder Member pursuant to a transfer included in clauses (i) through (iv) of the definition of an Exempt Transfer.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 Indemnitors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0" w:name="page301"/>
    <w:bookmarkEnd w:id="300"/>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the United States of America or any other nation, any state or other political subdivision thereof, or any entity exercising executive, legislative, judicial, regulatory or administrative functions of government.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ICL</w:t>
      </w:r>
      <w:r>
        <w:rPr>
          <w:rFonts w:ascii="Times New Roman" w:cs="Times New Roman" w:eastAsia="Times New Roman" w:hAnsi="Times New Roman"/>
          <w:sz w:val="18"/>
          <w:szCs w:val="18"/>
          <w:color w:val="auto"/>
        </w:rPr>
        <w:t>” means InCube Labs, LLC, a Delaware limited liability company.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Imputed Underpayment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4.6(d)</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Income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4.1(c)(i)</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 Event</w:t>
      </w:r>
      <w:r>
        <w:rPr>
          <w:rFonts w:ascii="Times New Roman" w:cs="Times New Roman" w:eastAsia="Times New Roman" w:hAnsi="Times New Roman"/>
          <w:sz w:val="18"/>
          <w:szCs w:val="18"/>
          <w:color w:val="auto"/>
        </w:rPr>
        <w:t>” means, whether occurring through one transaction or a series of related transactions, any liquidation, dissolution or winding up, voluntary or involuntary, of the Company.</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Managing Member</w:t>
      </w:r>
      <w:r>
        <w:rPr>
          <w:rFonts w:ascii="Times New Roman" w:cs="Times New Roman" w:eastAsia="Times New Roman" w:hAnsi="Times New Roman"/>
          <w:sz w:val="18"/>
          <w:szCs w:val="18"/>
          <w:color w:val="auto"/>
        </w:rPr>
        <w:t xml:space="preserve">” means the person designated as such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shall be PubCo as of the effectiveness of PubCo’s admission as an Additional Member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or any successor Managing Member admitted to the Company in accordance with the terms of this Agreement, in its capacity as the managing member of the Company.</w:t>
      </w:r>
    </w:p>
    <w:p>
      <w:pPr>
        <w:spacing w:after="0" w:line="17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each of the Persons from time to time admitted to the Company as a member of the Company and listed as a Member in the books and records of the Company, each in its capacity as a member of the Company.</w:t>
      </w:r>
    </w:p>
    <w:p>
      <w:pPr>
        <w:spacing w:after="0" w:line="154"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“Member Nonrecourse Debt Minimum Gain” </w:t>
      </w:r>
      <w:r>
        <w:rPr>
          <w:rFonts w:ascii="Times New Roman" w:cs="Times New Roman" w:eastAsia="Times New Roman" w:hAnsi="Times New Roman"/>
          <w:sz w:val="18"/>
          <w:szCs w:val="18"/>
          <w:color w:val="auto"/>
        </w:rPr>
        <w:t>means an amount with respect to each partner nonrecourse debt (as defined in Treasury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Section 1.704-2(b)(4)) equal to the Company Minimum Gain that would result if such partner nonrecourse debt were treated as a nonrecourse liability (as defined in Treasury Regulations Section 1.752-1(a)(2)) determined in accordance with Treasury Regulations Section 1.704-2(i)(3).</w:t>
      </w:r>
    </w:p>
    <w:p>
      <w:pPr>
        <w:spacing w:after="0" w:line="17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“Member Nonrecourse Deductions” </w:t>
      </w:r>
      <w:r>
        <w:rPr>
          <w:rFonts w:ascii="Times New Roman" w:cs="Times New Roman" w:eastAsia="Times New Roman" w:hAnsi="Times New Roman"/>
          <w:sz w:val="18"/>
          <w:szCs w:val="18"/>
          <w:color w:val="auto"/>
        </w:rPr>
        <w:t>has the meaning ascribed to the term “partner nonrecourse deductions” set forth in Treasury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1.704-2(i)(2).</w:t>
      </w:r>
    </w:p>
    <w:p>
      <w:pPr>
        <w:spacing w:after="0" w:line="15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Exchange Amount</w:t>
      </w:r>
      <w:r>
        <w:rPr>
          <w:rFonts w:ascii="Times New Roman" w:cs="Times New Roman" w:eastAsia="Times New Roman" w:hAnsi="Times New Roman"/>
          <w:sz w:val="18"/>
          <w:szCs w:val="18"/>
          <w:color w:val="auto"/>
        </w:rPr>
        <w:t>” means a number of Class A Common Units held by an Exchanging Member equal to (x) if such Exchanging Member holds more than 50,000 Class A Common Units as of the date hereof, the lesser of (1) 50,000 Class A Common Units and (2) ten percent (10%) of the Class A Common Units held by the applicable Exchanging Member as of the date hereof or (y) to the extent such Exchanging Member holds 50,000 Class A Common Units or less as of the date hereof, the lesser of (1) twenty-five percent (25%) of the Class A Common Units held by the applicable Exchanging Member as of the date hereof and (2) all of the Class A Common Units then held by the applicable Exchanging Member.</w:t>
      </w:r>
    </w:p>
    <w:p>
      <w:pPr>
        <w:spacing w:after="0" w:line="18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Securities Exchange</w:t>
      </w:r>
      <w:r>
        <w:rPr>
          <w:rFonts w:ascii="Times New Roman" w:cs="Times New Roman" w:eastAsia="Times New Roman" w:hAnsi="Times New Roman"/>
          <w:sz w:val="18"/>
          <w:szCs w:val="18"/>
          <w:color w:val="auto"/>
        </w:rPr>
        <w:t>” means a securities exchange registered with the Securities and Exchange Commission under Section 6 of the Exchange Act.</w:t>
      </w:r>
    </w:p>
    <w:p>
      <w:pPr>
        <w:spacing w:after="0" w:line="15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means, with respect to a Taxable Year, the excess, if any, of Losses for such Taxable Year over Profits for such Taxable Year (excluding Losses and Profits specially allocated pursuant to this Agreement).</w:t>
      </w:r>
    </w:p>
    <w:p>
      <w:pPr>
        <w:spacing w:after="0" w:line="15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Profit</w:t>
      </w:r>
      <w:r>
        <w:rPr>
          <w:rFonts w:ascii="Times New Roman" w:cs="Times New Roman" w:eastAsia="Times New Roman" w:hAnsi="Times New Roman"/>
          <w:sz w:val="18"/>
          <w:szCs w:val="18"/>
          <w:color w:val="auto"/>
        </w:rPr>
        <w:t>” means, with respect to a Taxable Year, the excess, if any, of Profits for such Taxable Year over Losses for such Taxable Year (excluding Profits and Losses specially allocated pursuant to this Agreement).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Non-Foreign Person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12.9(a)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“Nonrecourse Deductions” </w:t>
      </w:r>
      <w:r>
        <w:rPr>
          <w:rFonts w:ascii="Times New Roman" w:cs="Times New Roman" w:eastAsia="Times New Roman" w:hAnsi="Times New Roman"/>
          <w:sz w:val="18"/>
          <w:szCs w:val="18"/>
          <w:color w:val="auto"/>
        </w:rPr>
        <w:t>has the meaning set forth in Treasury Regulations Section 1.704-2(b)(1). The amount of Nonrecourse Deductions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for a Fiscal Year equals the net increase, if any, in the amount 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color w:val="auto"/>
        </w:rPr>
        <w:t>Company Minimum Gain of the Company during that fiscal year, determined according to the provisions of Treasury Regulations Section 1.704-2(c).</w:t>
      </w:r>
    </w:p>
    <w:p>
      <w:pPr>
        <w:spacing w:after="0" w:line="20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Paired Voting Stock</w:t>
      </w:r>
      <w:r>
        <w:rPr>
          <w:rFonts w:ascii="Times New Roman" w:cs="Times New Roman" w:eastAsia="Times New Roman" w:hAnsi="Times New Roman"/>
          <w:sz w:val="18"/>
          <w:szCs w:val="18"/>
          <w:color w:val="auto"/>
        </w:rPr>
        <w:t xml:space="preserve">” means, with respect to Class A Common Units held by a Member other than PubCo (and other than Class A Common Units received in the Recapitalization in exchange for Common Units received in the Profits Interest Conversion), the shares of Class B Common Stock issued in exchange for the Class B Voting Units initially paired with such Class A Common Units, subject, as applicable, to adjustment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and the certificate of incorporation of PubCo.</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Participate</w:t>
      </w:r>
      <w:r>
        <w:rPr>
          <w:rFonts w:ascii="Times New Roman" w:cs="Times New Roman" w:eastAsia="Times New Roman" w:hAnsi="Times New Roman"/>
          <w:sz w:val="18"/>
          <w:szCs w:val="18"/>
          <w:color w:val="auto"/>
        </w:rPr>
        <w:t>” (and the correlative terms “</w:t>
      </w:r>
      <w:r>
        <w:rPr>
          <w:rFonts w:ascii="Times New Roman" w:cs="Times New Roman" w:eastAsia="Times New Roman" w:hAnsi="Times New Roman"/>
          <w:sz w:val="18"/>
          <w:szCs w:val="18"/>
          <w:b w:val="1"/>
          <w:bCs w:val="1"/>
          <w:color w:val="auto"/>
        </w:rPr>
        <w:t>Participating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Participation</w:t>
      </w:r>
      <w:r>
        <w:rPr>
          <w:rFonts w:ascii="Times New Roman" w:cs="Times New Roman" w:eastAsia="Times New Roman" w:hAnsi="Times New Roman"/>
          <w:sz w:val="18"/>
          <w:szCs w:val="18"/>
          <w:color w:val="auto"/>
        </w:rPr>
        <w:t>”) includes any direct or indirect ownership interest in any enterprise or participation in the management of such enterprise, whether as an officer, director, employee, partner, sole proprietor, agent, representative, independent contractor, consultant, executive, franchisor, franchisee, creditor, owner or otherwise.</w:t>
      </w:r>
    </w:p>
    <w:p>
      <w:pPr>
        <w:spacing w:after="0" w:line="17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Unit</w:t>
      </w:r>
      <w:r>
        <w:rPr>
          <w:rFonts w:ascii="Times New Roman" w:cs="Times New Roman" w:eastAsia="Times New Roman" w:hAnsi="Times New Roman"/>
          <w:sz w:val="18"/>
          <w:szCs w:val="18"/>
          <w:color w:val="auto"/>
        </w:rPr>
        <w:t xml:space="preserve">” means, with respect to any Distribution (or other allocation of proceeds)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hereof, any Class A Common Unit.</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Partnership Representative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any transferee in an Exempt Transfer pursuant to clause (i) of the definition thereof.</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unincorporated organization, association or other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is defined in the Registration Rights Agreement.</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Profits Interests</w:t>
      </w:r>
      <w:r>
        <w:rPr>
          <w:rFonts w:ascii="Times New Roman" w:cs="Times New Roman" w:eastAsia="Times New Roman" w:hAnsi="Times New Roman"/>
          <w:sz w:val="18"/>
          <w:szCs w:val="18"/>
          <w:color w:val="auto"/>
        </w:rPr>
        <w:t>” shall mean all of the issued and outstanding Profits Interests, as defined in the Prior Agreement, as of immediately prior to the Effective Time.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w:t>
      </w:r>
      <w:r>
        <w:rPr>
          <w:rFonts w:ascii="Times New Roman" w:cs="Times New Roman" w:eastAsia="Times New Roman" w:hAnsi="Times New Roman"/>
          <w:sz w:val="18"/>
          <w:szCs w:val="18"/>
          <w:color w:val="auto"/>
        </w:rPr>
        <w:t>” has the meaning set forth in the Recitals.</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Profits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means items of Company income and gain or loss and deduction for an applicable tax accounting period determined for purposes of maintaining the Capital Account of each Member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in accordance with Section 704(b) of the Code and the Treasury Regulations promulgated thereunder.</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means Rani Therapeutics Holdings, Inc., a corporation incorporated under the laws of the State of Delaware, and its successors.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PubCo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3.2(c)(ii).</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Recapitalization</w:t>
      </w:r>
      <w:r>
        <w:rPr>
          <w:rFonts w:ascii="Times New Roman" w:cs="Times New Roman" w:eastAsia="Times New Roman" w:hAnsi="Times New Roman"/>
          <w:sz w:val="18"/>
          <w:szCs w:val="18"/>
          <w:color w:val="auto"/>
        </w:rPr>
        <w:t>” has the meaning set forth in the Recitals.</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dated as of the date hereof, by and among PubCo, certain of the Members and the other parties thereto (together with any other parties that become a party thereto from time to time upon execution of a joinder in accordance with the terms thereof by any successor or assign to any party to such Registration Rights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that PubCo is required to file pursuant to the Registration Rights Agreement.</w:t>
      </w:r>
    </w:p>
    <w:p>
      <w:pPr>
        <w:spacing w:after="0" w:line="2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2" w:name="page303"/>
    <w:bookmarkEnd w:id="302"/>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and Exchange Commission</w:t>
      </w:r>
      <w:r>
        <w:rPr>
          <w:rFonts w:ascii="Times New Roman" w:cs="Times New Roman" w:eastAsia="Times New Roman" w:hAnsi="Times New Roman"/>
          <w:sz w:val="18"/>
          <w:szCs w:val="18"/>
          <w:color w:val="auto"/>
        </w:rPr>
        <w:t>” means the United States Securities and Exchange Commission, including any governmental body or agency succeeding to the functions thereof.</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Law</w:t>
      </w:r>
      <w:r>
        <w:rPr>
          <w:rFonts w:ascii="Times New Roman" w:cs="Times New Roman" w:eastAsia="Times New Roman" w:hAnsi="Times New Roman"/>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177"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 Payment</w:t>
      </w:r>
      <w:r>
        <w:rPr>
          <w:rFonts w:ascii="Times New Roman" w:cs="Times New Roman" w:eastAsia="Times New Roman" w:hAnsi="Times New Roman"/>
          <w:sz w:val="18"/>
          <w:szCs w:val="18"/>
          <w:color w:val="auto"/>
        </w:rPr>
        <w:t>” means, with respect to any Exchange for which a Cash Exchange Notice is not in effect, a number of shares of Class A Common Stock equal to the number of Class A Common Units subject to such Exchange.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w:t>
      </w:r>
    </w:p>
    <w:p>
      <w:pPr>
        <w:spacing w:after="0" w:line="20" w:lineRule="exact"/>
        <w:rPr>
          <w:sz w:val="20"/>
          <w:szCs w:val="20"/>
          <w:color w:val="auto"/>
        </w:rPr>
      </w:pPr>
    </w:p>
    <w:p>
      <w:pPr>
        <w:jc w:val="both"/>
        <w:ind w:firstLine="8"/>
        <w:spacing w:after="0" w:line="236" w:lineRule="auto"/>
        <w:tabs>
          <w:tab w:leader="none" w:pos="2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manager,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Substituted Member</w:t>
      </w:r>
      <w:r>
        <w:rPr>
          <w:rFonts w:ascii="Times New Roman" w:cs="Times New Roman" w:eastAsia="Times New Roman" w:hAnsi="Times New Roman"/>
          <w:sz w:val="18"/>
          <w:szCs w:val="18"/>
          <w:color w:val="auto"/>
        </w:rPr>
        <w:t xml:space="preserve">” means a Person that is admitted as a Member to the Company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Distributions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Estimation Period</w:t>
      </w:r>
      <w:r>
        <w:rPr>
          <w:rFonts w:ascii="Times New Roman" w:cs="Times New Roman" w:eastAsia="Times New Roman" w:hAnsi="Times New Roman"/>
          <w:sz w:val="18"/>
          <w:szCs w:val="18"/>
          <w:color w:val="auto"/>
        </w:rPr>
        <w:t>” means each period from January 1 through March 31, from April 1 through May 31, from June 1 through August 31, and from September 1 through December 31 of each Taxable Year.</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Matters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means the Tax Receivable Agreement dated as of or about the date hereof among the Company, the Managing Member and the other parties from time to time party thereto, as amended from time to time.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Year</w:t>
      </w:r>
      <w:r>
        <w:rPr>
          <w:rFonts w:ascii="Times New Roman" w:cs="Times New Roman" w:eastAsia="Times New Roman" w:hAnsi="Times New Roman"/>
          <w:sz w:val="18"/>
          <w:szCs w:val="18"/>
          <w:color w:val="auto"/>
        </w:rPr>
        <w:t xml:space="preserve">” means the Company’s accounting period for federal income tax purposes determined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day on which Nasdaq or such other principal United States securities exchange on which the Class A Common Stock is listed, quoted or admitted to trading and is open for the transaction of business (unless such trading shall have been suspended for the entire day).</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Transferor’s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9.1(c)(i)</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income tax regulations promulgated under the Code, as amended.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3" w:name="page304"/>
    <w:bookmarkEnd w:id="303"/>
    <w:p>
      <w:pPr>
        <w:jc w:val="both"/>
        <w:ind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means, collectively, the Class A Common Units, the Class B Voting Units and such other units of the Company as may be authorized, designated or issued, as determined by the Managing Member from time to time after the date hereof.</w:t>
      </w:r>
    </w:p>
    <w:p>
      <w:pPr>
        <w:spacing w:after="0" w:line="1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Unvested Class A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3.1(b)(iv)</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Unvested Class A Common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3.1(b)(ii).</w:t>
      </w:r>
    </w:p>
    <w:p>
      <w:pPr>
        <w:spacing w:after="0" w:line="212" w:lineRule="exact"/>
        <w:rPr>
          <w:sz w:val="20"/>
          <w:szCs w:val="20"/>
          <w:color w:val="auto"/>
        </w:rPr>
      </w:pPr>
    </w:p>
    <w:p>
      <w:pPr>
        <w:jc w:val="both"/>
        <w:ind w:firstLine="807"/>
        <w:spacing w:after="0" w:line="23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xml:space="preserve">” means the daily per share volume-weighted average price of the Class A Common Stock on Nasdaq or such other principal United States securities exchange on which the shares of Class A Common Stock are listed, quoted or admitted to trading, as displayed under the heading Bloomberg VWAP on the Bloomberg page designated for the Class A Common Stock (or the equivalent successor if such page is not available) in respect of the period from the open of trading on such Trading Day until the close of trading on such Trading Day (or if such volume-weighted average price is unavailable, (a) the per share volume-weighted average price of a share of Class A Common Stock on such Trading Day (determined without regard to afterhours trading or any other trading outside the regular trading session or trading hours), or (b) if such determination is not feasible, the market price per share of Class A Common Stock as determined by a nationally recognized independent investment banking firm retained in good faith for this purpose by PubCo);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at any time for purposes of the Class A 3-Day VWAP shares of Class A Common Stock are not then listed, quoted or traded on a principal United States securities exchange or automated or electronic quotation system, then the VWAP shall mean the per share Appraiser FMV of one (1) share of Class A Common Stock (or such other Equity Security into which the Class A Common Stock was converted or exchanged).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MATTERS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Formation of Company</w:t>
      </w:r>
      <w:r>
        <w:rPr>
          <w:rFonts w:ascii="Times New Roman" w:cs="Times New Roman" w:eastAsia="Times New Roman" w:hAnsi="Times New Roman"/>
          <w:sz w:val="18"/>
          <w:szCs w:val="18"/>
          <w:color w:val="auto"/>
        </w:rPr>
        <w:t>. The Company was formed on February 21, 2012, in accordance with the laws of the State of California.</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Limited Liability Company Agreement</w:t>
      </w:r>
      <w:r>
        <w:rPr>
          <w:rFonts w:ascii="Times New Roman" w:cs="Times New Roman" w:eastAsia="Times New Roman" w:hAnsi="Times New Roman"/>
          <w:sz w:val="18"/>
          <w:szCs w:val="18"/>
          <w:color w:val="auto"/>
        </w:rPr>
        <w:t xml:space="preserve">. The Members hereby execute this Agreement for the purpose of establishing the affairs of the Company and the conduct of its business in accordance with the provisions of the California Act. This Agreement amends and restates the Prior Agreement in its entirety and shall constitute the “operating agreement” (as that term is used in the California Act) of the Company effective as of the Effective Time. The Members hereby agree that during the term of the Company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rights and obligations of the Members with respect to the Company will be determined in accordance with the terms and conditions of this Agreement and the California Act. On any matter upon which this Agreement is silent, the California Act shall control. No provision of this Agreement shall be in violation of the California Act and to the extent any provision of this Agreement is in violation of the California Act, such provision shall be void and of no effect to the extent of such violation without affecting the validity of the other provisions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where the California Act provides that a provision of the California Act shall apply “unless otherwise provided in an operating agreement” or words of similar effect, the provisions of this Agreement shall in each instance control.</w:t>
      </w:r>
    </w:p>
    <w:p>
      <w:pPr>
        <w:spacing w:after="0" w:line="18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The name of the Company shall be “Rani Therapeutics, LLC”. The Managing Member in its sole discretion may change the name of the Company at any time and from time to time in accordance with the California Act. Notification of any such change shall be given to all of the Members. The Company’s business may be conducted under its name and/or any other name or names deemed advisable by the Managing Member.</w:t>
      </w:r>
    </w:p>
    <w:p>
      <w:pPr>
        <w:spacing w:after="0" w:line="1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and business of the Company shall be any business which may lawfully be conducted by a limited liability company formed pursuant to the California Act.</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powers of the Company shall be all powers necessary or convenient to carry out the purposes for which it is organized, including the powers granted by the California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4" w:name="page305"/>
    <w:bookmarkEnd w:id="304"/>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Principal Office; Registered Office</w:t>
      </w:r>
      <w:r>
        <w:rPr>
          <w:rFonts w:ascii="Times New Roman" w:cs="Times New Roman" w:eastAsia="Times New Roman" w:hAnsi="Times New Roman"/>
          <w:sz w:val="18"/>
          <w:szCs w:val="18"/>
          <w:color w:val="auto"/>
        </w:rPr>
        <w:t>. The principal office of the Company shall be such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California shall be 330 N Brand Blvd, STE 700, Glendale, CA 91203, and the registered agent for service of process on the Company in the State of California at such registered office shall be C T Corporation System.</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term of the Company commenced upon the filing of the Articles in accordance with the California Act and shall continue in existence until dissolution thereof in accordance with the provisions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The existence of the Company as a separate legal entity shall continue until cancellation of the Articles as provided in the California Act.</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No State-Law Partnership</w:t>
      </w:r>
      <w:r>
        <w:rPr>
          <w:rFonts w:ascii="Times New Roman" w:cs="Times New Roman" w:eastAsia="Times New Roman" w:hAnsi="Times New Roman"/>
          <w:sz w:val="18"/>
          <w:szCs w:val="18"/>
          <w:color w:val="auto"/>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and neither this Agreement nor any other document entered into by the Company or any Member relating to the subject matter hereof shall be construed to suggest otherwise.</w:t>
      </w:r>
    </w:p>
    <w:p>
      <w:pPr>
        <w:spacing w:after="0" w:line="18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The Members intend that the Company shall be treated as a partnership for federal and applicable state or local income tax purposes, and that each Member and the Company shall file all tax returns and shall otherwise take all tax and financial reporting positions in a manner consistent with and actions necessary to obtain such treatment.</w:t>
      </w:r>
    </w:p>
    <w:p>
      <w:pPr>
        <w:spacing w:after="0" w:line="1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For the avoidance of doubt, all prior limited liability company agreements amongst the Company and its members, including all amendments thereto, shall govern and control for all periods prior to the date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 CAPITAL CONTRIBUTIONS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41" w:lineRule="auto"/>
        <w:tabs>
          <w:tab w:leader="none" w:pos="185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shall hold Units, and the relative rights, powers, privileges, preferences and obligations with respect to each Member’s Units shall be determined under this Agreement and the California Act based upon the number and the class of Units held by such Member. The number and the class of Units held by each Member shall be set forth in the books and records of the Company. The classes of Units as of the Effective Time are as follows: “Class A Common Units” and “Class B Voting Units.” The Members shall have no right to vote on any matter, except as specifically set forth in this Agreement, or as may be required under the California Act. Any such vote shall be at a meeting of the Members entitled to vote or in writing as provided herein.</w:t>
      </w:r>
    </w:p>
    <w:p>
      <w:pPr>
        <w:spacing w:after="0" w:line="183" w:lineRule="exact"/>
        <w:rPr>
          <w:rFonts w:ascii="Times New Roman" w:cs="Times New Roman" w:eastAsia="Times New Roman" w:hAnsi="Times New Roman"/>
          <w:sz w:val="18"/>
          <w:szCs w:val="18"/>
          <w:color w:val="auto"/>
        </w:rPr>
      </w:pPr>
    </w:p>
    <w:p>
      <w:pPr>
        <w:jc w:val="both"/>
        <w:ind w:left="760" w:firstLine="1494"/>
        <w:spacing w:after="0" w:line="242" w:lineRule="auto"/>
        <w:tabs>
          <w:tab w:leader="none" w:pos="261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A Common Units</w:t>
      </w:r>
      <w:r>
        <w:rPr>
          <w:rFonts w:ascii="Times New Roman" w:cs="Times New Roman" w:eastAsia="Times New Roman" w:hAnsi="Times New Roman"/>
          <w:sz w:val="18"/>
          <w:szCs w:val="18"/>
          <w:color w:val="auto"/>
        </w:rPr>
        <w:t>. The Class A Common Units shall have all the rights, powers, privileges and obligations as are specifically provided for in this Agreement for Class A Common Units, and as may otherwise be generally applicable to all classes of Units, unless such application is specifically limited to one or more other classes of Units. Notwithstanding anything to the contrary contained herein, the holders of Class A Common Units shall not be entitled to vote on any matter subject to a vote of the Members, except as otherwise required by law and on any such matter the holders of Class A Common Units shall be entitled to one (1) vote per Class A Common Unit.</w:t>
      </w:r>
    </w:p>
    <w:p>
      <w:pPr>
        <w:spacing w:after="0" w:line="184" w:lineRule="exact"/>
        <w:rPr>
          <w:rFonts w:ascii="Times New Roman" w:cs="Times New Roman" w:eastAsia="Times New Roman" w:hAnsi="Times New Roman"/>
          <w:sz w:val="18"/>
          <w:szCs w:val="18"/>
          <w:color w:val="auto"/>
        </w:rPr>
      </w:pPr>
    </w:p>
    <w:p>
      <w:pPr>
        <w:jc w:val="both"/>
        <w:ind w:left="760" w:firstLine="1494"/>
        <w:spacing w:after="0" w:line="250" w:lineRule="auto"/>
        <w:tabs>
          <w:tab w:leader="none" w:pos="2617"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Voting Units</w:t>
      </w:r>
      <w:r>
        <w:rPr>
          <w:rFonts w:ascii="Times New Roman" w:cs="Times New Roman" w:eastAsia="Times New Roman" w:hAnsi="Times New Roman"/>
          <w:sz w:val="18"/>
          <w:szCs w:val="18"/>
          <w:color w:val="auto"/>
        </w:rPr>
        <w:t xml:space="preserve">. The holders of Class B Voting Units shall be entitled to ten (10) votes per Class B Voting Unit with respect to any designation of the Managing Member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designation of an additional Managing Member or substitute Managing Member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and shall not be entitled to any other rights, powers, privileges or obligations under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5" w:name="page306"/>
    <w:bookmarkEnd w:id="305"/>
    <w:p>
      <w:pPr>
        <w:ind w:left="1860" w:hanging="355"/>
        <w:spacing w:after="0"/>
        <w:tabs>
          <w:tab w:leader="none" w:pos="1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in connection with the IPO, the following shall have occurred or will occur:</w:t>
      </w:r>
    </w:p>
    <w:p>
      <w:pPr>
        <w:spacing w:after="0" w:line="21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the Profits Interest Conversion and the Preferred Unit Conversion were</w:t>
      </w:r>
    </w:p>
    <w:p>
      <w:pPr>
        <w:spacing w:after="0" w:line="1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w:t>
      </w:r>
    </w:p>
    <w:p>
      <w:pPr>
        <w:spacing w:after="0" w:line="191" w:lineRule="exact"/>
        <w:rPr>
          <w:rFonts w:ascii="Times New Roman" w:cs="Times New Roman" w:eastAsia="Times New Roman" w:hAnsi="Times New Roman"/>
          <w:sz w:val="18"/>
          <w:szCs w:val="18"/>
          <w:color w:val="auto"/>
        </w:rPr>
      </w:pPr>
    </w:p>
    <w:p>
      <w:pPr>
        <w:jc w:val="both"/>
        <w:ind w:left="760" w:firstLine="1494"/>
        <w:spacing w:after="0" w:line="245" w:lineRule="auto"/>
        <w:tabs>
          <w:tab w:leader="none" w:pos="261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Recapitalization is hereby consummated. Pursuant to the Recapitalization, any Class A Common Units received in exchange for Common Units subject to vesting not accelerated in connection with the IPO shall continue to vest in accordance with the vesting schedule applicable to such Profits Interests (such Class A Common Units subject to vesting, the “</w:t>
      </w:r>
      <w:r>
        <w:rPr>
          <w:rFonts w:ascii="Times New Roman" w:cs="Times New Roman" w:eastAsia="Times New Roman" w:hAnsi="Times New Roman"/>
          <w:sz w:val="18"/>
          <w:szCs w:val="18"/>
          <w:b w:val="1"/>
          <w:bCs w:val="1"/>
          <w:color w:val="auto"/>
        </w:rPr>
        <w:t>Unvested 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Units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760" w:firstLine="1494"/>
        <w:spacing w:after="0" w:line="250" w:lineRule="auto"/>
        <w:tabs>
          <w:tab w:leader="none" w:pos="261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Effective Time, the Pre-IPO Exchanges shall be consummated. Any shares of Class A Common Stock received in respect of Unvested Class A Common Units in a Pre-IPO Exchange shall continue to vest in accordance with the same vesting schedule as such Unvested Class A Common Units (the “</w:t>
      </w:r>
      <w:r>
        <w:rPr>
          <w:rFonts w:ascii="Times New Roman" w:cs="Times New Roman" w:eastAsia="Times New Roman" w:hAnsi="Times New Roman"/>
          <w:sz w:val="18"/>
          <w:szCs w:val="18"/>
          <w:b w:val="1"/>
          <w:bCs w:val="1"/>
          <w:color w:val="auto"/>
        </w:rPr>
        <w:t>Unvested Class A Common Stock</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760" w:firstLine="1494"/>
        <w:spacing w:after="0" w:line="250" w:lineRule="auto"/>
        <w:tabs>
          <w:tab w:leader="none" w:pos="261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Unvested Class A Common Stock shall be required to make a valid and timely election in respect of such Unvested Class A Common Stock and protective election in respect of such Unvested Class A Units, in each case, pursuant to Section 83(b) of the Code and to provide evidence of such election to PubCo and the Company.</w:t>
      </w:r>
    </w:p>
    <w:p>
      <w:pPr>
        <w:spacing w:after="0" w:line="176" w:lineRule="exact"/>
        <w:rPr>
          <w:rFonts w:ascii="Times New Roman" w:cs="Times New Roman" w:eastAsia="Times New Roman" w:hAnsi="Times New Roman"/>
          <w:sz w:val="18"/>
          <w:szCs w:val="18"/>
          <w:color w:val="auto"/>
        </w:rPr>
      </w:pPr>
    </w:p>
    <w:p>
      <w:pPr>
        <w:ind w:left="760" w:firstLine="1494"/>
        <w:spacing w:after="0" w:line="266" w:lineRule="auto"/>
        <w:tabs>
          <w:tab w:leader="none" w:pos="261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forfeiture of Unvested Class A Common Stock pursuant to the Restricted Stock Award Agreement under the PubCo 2021 Equity Incentive Plan, PubCo shall automatically forfeit the corresponding Unvested Class A Common Units.</w:t>
      </w:r>
    </w:p>
    <w:p>
      <w:pPr>
        <w:spacing w:after="0" w:line="162" w:lineRule="exact"/>
        <w:rPr>
          <w:rFonts w:ascii="Times New Roman" w:cs="Times New Roman" w:eastAsia="Times New Roman" w:hAnsi="Times New Roman"/>
          <w:sz w:val="18"/>
          <w:szCs w:val="18"/>
          <w:color w:val="auto"/>
        </w:rPr>
      </w:pPr>
    </w:p>
    <w:p>
      <w:pPr>
        <w:ind w:left="760" w:right="20" w:firstLine="1494"/>
        <w:spacing w:after="0" w:line="266" w:lineRule="auto"/>
        <w:tabs>
          <w:tab w:leader="none" w:pos="261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agree that immediately following the Effective Time, no fractional Class A Common Unit will remain outstanding and any fractional Class A Common Unit held by a Member shall be rounded down to the nearest whole number.</w:t>
      </w:r>
    </w:p>
    <w:p>
      <w:pPr>
        <w:spacing w:after="0" w:line="162" w:lineRule="exact"/>
        <w:rPr>
          <w:rFonts w:ascii="Times New Roman" w:cs="Times New Roman" w:eastAsia="Times New Roman" w:hAnsi="Times New Roman"/>
          <w:sz w:val="18"/>
          <w:szCs w:val="18"/>
          <w:color w:val="auto"/>
        </w:rPr>
      </w:pPr>
    </w:p>
    <w:p>
      <w:pPr>
        <w:jc w:val="both"/>
        <w:ind w:firstLine="1505"/>
        <w:spacing w:after="0" w:line="236" w:lineRule="auto"/>
        <w:tabs>
          <w:tab w:leader="none" w:pos="18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(including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 Managing Member in its sole discretion may establish and issue, from time to time in accordance with such procedures as the Managing Member shall determine from time to time, additional Units, in one or more classes or series of Units, or other Company securities, at such price, and with such designations, preferences and relative, participating, optional or other special rights, powers and duties (which may be senior to existing Units, classes and series of Units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 (v) whether such Units are issued with the privilege of conversion or exchange and, if so, the terms and conditions of such conversion or exchange; (vi) the terms and conditions upon which such Units will be issued, evidenced by certificates and assigned or transferred; (vii)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 (viii) the right, if any, of the holder of such Units to vote on Company matters, including matters relating to the relative designations, preferences, rights, powers and duties of such Units. Notwithstanding any other provision of this Agreement, the Managing Member in its sole discretion, without the approval of any Member or any other Person, is authorized (i) to issue Units or other Company securities of any newly established class or any existing class to Members or other Persons who may acquire an interest in the Company; (ii) to amend this Agreement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 Except as expressly provided in this Agreement to the contrary, any reference to “Units” shall include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6" w:name="page307"/>
    <w:bookmarkEnd w:id="306"/>
    <w:p>
      <w:pPr>
        <w:jc w:val="both"/>
        <w:spacing w:after="0" w:line="250" w:lineRule="auto"/>
        <w:rPr>
          <w:sz w:val="20"/>
          <w:szCs w:val="20"/>
          <w:color w:val="auto"/>
        </w:rPr>
      </w:pPr>
      <w:r>
        <w:rPr>
          <w:rFonts w:ascii="Times New Roman" w:cs="Times New Roman" w:eastAsia="Times New Roman" w:hAnsi="Times New Roman"/>
          <w:sz w:val="18"/>
          <w:szCs w:val="18"/>
          <w:color w:val="auto"/>
        </w:rPr>
        <w:t>the Class A Common Units, Class B Voting Units, 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spacing w:after="0" w:line="177" w:lineRule="exact"/>
        <w:rPr>
          <w:sz w:val="20"/>
          <w:szCs w:val="20"/>
          <w:color w:val="auto"/>
        </w:rPr>
      </w:pPr>
    </w:p>
    <w:p>
      <w:pPr>
        <w:ind w:left="1860" w:hanging="355"/>
        <w:spacing w:after="0"/>
        <w:tabs>
          <w:tab w:leader="none" w:pos="18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Units issued hereunder shall be uncertificated unless otherwise determined by the Managing Member.</w:t>
      </w:r>
    </w:p>
    <w:p>
      <w:pPr>
        <w:spacing w:after="0" w:line="211" w:lineRule="exact"/>
        <w:rPr>
          <w:rFonts w:ascii="Times New Roman" w:cs="Times New Roman" w:eastAsia="Times New Roman" w:hAnsi="Times New Roman"/>
          <w:sz w:val="18"/>
          <w:szCs w:val="18"/>
          <w:color w:val="auto"/>
        </w:rPr>
      </w:pPr>
    </w:p>
    <w:p>
      <w:pPr>
        <w:jc w:val="both"/>
        <w:ind w:firstLine="1505"/>
        <w:spacing w:after="0" w:line="245" w:lineRule="auto"/>
        <w:tabs>
          <w:tab w:leader="none" w:pos="18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information is required to be disclosed to any Member pursuant to this Agreement or the California Act, pursuant to Section 17704.10 of the California Act, each Member acknowledges and agrees that portions of this Agreement may be redacted by the Managing Member or information herein may otherwise be aggregated by the Managing Member to prevent disclosure of confidential information with respect to individual allocations of employee Equity Securities.</w:t>
      </w:r>
    </w:p>
    <w:p>
      <w:pPr>
        <w:spacing w:after="0" w:line="180" w:lineRule="exact"/>
        <w:rPr>
          <w:rFonts w:ascii="Times New Roman" w:cs="Times New Roman" w:eastAsia="Times New Roman" w:hAnsi="Times New Roman"/>
          <w:sz w:val="18"/>
          <w:szCs w:val="18"/>
          <w:color w:val="auto"/>
        </w:rPr>
      </w:pPr>
    </w:p>
    <w:p>
      <w:pPr>
        <w:jc w:val="both"/>
        <w:ind w:firstLine="1505"/>
        <w:spacing w:after="0" w:line="250" w:lineRule="auto"/>
        <w:tabs>
          <w:tab w:leader="none" w:pos="18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who is issued Units by the Company pursuant to the authority of the Managing Member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make the Capital Contributions to the Company determined by the Managing Member pursuant to the authority of the Managing Member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exchange for such Units.</w:t>
      </w:r>
    </w:p>
    <w:p>
      <w:pPr>
        <w:spacing w:after="0" w:line="176" w:lineRule="exact"/>
        <w:rPr>
          <w:rFonts w:ascii="Times New Roman" w:cs="Times New Roman" w:eastAsia="Times New Roman" w:hAnsi="Times New Roman"/>
          <w:sz w:val="18"/>
          <w:szCs w:val="18"/>
          <w:color w:val="auto"/>
        </w:rPr>
      </w:pPr>
    </w:p>
    <w:p>
      <w:pPr>
        <w:ind w:right="40" w:firstLine="1505"/>
        <w:spacing w:after="0" w:line="266" w:lineRule="auto"/>
        <w:tabs>
          <w:tab w:leader="none" w:pos="18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to the extent having the right to consent thereto, by executing this Agreement, hereby confirms, ratifies and approves the transactions contemplated by this Agreement and the other agreements and transactions referred to herein.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General Provisions with Respect to Units.</w:t>
      </w:r>
    </w:p>
    <w:p>
      <w:pPr>
        <w:spacing w:after="0" w:line="212" w:lineRule="exact"/>
        <w:rPr>
          <w:sz w:val="20"/>
          <w:szCs w:val="20"/>
          <w:color w:val="auto"/>
        </w:rPr>
      </w:pPr>
    </w:p>
    <w:p>
      <w:pPr>
        <w:ind w:left="1860" w:hanging="355"/>
        <w:spacing w:after="0"/>
        <w:tabs>
          <w:tab w:leader="none" w:pos="18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PubCo Issuances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left="760" w:firstLine="1494"/>
        <w:spacing w:after="0" w:line="239" w:lineRule="auto"/>
        <w:tabs>
          <w:tab w:leader="none" w:pos="26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if, at any time after the Effective Time, PubCo issues shares of its Class A Common Stock, shares of Class C Common Stock, or any other Equity Security of PubCo (other than shares of Class B Common Stock), (x) the Company shall concurrently issue to PubCo an equal number of Class A Common Units (if PubCo issues shares of Class A Common Stock or Class C Common Stock), or an equal number of such other Equity Security of the Company corresponding to the Equity Securities issued by PubCo (if PubCo issues Equity Securities other than Class A Common Stock or Class C Common Stock), and with the same rights to distributions (including distributions upon liquidation) and other economic rights as those of such Equity Securities of PubCo so issued and (y) PubCo shall concurrently contribute to the Company the net proceeds or other property received by PubCo, if any, for such share of Class A Common Stock, Class C Common Stock, or other Equity Security.</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38" w:lineRule="auto"/>
        <w:tabs>
          <w:tab w:leader="none" w:pos="26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not apply to (x) the issuance and distribution to holders of shares of PubCo Equity Securities of rights to purchase Equity Securities of PubCo under a “poison pill” or similar shareholder rights plan (and upon exchange of Class A Common Units for Class A Common Stock, such Class A Common Stock shall be issued together with a corresponding right under such plan) or (y) the issuance under PubCo’s employee benefit plans of any warrants, options, stock appreciation right, restricted stock, restricted stock units, performance based award or other rights to acquire Equity Securities of PubCo or rights or property that may be converted into or settled in Equity Securities of PubCo, but shall in each of the foregoing cases apply to the issuance of Equity Securities of PubCo in connection with the exercise or settlement of such warrants, options, stock appreciation right, restricted stock units, performance based awards or the vesting of restricted stock (including as set forth in clause (iii) below, as applicable).</w:t>
      </w:r>
    </w:p>
    <w:p>
      <w:pPr>
        <w:spacing w:after="0" w:line="191" w:lineRule="exact"/>
        <w:rPr>
          <w:rFonts w:ascii="Times New Roman" w:cs="Times New Roman" w:eastAsia="Times New Roman" w:hAnsi="Times New Roman"/>
          <w:sz w:val="18"/>
          <w:szCs w:val="18"/>
          <w:color w:val="auto"/>
        </w:rPr>
      </w:pPr>
    </w:p>
    <w:p>
      <w:pPr>
        <w:jc w:val="both"/>
        <w:ind w:left="760" w:firstLine="1494"/>
        <w:spacing w:after="0" w:line="242" w:lineRule="auto"/>
        <w:tabs>
          <w:tab w:leader="none" w:pos="261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any outstanding Equity Security of PubCo is exercised or otherwise converted and, as a result, any shares of Class A Common Stock, Class C Common Stock or other Equity Securities of PubCo are issued, (x) the corresponding Equity Security outstanding at the Company, if any, shall be similarly exercised or otherwise converted, if applicable, (y) an equivalent number of Class A Common Units or equivalent Equity Securities of the Company shall be issued to PubCo as required by the first sentence of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and (z) PubCo shall as soon as practicable following such exercise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7" w:name="page308"/>
    <w:bookmarkEnd w:id="307"/>
    <w:p>
      <w:pPr>
        <w:ind w:left="760"/>
        <w:spacing w:after="0"/>
        <w:rPr>
          <w:sz w:val="20"/>
          <w:szCs w:val="20"/>
          <w:color w:val="auto"/>
        </w:rPr>
      </w:pPr>
      <w:r>
        <w:rPr>
          <w:rFonts w:ascii="Times New Roman" w:cs="Times New Roman" w:eastAsia="Times New Roman" w:hAnsi="Times New Roman"/>
          <w:sz w:val="18"/>
          <w:szCs w:val="18"/>
          <w:color w:val="auto"/>
        </w:rPr>
        <w:t>conversion contribute to the Company the net proceeds received by PubCo from any such exercise or conversion.</w:t>
      </w:r>
    </w:p>
    <w:p>
      <w:pPr>
        <w:spacing w:after="0" w:line="212" w:lineRule="exact"/>
        <w:rPr>
          <w:sz w:val="20"/>
          <w:szCs w:val="20"/>
          <w:color w:val="auto"/>
        </w:rPr>
      </w:pPr>
    </w:p>
    <w:p>
      <w:pPr>
        <w:jc w:val="both"/>
        <w:ind w:firstLine="1505"/>
        <w:spacing w:after="0" w:line="239" w:lineRule="auto"/>
        <w:tabs>
          <w:tab w:leader="none" w:pos="185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Company Issuances</w:t>
      </w:r>
      <w:r>
        <w:rPr>
          <w:rFonts w:ascii="Times New Roman" w:cs="Times New Roman" w:eastAsia="Times New Roman" w:hAnsi="Times New Roman"/>
          <w:sz w:val="18"/>
          <w:szCs w:val="18"/>
          <w:color w:val="auto"/>
        </w:rPr>
        <w:t xml:space="preserve">. Except pursuant to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(x) the Company may not issue any additional Class A Common Units to PubCo or any of its Subsidiaries (other than the Company and its Subsidiaries) unless (i) substantially simultaneously therewith PubCo or such Subsidiary issues or transfers an equal number of newly-issued shares of Class A Common Stock or Class C Common Stock (or relevant Equity Security of such Subsidiary) to another Person or Persons, and (ii) such issuance is in accordance with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(y) the Company may not issue any other Equity Securities of the Company to PubCo or any of its Subsidiaries (other than the Company and its Subsidiaries) unless (i) substantially simultaneously therewith PubCo or such Subsidiary issues or transfers, to another Person, an equal number of newly-issued shares of Equity Securities of PubCo or such Subsidiary with substantially the same rights to dividends and distributions (including distributions upon liquidation) and other economic rights as those of such Equity Securities of the Company, and (ii) such issuance is in accordance with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Repurchases and Redemptions.</w:t>
      </w:r>
    </w:p>
    <w:p>
      <w:pPr>
        <w:spacing w:after="0" w:line="211" w:lineRule="exact"/>
        <w:rPr>
          <w:rFonts w:ascii="Times New Roman" w:cs="Times New Roman" w:eastAsia="Times New Roman" w:hAnsi="Times New Roman"/>
          <w:sz w:val="18"/>
          <w:szCs w:val="18"/>
          <w:color w:val="auto"/>
        </w:rPr>
      </w:pPr>
    </w:p>
    <w:p>
      <w:pPr>
        <w:jc w:val="both"/>
        <w:ind w:left="760" w:firstLine="1494"/>
        <w:spacing w:after="0" w:line="238" w:lineRule="auto"/>
        <w:tabs>
          <w:tab w:leader="none" w:pos="261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3.2(c)(ii)</w:t>
      </w:r>
      <w:r>
        <w:rPr>
          <w:rFonts w:ascii="Times New Roman" w:cs="Times New Roman" w:eastAsia="Times New Roman" w:hAnsi="Times New Roman"/>
          <w:sz w:val="18"/>
          <w:szCs w:val="18"/>
          <w:color w:val="auto"/>
        </w:rPr>
        <w:t>, PubCo or any of its Subsidiaries (other than the Company and its Subsidiaries) may redeem, repurchase or otherwise acquire (A) shares of Class A Common Stock or Class C Common Stock pursuant to a Board approved repurchase plan or program (or otherwise in connection with a transaction approved by the Board) and, substantially simultaneously therewith, the Company shall redeem, repurchase or otherwise acquire from PubCo or such Subsidiary an equal number of Class A Common Units for the same price per security, if any, or (B) any other Equity Securities of PubCo or any of its Subsidiaries (other than the Company and its Subsidiaries) pursuant to a Board approved repurchase plan or program (or otherwise in connection with a transaction approved by the Board) and, substantially simultaneously therewith, the Company shall redeem, repurchase or otherwise acquire from PubCo or such Subsidiary an equal number of the corresponding class or series of Equity Securities of the Company with the same rights to dividends and distributions (including distributions upon liquidation) and other economic rights as those of such Equity Securities of PubCo or such Subsidiary for the same price per security, if any.</w:t>
      </w:r>
    </w:p>
    <w:p>
      <w:pPr>
        <w:spacing w:after="0" w:line="188" w:lineRule="exact"/>
        <w:rPr>
          <w:rFonts w:ascii="Times New Roman" w:cs="Times New Roman" w:eastAsia="Times New Roman" w:hAnsi="Times New Roman"/>
          <w:sz w:val="18"/>
          <w:szCs w:val="18"/>
          <w:color w:val="auto"/>
        </w:rPr>
      </w:pPr>
    </w:p>
    <w:p>
      <w:pPr>
        <w:jc w:val="both"/>
        <w:ind w:left="760" w:firstLine="1494"/>
        <w:spacing w:after="0" w:line="237" w:lineRule="auto"/>
        <w:tabs>
          <w:tab w:leader="none" w:pos="261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tender offer, share exchange offer, or take-over bid or similar transaction with respect to Class A Common Stock and Class C Common Stock, if any (a “</w:t>
      </w:r>
      <w:r>
        <w:rPr>
          <w:rFonts w:ascii="Times New Roman" w:cs="Times New Roman" w:eastAsia="Times New Roman" w:hAnsi="Times New Roman"/>
          <w:sz w:val="18"/>
          <w:szCs w:val="18"/>
          <w:b w:val="1"/>
          <w:bCs w:val="1"/>
          <w:color w:val="auto"/>
        </w:rPr>
        <w:t>PubCo Offer</w:t>
      </w:r>
      <w:r>
        <w:rPr>
          <w:rFonts w:ascii="Times New Roman" w:cs="Times New Roman" w:eastAsia="Times New Roman" w:hAnsi="Times New Roman"/>
          <w:sz w:val="18"/>
          <w:szCs w:val="18"/>
          <w:color w:val="auto"/>
        </w:rPr>
        <w:t xml:space="preserve">”), is proposed by PubCo or is proposed to PubCo or its stockholders, the holders of Class A Common Units shall be permitted to participate in such PubCo Offer by delivery of an Exchange Notice (which Exchange Notice shall be effective immediately prior to the consummation of such PubCo Offer (and, for the avoidance of doubt, shall be contingent upon such PubCo Offer and not be effective if such PubCo Offer is not consummated)). In the case of a PubCo Offer proposed by PubCo, PubCo shall use its reasonable best efforts to take all such actions and do all such things as are necessary or desirable to enable and permit the holders of Class A Common Units to participate in such PubCo Offer to the same extent or on an economically equivalent basis as the holders of shares of Class A Common Stock without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limiting the generality of this sentence (and without limiting the ability of any Member holding Class A Common Units to consummate an Exchange at any time pursuant to the terms of this Agreement), the Managing Member shall use its reasonable best efforts to ensure that such holders of Class A Common Units may participate in such PubCo Offer without being required to Exchange their Class A Common Units and cancel their shares of Paired Voting Stock, as the case may be, (or, if so required, to ensure that any such Exchange and cancelation shall be effective only upon, and shall be conditional upon, the closing of the transactions contemplated by the PubCo Offer). For the avoidance of doubt, in no event shall the holders of Class A Common Units be entitled to receive in such PubCo Offer aggregate consideration for each Class A Common Unit and share of Paired Voting Stock, taken together, that is greater than or less than the consideration payable in respect of each share of Class A Common Stock in connection with such PubCo Offer (it being understood that payments under or in respect of the Tax Receivable Agreement shall not be considered part of any such consideration).</w:t>
      </w:r>
    </w:p>
    <w:p>
      <w:pPr>
        <w:spacing w:after="0" w:line="185" w:lineRule="exact"/>
        <w:rPr>
          <w:rFonts w:ascii="Times New Roman" w:cs="Times New Roman" w:eastAsia="Times New Roman" w:hAnsi="Times New Roman"/>
          <w:sz w:val="18"/>
          <w:szCs w:val="18"/>
          <w:color w:val="auto"/>
        </w:rPr>
      </w:pPr>
    </w:p>
    <w:p>
      <w:pPr>
        <w:jc w:val="both"/>
        <w:ind w:left="760" w:firstLine="1494"/>
        <w:spacing w:after="0" w:line="250" w:lineRule="auto"/>
        <w:tabs>
          <w:tab w:leader="none" w:pos="261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redeem, repurchase or otherwise acquire (x) any Class A Common Units from PubCo or any of its Subsidiaries (other than the Company and its Subsidiaries) unless substantially simultaneously PubCo or such Subsidiary redeems, repurchases or otherwise acquires pursuant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8" w:name="page309"/>
    <w:bookmarkEnd w:id="308"/>
    <w:p>
      <w:pPr>
        <w:jc w:val="both"/>
        <w:ind w:left="760"/>
        <w:spacing w:after="0"/>
        <w:rPr>
          <w:sz w:val="20"/>
          <w:szCs w:val="20"/>
          <w:color w:val="auto"/>
        </w:rPr>
      </w:pPr>
      <w:r>
        <w:rPr>
          <w:rFonts w:ascii="Times New Roman" w:cs="Times New Roman" w:eastAsia="Times New Roman" w:hAnsi="Times New Roman"/>
          <w:sz w:val="18"/>
          <w:szCs w:val="18"/>
          <w:color w:val="auto"/>
        </w:rPr>
        <w:t>to a Board approved repurchase plan or program (or otherwise in connection with a transaction approved by the Board) an equal number of shares of Class A Common Stock or Class C Common Stock for the same price per security from holders thereof or (y) any other Equity Securities of the Company from PubCo or any of its Subsidiaries (other than the Company and its Subsidiaries) unless substantially simultaneously PubCo or such Subsidiary redeems, repurchases or otherwise acquires pursuant to a Board approved repurchase plan or program (or otherwise in connection with a transaction approved by the Board) for the same price per security an equal number of Equity Securities of PubCo (or such Subsidiary) of a corresponding class or series with substantially the same rights to dividends and distributions (including distributions upon liquidation) and other economic rights as those of such Equity Securities of PubCo or such Subsidiary.</w:t>
      </w:r>
    </w:p>
    <w:p>
      <w:pPr>
        <w:spacing w:after="0" w:line="185" w:lineRule="exact"/>
        <w:rPr>
          <w:sz w:val="20"/>
          <w:szCs w:val="20"/>
          <w:color w:val="auto"/>
        </w:rPr>
      </w:pPr>
    </w:p>
    <w:p>
      <w:pPr>
        <w:jc w:val="both"/>
        <w:ind w:left="760" w:firstLine="1494"/>
        <w:spacing w:after="0"/>
        <w:tabs>
          <w:tab w:leader="none" w:pos="261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clauses (i) through (iii), to the extent that any consideration payable by PubCo in connection with the redemption, repurchase or acquisition of any shares of Class A Common Stock, Class C Common Stock or other Equity Securities of PubCo or any of its Subsidiaries (other than the Company and its Subsidiaries) consists (in whole or in part) of shares of Class A Common Stock, Class C Common Stock or such other Equity Securities (including in connection with the cashless exercise of an option or warrant (or other convertible right or security)) other than under PubCo’s employee benefit plans for which there is no corresponding Class A Common Units or other Equity Securities of the Company, then the redemption, repurchase or acquisition of the corresponding Class A Common Units or other Equity Securities of the Company shall be effectuated in an equivalent manner.</w:t>
      </w:r>
    </w:p>
    <w:p>
      <w:pPr>
        <w:spacing w:after="0" w:line="18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Subdivisions and Combinations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left="760" w:right="40" w:firstLine="1494"/>
        <w:spacing w:after="0" w:line="242" w:lineRule="auto"/>
        <w:tabs>
          <w:tab w:leader="none" w:pos="261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 any manner effect any subdivision (by any equity split, equity distribution, reclassification, recapitalization or otherwise) or combination (by reverse equity split, reclassification, recapitalization or otherwise) of the outstanding Class A Common Units unless accompanied by an identical subdivision or combination, as applicable, of the outstanding PubCo Class A Common Stock and Paired Voting Stock, Class C Common Stock or other related class or series of Equity Security of PubCo, with corresponding changes made with respect to any other exchangeable or convertible Equity Securities of the Company and PubCo.</w:t>
      </w:r>
    </w:p>
    <w:p>
      <w:pPr>
        <w:spacing w:after="0" w:line="184" w:lineRule="exact"/>
        <w:rPr>
          <w:rFonts w:ascii="Times New Roman" w:cs="Times New Roman" w:eastAsia="Times New Roman" w:hAnsi="Times New Roman"/>
          <w:sz w:val="18"/>
          <w:szCs w:val="18"/>
          <w:color w:val="auto"/>
        </w:rPr>
      </w:pPr>
    </w:p>
    <w:p>
      <w:pPr>
        <w:ind w:left="760" w:right="20" w:firstLine="1494"/>
        <w:spacing w:after="0" w:line="241" w:lineRule="auto"/>
        <w:tabs>
          <w:tab w:leader="none" w:pos="261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PubCo shall not in any manner effect any subdivision (by any equity split, equity distribution, reclassification, recapitalization or otherwise) or combination (by reverse equity split, reclassification, recapitalization or otherwise) of the outstanding PubCo Class A Common Stock, Class C Common Stock or any other class or series of Equity Security of PubCo, unless accompanied by an identical subdivision or combination, as applicable, of the outstanding Class A Common Units or other related class or series of Equity Security of the Company, with corresponding changes made with respect to any applicable exchangeable or convertible Equity Securities of the Company and PubCo.</w:t>
      </w:r>
    </w:p>
    <w:p>
      <w:pPr>
        <w:spacing w:after="0" w:line="183" w:lineRule="exact"/>
        <w:rPr>
          <w:rFonts w:ascii="Times New Roman" w:cs="Times New Roman" w:eastAsia="Times New Roman" w:hAnsi="Times New Roman"/>
          <w:sz w:val="18"/>
          <w:szCs w:val="18"/>
          <w:color w:val="auto"/>
        </w:rPr>
      </w:pPr>
    </w:p>
    <w:p>
      <w:pPr>
        <w:jc w:val="both"/>
        <w:ind w:firstLine="1505"/>
        <w:spacing w:after="0" w:line="238" w:lineRule="auto"/>
        <w:tabs>
          <w:tab w:leader="none" w:pos="187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Authority</w:t>
      </w:r>
      <w:r>
        <w:rPr>
          <w:rFonts w:ascii="Times New Roman" w:cs="Times New Roman" w:eastAsia="Times New Roman" w:hAnsi="Times New Roman"/>
          <w:sz w:val="18"/>
          <w:szCs w:val="18"/>
          <w:color w:val="auto"/>
        </w:rPr>
        <w:t xml:space="preserve">. For the avoidance of doubt, but subject to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the Company and PubCo (including in its capacity as the Managing Member of the Company) shall be permitted to undertake all actions, including an issuance, redemption, reclassification, distribution, division or recapitalization, with respect to the Class A Common Units, that are necessary, in the Managing Member’s determination, to maintain at all times a one-to-one ratio between (i) the number of Class A Common Units owned by PubCo, directly or indirectly, and the number of outstanding shares of Class A Common Stock and Class C Common Stock, and (ii) the number of outstanding shares of applicable Paired Voting Stock held by any Person and the number of Class A Common Units held by such Person disregarding, for purposes of maintaining the one-to-one ratios in clauses (i) and (ii), (A) options, rights or securities of PubCo issued under any plan involving the issuance of any Equity Securities that are convertible into or exercisable or exchangeable for Class A Common Stock, (B) treasury stock, or (C) preferred stock or other debt or equity securities (including warrants, options or rights) issued by PubCo, including Class C common stock, that are convertible into or exercisable or exchangeable for Class A Common Stock (but in each case prior to such conversion or exchange).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Capital Accounts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9" w:name="page310"/>
    <w:bookmarkEnd w:id="309"/>
    <w:p>
      <w:pPr>
        <w:jc w:val="both"/>
        <w:ind w:firstLine="1505"/>
        <w:spacing w:after="0" w:line="237" w:lineRule="auto"/>
        <w:tabs>
          <w:tab w:leader="none" w:pos="185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separate capital account (each, a “ </w:t>
      </w:r>
      <w:r>
        <w:rPr>
          <w:rFonts w:ascii="Times New Roman" w:cs="Times New Roman" w:eastAsia="Times New Roman" w:hAnsi="Times New Roman"/>
          <w:sz w:val="18"/>
          <w:szCs w:val="18"/>
          <w:b w:val="1"/>
          <w:bCs w:val="1"/>
          <w:color w:val="auto"/>
        </w:rPr>
        <w:t>Capital Account</w:t>
      </w:r>
      <w:r>
        <w:rPr>
          <w:rFonts w:ascii="Times New Roman" w:cs="Times New Roman" w:eastAsia="Times New Roman" w:hAnsi="Times New Roman"/>
          <w:sz w:val="18"/>
          <w:szCs w:val="18"/>
          <w:color w:val="auto"/>
        </w:rPr>
        <w:t xml:space="preserve">”) shall be established for each Member and shall be maintained in accordance with Treasury Regulations Section 1.704-1(b)(2)(iv) and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be interpreted and applied in a manner consistent with such regulations. In accordance with Treasury Regulations Section 1.704-1(b)(2)(iv)(f), the Company may adjust the Capital Accounts of its Members to reflect revaluations (including any unrealized income, gain or loss) of the Company’s property (including intangible assets such as goodwill), whenever it issues additional interests in the Company (including any interests issued with a zero initial Capital Account), or whenever the adjustments would otherwise be permitted under such Treasury Regulations. The Company may adjust the Capital Accounts of its Members to reflect revaluations of the property of any Subsidiary of the Company that is treated as a partnership (or entity disregarded from a partnership) for U.S. federal income tax purposes. In the event that the Capital Accounts of the Members are so adjusted, (i) the Capital Accounts of the Members shall be adjusted in accordance with Treasury Regulations Section 1.704-1(b)(2)(iv)(g) for allocations of depreciation, depletion, amortization and gain or loss, as computed for book purposes, with respect to such property and (ii) the Members’ distributive shares of depreciation, depletion, amortization and gain or loss, as computed for tax purposes, with respect to such property shall be determined so as to take account of the variation between the adjusted tax basis and Book Value of such property in the same manner as under Section 704(c) of the Code. In the event that Code Section 704(c) applies to property of the Company, the Capital Accounts of the Members shall be adjusted in accordance with Treasury Regulations Section 1.704-1(b)(2)(iv)(g) for allocations of depreciation, depletion, amortization, and gain and loss, as computed for book purposes with respect to such property. In connection with the transactions contemplated by this Agreement, the Capital Accounts of the Members shall be adjusted in accordance with Treasury Regulations Section 1.704-1(b)(2)(iv)(f) and determined as of the date hereof and the Capital Account of each Member shall be reflected in the books and records of the Company.</w:t>
      </w:r>
    </w:p>
    <w:p>
      <w:pPr>
        <w:spacing w:after="0" w:line="19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Negative Capital Accounts</w:t>
      </w:r>
      <w:r>
        <w:rPr>
          <w:rFonts w:ascii="Times New Roman" w:cs="Times New Roman" w:eastAsia="Times New Roman" w:hAnsi="Times New Roman"/>
          <w:sz w:val="18"/>
          <w:szCs w:val="18"/>
          <w:color w:val="auto"/>
        </w:rPr>
        <w:t>. No Member shall be required to pay to any other Member or the Company any deficit or negative balance which may exist from time to time in such Member’s Capital Account (including upon and after dissolution of the Company).</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Withdrawal</w:t>
      </w:r>
      <w:r>
        <w:rPr>
          <w:rFonts w:ascii="Times New Roman" w:cs="Times New Roman" w:eastAsia="Times New Roman" w:hAnsi="Times New Roman"/>
          <w:sz w:val="18"/>
          <w:szCs w:val="18"/>
          <w:color w:val="auto"/>
        </w:rPr>
        <w:t>. No Person shall be entitled to withdraw any part of such Person’s Capital Contribution or Capital Account or to receive any Distribution from the Company, except as expressly provided herein.</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Loans From Members</w:t>
      </w:r>
      <w:r>
        <w:rPr>
          <w:rFonts w:ascii="Times New Roman" w:cs="Times New Roman" w:eastAsia="Times New Roman" w:hAnsi="Times New Roman"/>
          <w:sz w:val="18"/>
          <w:szCs w:val="18"/>
          <w:color w:val="auto"/>
        </w:rPr>
        <w:t>. Loans by Members to the Company shall not be considered Capital Contributions. If any Member shall advance funds to the Company in excess of the amounts required hereunder to be contributed by such Member to the capital of the Company, the making of such advances shall not result in any increase in the amount of the Capital Account of such Member. The amount of any such advances shall be a debt of the Company to such Member and shall be payable or collectible in accordance with the terms and conditions upon which such advances are made.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 AND ALLOCATIONS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42" w:lineRule="auto"/>
        <w:tabs>
          <w:tab w:leader="none" w:pos="187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Generally</w:t>
      </w:r>
      <w:r>
        <w:rPr>
          <w:rFonts w:ascii="Times New Roman" w:cs="Times New Roman" w:eastAsia="Times New Roman" w:hAnsi="Times New Roman"/>
          <w:sz w:val="18"/>
          <w:szCs w:val="18"/>
          <w:color w:val="auto"/>
        </w:rPr>
        <w:t>. The Managing Member may, subject to (i) any restrictions contained in the financing agreements to which the Company or any of its Subsidiaries is a party, (ii) having available cash (after setting aside appropriate reserves), and (iii) any other restrictions set forth in this Agreement, make Distributions at any time and from time to time. Notwithstanding any other provision of this Agreement to the contrary, no Distribution, Tax Distribution or other payment in respect of Units shall be required to be made to any Member if, and to the extent that, such Distribution, Tax Distribution or other payment in respect of Units would not be permitted under the California Act or other applicable law.</w:t>
      </w:r>
    </w:p>
    <w:p>
      <w:pPr>
        <w:spacing w:after="0" w:line="184" w:lineRule="exact"/>
        <w:rPr>
          <w:rFonts w:ascii="Times New Roman" w:cs="Times New Roman" w:eastAsia="Times New Roman" w:hAnsi="Times New Roman"/>
          <w:sz w:val="18"/>
          <w:szCs w:val="18"/>
          <w:color w:val="auto"/>
        </w:rPr>
      </w:pPr>
    </w:p>
    <w:p>
      <w:pPr>
        <w:ind w:firstLine="1505"/>
        <w:spacing w:after="0" w:line="266" w:lineRule="auto"/>
        <w:tabs>
          <w:tab w:leader="none" w:pos="188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and Liquidating Distributions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with respect to Tax Distributions, all Distributions by the Company shall be made or allocated to holders of Participating Units pro rata based on the number of Participating Units held by each such holder.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0" w:name="page311"/>
    <w:bookmarkEnd w:id="310"/>
    <w:p>
      <w:pPr>
        <w:ind w:left="1860" w:hanging="355"/>
        <w:spacing w:after="0"/>
        <w:tabs>
          <w:tab w:leader="none" w:pos="18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Distributions</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left="760" w:firstLine="1494"/>
        <w:spacing w:after="0" w:line="237" w:lineRule="auto"/>
        <w:tabs>
          <w:tab w:leader="none" w:pos="261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Member, the Company shall calculate the excess of (x)(A) the Income Amount allocated or allocable to such Member for the Tax Estimation Period in question and for all preceding Tax Estimation Periods, if any, within the Taxable Year containing such Tax Estimation Period multiplied by (B) the Assumed Tax Rate over (y) the aggregate amount of all prior Tax Distributions in respect of such Taxable Year and any Distributions made to such Member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with respect to the Tax Estimation Period in question and any previous Tax Estimation Period falling in the Taxable Year containing the applicable Tax Estimation Period referred to in (x)(A) (the amount so calculated pursuant to this sentence is herein referred to as a “</w:t>
      </w:r>
      <w:r>
        <w:rPr>
          <w:rFonts w:ascii="Times New Roman" w:cs="Times New Roman" w:eastAsia="Times New Roman" w:hAnsi="Times New Roman"/>
          <w:sz w:val="18"/>
          <w:szCs w:val="18"/>
          <w:b w:val="1"/>
          <w:bCs w:val="1"/>
          <w:color w:val="auto"/>
        </w:rPr>
        <w:t>Tax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Managing Member may make adjustments in its reasonable discretion to reflect transactions occurring during the Taxable Year. For purposes of this Agreement, the “</w:t>
      </w:r>
      <w:r>
        <w:rPr>
          <w:rFonts w:ascii="Times New Roman" w:cs="Times New Roman" w:eastAsia="Times New Roman" w:hAnsi="Times New Roman"/>
          <w:sz w:val="18"/>
          <w:szCs w:val="18"/>
          <w:b w:val="1"/>
          <w:bCs w:val="1"/>
          <w:color w:val="auto"/>
        </w:rPr>
        <w:t>Income Amount</w:t>
      </w:r>
      <w:r>
        <w:rPr>
          <w:rFonts w:ascii="Times New Roman" w:cs="Times New Roman" w:eastAsia="Times New Roman" w:hAnsi="Times New Roman"/>
          <w:sz w:val="18"/>
          <w:szCs w:val="18"/>
          <w:color w:val="auto"/>
        </w:rPr>
        <w:t>” for a Tax Estimation Period shall equal, with respect to any Member, the net taxable income of the Company allocated or allocable to such Member for such Tax Estimation Period (excluding any compensation paid to a Member outside of this Agreement). For purposes of computing the Income Amount, taxable income shall be determined (i) without regard to any adjustments under Sections 732(d), 734(b) and 743(b) of the Code, (ii) by including adjustments to taxable income in respect of Section 704(c) of the Code, and (iii) by reducing such taxable income by taxable losses of the Company allocated to such Member for taxable periods (or portions thereof) beginning after the date hereof to the extent that such losses are of a character (ordinary or capital) that would permit the losses to be deducted by such Member against the current taxable income of the Company allocable to the Member for such Tax Estimation Period, are otherwise available to be utilized, and have not previously been taken into account in determining such Member’s Income Amount.</w:t>
      </w:r>
    </w:p>
    <w:p>
      <w:pPr>
        <w:spacing w:after="0" w:line="187" w:lineRule="exact"/>
        <w:rPr>
          <w:rFonts w:ascii="Times New Roman" w:cs="Times New Roman" w:eastAsia="Times New Roman" w:hAnsi="Times New Roman"/>
          <w:sz w:val="18"/>
          <w:szCs w:val="18"/>
          <w:color w:val="auto"/>
        </w:rPr>
      </w:pPr>
    </w:p>
    <w:p>
      <w:pPr>
        <w:jc w:val="both"/>
        <w:ind w:left="760" w:firstLine="1494"/>
        <w:spacing w:after="0" w:line="245" w:lineRule="auto"/>
        <w:tabs>
          <w:tab w:leader="none" w:pos="261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ten (10) Business Days before the individual or corporate quarterly estimate payment deadline for U.S. federal income taxes for calendar year filers (whichever is earlier), the Company shall distribute (to the extent available) to the Members pro rata based upon the number of Class A Common Units (including Unvested Class A Common Units) held by each such Member, an aggregate amount of cash sufficient to provide each such Member with a distribution at least equal to such Tax Distribution.</w:t>
      </w:r>
    </w:p>
    <w:p>
      <w:pPr>
        <w:spacing w:after="0" w:line="180" w:lineRule="exact"/>
        <w:rPr>
          <w:rFonts w:ascii="Times New Roman" w:cs="Times New Roman" w:eastAsia="Times New Roman" w:hAnsi="Times New Roman"/>
          <w:sz w:val="18"/>
          <w:szCs w:val="18"/>
          <w:color w:val="auto"/>
        </w:rPr>
      </w:pPr>
    </w:p>
    <w:p>
      <w:pPr>
        <w:jc w:val="both"/>
        <w:ind w:left="760" w:right="20" w:firstLine="1494"/>
        <w:spacing w:after="0" w:line="272" w:lineRule="auto"/>
        <w:tabs>
          <w:tab w:leader="none" w:pos="2617"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firstLine="1505"/>
        <w:spacing w:after="0" w:line="242" w:lineRule="auto"/>
        <w:tabs>
          <w:tab w:leader="none" w:pos="18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Distribution pursuant to Section 4.1(b) and each Distribution pursuant to Section 4.1(c) shall be made to the Persons shown on the Company’s books and records as Members as of the date of such Distribution;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transferor and transferee of Units may mutually agree as to which of them should receive payment of any Distribution under Section 4.1(c);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Managing Member may in its reasonable discretion make a Tax Distribution under Section 4.1(c) to a former Member in respect of a Taxable Year (or the portion thereof) in which such former Member was a Member.</w:t>
      </w:r>
    </w:p>
    <w:p>
      <w:pPr>
        <w:spacing w:after="0" w:line="184" w:lineRule="exact"/>
        <w:rPr>
          <w:rFonts w:ascii="Times New Roman" w:cs="Times New Roman" w:eastAsia="Times New Roman" w:hAnsi="Times New Roman"/>
          <w:sz w:val="18"/>
          <w:szCs w:val="18"/>
          <w:color w:val="auto"/>
        </w:rPr>
      </w:pPr>
    </w:p>
    <w:p>
      <w:pPr>
        <w:jc w:val="both"/>
        <w:ind w:firstLine="1505"/>
        <w:spacing w:after="0" w:line="241" w:lineRule="auto"/>
        <w:tabs>
          <w:tab w:leader="none" w:pos="18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no distributions shall be made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on account of a Participating Unit that has not vested in accordance with the vesting schedule applicable to such Unvested Class A Common Units (or any other Units subject to vesting) (other than to the extent such distributions are in respect of a Tax Distribution); provided that any distributions in respect of Unvested Class A Common Units (or any other Units subject to vesting) shall be payable at the same time as such Unvested Class A Common Units (or any other Units subject to vesting) become vested Class A Common Units, and if such Unvested Class A Common Units (or any other Units subject to vesting) are forfeited, the former holder of such Class A Common Units shall have no right to receive such distributions.</w:t>
      </w:r>
    </w:p>
    <w:p>
      <w:pPr>
        <w:spacing w:after="0" w:line="183" w:lineRule="exact"/>
        <w:rPr>
          <w:rFonts w:ascii="Times New Roman" w:cs="Times New Roman" w:eastAsia="Times New Roman" w:hAnsi="Times New Roman"/>
          <w:sz w:val="18"/>
          <w:szCs w:val="18"/>
          <w:color w:val="auto"/>
        </w:rPr>
      </w:pPr>
    </w:p>
    <w:p>
      <w:pPr>
        <w:ind w:firstLine="1505"/>
        <w:spacing w:after="0" w:line="266" w:lineRule="auto"/>
        <w:tabs>
          <w:tab w:leader="none" w:pos="18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any non-cash Company assets distributed in kind to any Members shall be valued at their Fair Market Value in accordance with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Allocations of Net Profit and Net Loss</w:t>
      </w:r>
      <w:r>
        <w:rPr>
          <w:rFonts w:ascii="Times New Roman" w:cs="Times New Roman" w:eastAsia="Times New Roman" w:hAnsi="Times New Roman"/>
          <w:sz w:val="18"/>
          <w:szCs w:val="18"/>
          <w:color w:val="auto"/>
        </w:rPr>
        <w:t xml:space="preserve">. Except as otherwise provided in this Agreement, including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Net Profits and Net Losses (and, to the extent necessary, individual items of income, gain, loss, deduction or credit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1" w:name="page312"/>
    <w:bookmarkEnd w:id="311"/>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of the Company) shall be allocated among the Capital Accounts of the Members in a manner such that, after such allocations have been made, the balance of each Member’s Capital Account is, as nearly as possible, equal to (a) the amount that would be distributed to such Member if the Company were to sell all of its assets for the Book Value thereof, satisfy all of its liabilities in cash in accordance with their terms (limited with respect to each nonrecourse liability to the Book Value of the assets securing such liability), and distribute all remaining or resulting cash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(assuming all Units are fully vested for this purpose), minus (b) the Member’s share of Company Minimum Gain and Member Nonrecourse Debt Minimum Gain, computed immediately prior to the hypothetical sale of assets, and (without duplication) the amount any such Member is treated as obligated to contribute to the Company, computed immediately after the hypothetical sale of assets. Notwithstanding the foregoing, the Managing Member in its sole discretion shall make allocations for tax purposes as may be needed to ensure that allocations are in accordance with the interests of the Members within the meaning of the Code and Treasury Regulations.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Special Allocations</w:t>
      </w:r>
      <w:r>
        <w:rPr>
          <w:rFonts w:ascii="Times New Roman" w:cs="Times New Roman" w:eastAsia="Times New Roman" w:hAnsi="Times New Roman"/>
          <w:sz w:val="18"/>
          <w:szCs w:val="18"/>
          <w:color w:val="auto"/>
        </w:rPr>
        <w:t>. Notwithstanding any other provision in this Article IV:</w:t>
      </w:r>
    </w:p>
    <w:p>
      <w:pPr>
        <w:spacing w:after="0" w:line="212" w:lineRule="exact"/>
        <w:rPr>
          <w:sz w:val="20"/>
          <w:szCs w:val="20"/>
          <w:color w:val="auto"/>
        </w:rPr>
      </w:pPr>
    </w:p>
    <w:p>
      <w:pPr>
        <w:jc w:val="both"/>
        <w:ind w:firstLine="1505"/>
        <w:spacing w:after="0"/>
        <w:tabs>
          <w:tab w:leader="none" w:pos="185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Gain Chargeback</w:t>
      </w:r>
      <w:r>
        <w:rPr>
          <w:rFonts w:ascii="Times New Roman" w:cs="Times New Roman" w:eastAsia="Times New Roman" w:hAnsi="Times New Roman"/>
          <w:sz w:val="18"/>
          <w:szCs w:val="18"/>
          <w:color w:val="auto"/>
        </w:rPr>
        <w:t xml:space="preserve">. If there is a net decrease in Company Minimum Gain or Member Nonrecourse Debt Minimum Gain (determined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84" w:lineRule="exact"/>
        <w:rPr>
          <w:rFonts w:ascii="Times New Roman" w:cs="Times New Roman" w:eastAsia="Times New Roman" w:hAnsi="Times New Roman"/>
          <w:sz w:val="18"/>
          <w:szCs w:val="18"/>
          <w:color w:val="auto"/>
        </w:rPr>
      </w:pPr>
    </w:p>
    <w:p>
      <w:pPr>
        <w:jc w:val="both"/>
        <w:ind w:firstLine="1505"/>
        <w:spacing w:after="0"/>
        <w:tabs>
          <w:tab w:leader="none" w:pos="188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Qualified Income Offset</w:t>
      </w:r>
      <w:r>
        <w:rPr>
          <w:rFonts w:ascii="Times New Roman" w:cs="Times New Roman" w:eastAsia="Times New Roman" w:hAnsi="Times New Roman"/>
          <w:sz w:val="18"/>
          <w:szCs w:val="18"/>
          <w:color w:val="auto"/>
        </w:rPr>
        <w:t xml:space="preserve">. If any Member unexpectedly receives any adjustments, allocations, or Distributions described in Treasury 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shall be made only to the extent that a Member would have a deficit Adjusted Capital Account Balance in excess of such sum after all other allocations provided for in this Article IV have been tentatively made as if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were not in this Agreement.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is intended to comply with the “qualified income offset” requirement of the Code and shall be interpreted consistently therewith.</w:t>
      </w:r>
    </w:p>
    <w:p>
      <w:pPr>
        <w:spacing w:after="0" w:line="184" w:lineRule="exact"/>
        <w:rPr>
          <w:rFonts w:ascii="Times New Roman" w:cs="Times New Roman" w:eastAsia="Times New Roman" w:hAnsi="Times New Roman"/>
          <w:sz w:val="18"/>
          <w:szCs w:val="18"/>
          <w:color w:val="auto"/>
        </w:rPr>
      </w:pPr>
    </w:p>
    <w:p>
      <w:pPr>
        <w:jc w:val="both"/>
        <w:ind w:firstLine="1505"/>
        <w:spacing w:after="0" w:line="241" w:lineRule="auto"/>
        <w:tabs>
          <w:tab w:leader="none" w:pos="185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Gross Income Allocation</w:t>
      </w:r>
      <w:r>
        <w:rPr>
          <w:rFonts w:ascii="Times New Roman" w:cs="Times New Roman" w:eastAsia="Times New Roman" w:hAnsi="Times New Roman"/>
          <w:sz w:val="18"/>
          <w:szCs w:val="18"/>
          <w:color w:val="auto"/>
        </w:rPr>
        <w:t xml:space="preserve">. If any Member has a deficit Capital Account at the end of any taxable year which is in excess of the sum of (i) 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allocation pursuant to this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shall be made only if and to the extent that a Member would have a deficit Capital Account in excess of such sum after all other allocations provided for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have been tentatively made as if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4.3(c)</w:t>
      </w:r>
      <w:r>
        <w:rPr>
          <w:rFonts w:ascii="Times New Roman" w:cs="Times New Roman" w:eastAsia="Times New Roman" w:hAnsi="Times New Roman"/>
          <w:sz w:val="18"/>
          <w:szCs w:val="18"/>
          <w:color w:val="auto"/>
        </w:rPr>
        <w:t xml:space="preserve"> were not in this Agreement.</w:t>
      </w:r>
    </w:p>
    <w:p>
      <w:pPr>
        <w:spacing w:after="0" w:line="183" w:lineRule="exact"/>
        <w:rPr>
          <w:rFonts w:ascii="Times New Roman" w:cs="Times New Roman" w:eastAsia="Times New Roman" w:hAnsi="Times New Roman"/>
          <w:sz w:val="18"/>
          <w:szCs w:val="18"/>
          <w:color w:val="auto"/>
        </w:rPr>
      </w:pPr>
    </w:p>
    <w:p>
      <w:pPr>
        <w:ind w:right="20" w:firstLine="1505"/>
        <w:spacing w:after="0" w:line="266" w:lineRule="auto"/>
        <w:tabs>
          <w:tab w:leader="none" w:pos="187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 Deductions</w:t>
      </w:r>
      <w:r>
        <w:rPr>
          <w:rFonts w:ascii="Times New Roman" w:cs="Times New Roman" w:eastAsia="Times New Roman" w:hAnsi="Times New Roman"/>
          <w:sz w:val="18"/>
          <w:szCs w:val="18"/>
          <w:color w:val="auto"/>
        </w:rPr>
        <w:t>. Nonrecourse Deductions shall be allocated to the Members holding Class A Common Units pro rata based on the number of Participating Units held by each Member.</w:t>
      </w:r>
    </w:p>
    <w:p>
      <w:pPr>
        <w:spacing w:after="0" w:line="162" w:lineRule="exact"/>
        <w:rPr>
          <w:rFonts w:ascii="Times New Roman" w:cs="Times New Roman" w:eastAsia="Times New Roman" w:hAnsi="Times New Roman"/>
          <w:sz w:val="18"/>
          <w:szCs w:val="18"/>
          <w:color w:val="auto"/>
        </w:rPr>
      </w:pPr>
    </w:p>
    <w:p>
      <w:pPr>
        <w:jc w:val="both"/>
        <w:ind w:right="20" w:firstLine="1505"/>
        <w:spacing w:after="0" w:line="250" w:lineRule="auto"/>
        <w:tabs>
          <w:tab w:leader="none" w:pos="185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 Nonrecourse Deductions</w:t>
      </w:r>
      <w:r>
        <w:rPr>
          <w:rFonts w:ascii="Times New Roman" w:cs="Times New Roman" w:eastAsia="Times New Roman" w:hAnsi="Times New Roman"/>
          <w:sz w:val="18"/>
          <w:szCs w:val="18"/>
          <w:color w:val="auto"/>
        </w:rPr>
        <w:t>. Member Nonrecourse Deductions for any taxable period shall be allocated to the Member who bears the economic risk of loss with respect to the liability to which such Member Nonrecourse Deductions are attributable in accordance with Treasury Regulations Section 1.704-2(j).</w:t>
      </w:r>
    </w:p>
    <w:p>
      <w:pPr>
        <w:spacing w:after="0" w:line="176" w:lineRule="exact"/>
        <w:rPr>
          <w:rFonts w:ascii="Times New Roman" w:cs="Times New Roman" w:eastAsia="Times New Roman" w:hAnsi="Times New Roman"/>
          <w:sz w:val="18"/>
          <w:szCs w:val="18"/>
          <w:color w:val="auto"/>
        </w:rPr>
      </w:pPr>
    </w:p>
    <w:p>
      <w:pPr>
        <w:jc w:val="both"/>
        <w:ind w:firstLine="1505"/>
        <w:spacing w:after="0" w:line="245" w:lineRule="auto"/>
        <w:tabs>
          <w:tab w:leader="none" w:pos="187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Ameliorative Allocations</w:t>
      </w:r>
      <w:r>
        <w:rPr>
          <w:rFonts w:ascii="Times New Roman" w:cs="Times New Roman" w:eastAsia="Times New Roman" w:hAnsi="Times New Roman"/>
          <w:sz w:val="18"/>
          <w:szCs w:val="18"/>
          <w:color w:val="auto"/>
        </w:rPr>
        <w:t xml:space="preserve">. Any special allocations of income or gain pursuant to </w:t>
      </w:r>
      <w:r>
        <w:rPr>
          <w:rFonts w:ascii="Times New Roman" w:cs="Times New Roman" w:eastAsia="Times New Roman" w:hAnsi="Times New Roman"/>
          <w:sz w:val="18"/>
          <w:szCs w:val="18"/>
          <w:u w:val="single" w:color="auto"/>
          <w:color w:val="auto"/>
        </w:rPr>
        <w:t>Sections 4.3(a)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4.3(c)</w:t>
      </w:r>
      <w:r>
        <w:rPr>
          <w:rFonts w:ascii="Times New Roman" w:cs="Times New Roman" w:eastAsia="Times New Roman" w:hAnsi="Times New Roman"/>
          <w:sz w:val="18"/>
          <w:szCs w:val="18"/>
          <w:color w:val="auto"/>
        </w:rPr>
        <w:t xml:space="preserve"> hereof shall be taken into account in computing subsequent allocations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4.3(f)</w:t>
      </w:r>
      <w:r>
        <w:rPr>
          <w:rFonts w:ascii="Times New Roman" w:cs="Times New Roman" w:eastAsia="Times New Roman" w:hAnsi="Times New Roman"/>
          <w:sz w:val="18"/>
          <w:szCs w:val="18"/>
          <w:color w:val="auto"/>
        </w:rPr>
        <w:t xml:space="preserve">, so that the net amount of any items so allocated and all other items allocated to each Member shall, to the extent possible, be equal to the net amount that would have been allocated to each Member if such allocations pursuant to </w:t>
      </w:r>
      <w:r>
        <w:rPr>
          <w:rFonts w:ascii="Times New Roman" w:cs="Times New Roman" w:eastAsia="Times New Roman" w:hAnsi="Times New Roman"/>
          <w:sz w:val="18"/>
          <w:szCs w:val="18"/>
          <w:u w:val="single" w:color="auto"/>
          <w:color w:val="auto"/>
        </w:rPr>
        <w:t>Sections 4.3(a)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4.3(c)</w:t>
      </w:r>
      <w:r>
        <w:rPr>
          <w:rFonts w:ascii="Times New Roman" w:cs="Times New Roman" w:eastAsia="Times New Roman" w:hAnsi="Times New Roman"/>
          <w:sz w:val="18"/>
          <w:szCs w:val="18"/>
          <w:color w:val="auto"/>
        </w:rPr>
        <w:t xml:space="preserve"> had not occurred.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2" w:name="page313"/>
    <w:bookmarkEnd w:id="312"/>
    <w:p>
      <w:pPr>
        <w:jc w:val="both"/>
        <w:ind w:firstLine="1505"/>
        <w:spacing w:after="0"/>
        <w:tabs>
          <w:tab w:leader="none" w:pos="185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754 Adjustments</w:t>
      </w:r>
      <w:r>
        <w:rPr>
          <w:rFonts w:ascii="Times New Roman" w:cs="Times New Roman" w:eastAsia="Times New Roman" w:hAnsi="Times New Roman"/>
          <w:sz w:val="18"/>
          <w:szCs w:val="18"/>
          <w:color w:val="auto"/>
        </w:rPr>
        <w:t>. To the extent an adjustment to the adjusted tax basis of any Company asset pursuant to Code Sections 734(b) or 743(b) is required, pursuant to Treasury Regulations Section 1.704-1(b)(2)(iv)(m)(2) or 1.704-1(b)(2)(iv)(m)(4), to be taken into account in determining Capital Accounts as a result of a distribution to any Member in complete or partial liquidation of such Member’s Units in the Company, the amount of such adjustment to the Capital Accounts shall be treated as an item of gain (if the adjustment increases the basis of the asset) or loss (if the adjustment decreases such basis) and such item of gain or loss shall be allocated to the Members in accordance with Treasury Regulations Section 1.704-1(b)(2)(iv)(m)(2) if such Section applies or to the Member to whom such distribution was made if Treasury Regulations Section 1.704-1(b)(2)(iv)(m)(4) applies.</w:t>
      </w:r>
    </w:p>
    <w:p>
      <w:pPr>
        <w:spacing w:after="0" w:line="184" w:lineRule="exact"/>
        <w:rPr>
          <w:rFonts w:ascii="Times New Roman" w:cs="Times New Roman" w:eastAsia="Times New Roman" w:hAnsi="Times New Roman"/>
          <w:sz w:val="18"/>
          <w:szCs w:val="18"/>
          <w:color w:val="auto"/>
        </w:rPr>
      </w:pPr>
    </w:p>
    <w:p>
      <w:pPr>
        <w:ind w:firstLine="1505"/>
        <w:spacing w:after="0" w:line="266" w:lineRule="auto"/>
        <w:tabs>
          <w:tab w:leader="none" w:pos="185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Allocation</w:t>
      </w:r>
      <w:r>
        <w:rPr>
          <w:rFonts w:ascii="Times New Roman" w:cs="Times New Roman" w:eastAsia="Times New Roman" w:hAnsi="Times New Roman"/>
          <w:sz w:val="18"/>
          <w:szCs w:val="18"/>
          <w:color w:val="auto"/>
        </w:rPr>
        <w:t>. In the event that Unvested Class A Common Units (or any other Units subject to vesting) of any Member are forfeited, then for the fiscal year of such forfeiture or other period (as determined by the Managing Member):</w:t>
      </w:r>
    </w:p>
    <w:p>
      <w:pPr>
        <w:spacing w:after="0" w:line="162" w:lineRule="exact"/>
        <w:rPr>
          <w:rFonts w:ascii="Times New Roman" w:cs="Times New Roman" w:eastAsia="Times New Roman" w:hAnsi="Times New Roman"/>
          <w:sz w:val="18"/>
          <w:szCs w:val="18"/>
          <w:color w:val="auto"/>
        </w:rPr>
      </w:pPr>
    </w:p>
    <w:p>
      <w:pPr>
        <w:jc w:val="both"/>
        <w:ind w:left="760" w:firstLine="1494"/>
        <w:spacing w:after="0" w:line="245" w:lineRule="auto"/>
        <w:tabs>
          <w:tab w:leader="none" w:pos="261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of income, gain, loss, and deduction shall be excluded from the calculation of Profits and Losses and shall be specially allocated to the Member whose Units have been forfeited so as to cause such Member’s Capital Account to equal such Member’s distribution entitlements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after giving effect to the adjustment in the Member’s ownership of Units resulting from the applicable forfeiture;</w:t>
      </w:r>
    </w:p>
    <w:p>
      <w:pPr>
        <w:spacing w:after="0" w:line="180" w:lineRule="exact"/>
        <w:rPr>
          <w:rFonts w:ascii="Times New Roman" w:cs="Times New Roman" w:eastAsia="Times New Roman" w:hAnsi="Times New Roman"/>
          <w:sz w:val="18"/>
          <w:szCs w:val="18"/>
          <w:color w:val="auto"/>
        </w:rPr>
      </w:pPr>
    </w:p>
    <w:p>
      <w:pPr>
        <w:ind w:left="760" w:right="20" w:firstLine="1494"/>
        <w:spacing w:after="0" w:line="266" w:lineRule="auto"/>
        <w:tabs>
          <w:tab w:leader="none" w:pos="2617"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may elect to apply another allocation or Capital Account adjustment method to Units forfeiture as they deem appropriate in lieu of the method set forth in this </w:t>
      </w:r>
      <w:r>
        <w:rPr>
          <w:rFonts w:ascii="Times New Roman" w:cs="Times New Roman" w:eastAsia="Times New Roman" w:hAnsi="Times New Roman"/>
          <w:sz w:val="18"/>
          <w:szCs w:val="18"/>
          <w:u w:val="single" w:color="auto"/>
          <w:color w:val="auto"/>
        </w:rPr>
        <w:t>Section 4.3(h)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Tax Allocations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50" w:lineRule="auto"/>
        <w:tabs>
          <w:tab w:leader="none" w:pos="185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Sections 4.4(b)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Net Profits and Net Losses (and, to the extent necessary, individual items of income, gains, losses, deductions and credits) of the Company will be allocated, for federal, state and local income tax purposes, among the holders of Units in accordance with the allocation of such income, gains, losses, deductions and credits among the holders of Units for book purposes.</w:t>
      </w:r>
    </w:p>
    <w:p>
      <w:pPr>
        <w:spacing w:after="0" w:line="176" w:lineRule="exact"/>
        <w:rPr>
          <w:rFonts w:ascii="Times New Roman" w:cs="Times New Roman" w:eastAsia="Times New Roman" w:hAnsi="Times New Roman"/>
          <w:sz w:val="18"/>
          <w:szCs w:val="18"/>
          <w:color w:val="auto"/>
        </w:rPr>
      </w:pPr>
    </w:p>
    <w:p>
      <w:pPr>
        <w:jc w:val="both"/>
        <w:ind w:firstLine="1505"/>
        <w:spacing w:after="0" w:line="239" w:lineRule="auto"/>
        <w:tabs>
          <w:tab w:leader="none" w:pos="185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of Company taxable income, gain, loss and deduction with respect to any property contributed to the capital of the Company shall be allocated among the holders of Units in accordance with Code Section 704(c) so as to take account of any variation between the adjusted basis of such property to the Company and its Book Value using such method or methods determined by the Managing Member to be appropriate and in accordance with the applicable Treasury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to the contrary, the Company shall elect to use the “traditional method with curative allocations” within the meaning of Treasury Regulations Section 1.704-3(c) in respect of section 197 intangibles (as defined in Section 197(d) of the Code) that are subject to reverse Section 704(c) allocations as a result of a contribution of cash by PubCo at the time of the IPO, and in respect of revaluations of such property following the Initial Public Offering, with such curative allocations limited to gain from the sale of such section 197 intangibles as described in Treasury Regulations Section 1.704-3(c)(3)(iii)(B).</w:t>
      </w:r>
    </w:p>
    <w:p>
      <w:pPr>
        <w:spacing w:after="0" w:line="187" w:lineRule="exact"/>
        <w:rPr>
          <w:rFonts w:ascii="Times New Roman" w:cs="Times New Roman" w:eastAsia="Times New Roman" w:hAnsi="Times New Roman"/>
          <w:sz w:val="18"/>
          <w:szCs w:val="18"/>
          <w:color w:val="auto"/>
        </w:rPr>
      </w:pPr>
    </w:p>
    <w:p>
      <w:pPr>
        <w:jc w:val="both"/>
        <w:ind w:firstLine="1505"/>
        <w:spacing w:after="0" w:line="250" w:lineRule="auto"/>
        <w:tabs>
          <w:tab w:leader="none" w:pos="185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Book Value of any Company asset is adjusted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spacing w:after="0" w:line="176" w:lineRule="exact"/>
        <w:rPr>
          <w:rFonts w:ascii="Times New Roman" w:cs="Times New Roman" w:eastAsia="Times New Roman" w:hAnsi="Times New Roman"/>
          <w:sz w:val="18"/>
          <w:szCs w:val="18"/>
          <w:color w:val="auto"/>
        </w:rPr>
      </w:pPr>
    </w:p>
    <w:p>
      <w:pPr>
        <w:ind w:right="20" w:firstLine="1505"/>
        <w:spacing w:after="0" w:line="266" w:lineRule="auto"/>
        <w:tabs>
          <w:tab w:leader="none" w:pos="185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of tax credits, tax credit recapture, and any items related thereto shall be allocated to the holders of Units according to their interests in such items as determined by the Managing Member taking into account the principles of Treasury Regulation Section 1.704-1(b)(4)(ii).</w:t>
      </w:r>
    </w:p>
    <w:p>
      <w:pPr>
        <w:spacing w:after="0" w:line="162" w:lineRule="exact"/>
        <w:rPr>
          <w:rFonts w:ascii="Times New Roman" w:cs="Times New Roman" w:eastAsia="Times New Roman" w:hAnsi="Times New Roman"/>
          <w:sz w:val="18"/>
          <w:szCs w:val="18"/>
          <w:color w:val="auto"/>
        </w:rPr>
      </w:pPr>
    </w:p>
    <w:p>
      <w:pPr>
        <w:jc w:val="both"/>
        <w:ind w:firstLine="1505"/>
        <w:spacing w:after="0" w:line="250" w:lineRule="auto"/>
        <w:tabs>
          <w:tab w:leader="none" w:pos="185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Allocations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solely for purposes of federal, state and local taxes and shall not affect, or in any way be taken into account in computing, any holder’s Capital Account or share of book income, gain, loss or deduction, Distributions or other Company items pursuant to any provision of this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3" w:name="page314"/>
    <w:bookmarkEnd w:id="313"/>
    <w:p>
      <w:pPr>
        <w:ind w:left="7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Other Allocation Rules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left="-20" w:firstLine="1505"/>
        <w:spacing w:after="0" w:line="237" w:lineRule="auto"/>
        <w:tabs>
          <w:tab w:leader="none" w:pos="183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regarding the establishment and maintenance for each Member of a Capital Account as provided by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the allocations set forth in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are intended to comply with the Treasury Regulations and to reflect the intended economic entitlement of the Members. If the Managing Member reasonably determines that the application of the provisions in </w:t>
      </w:r>
      <w:r>
        <w:rPr>
          <w:rFonts w:ascii="Times New Roman" w:cs="Times New Roman" w:eastAsia="Times New Roman" w:hAnsi="Times New Roman"/>
          <w:sz w:val="18"/>
          <w:szCs w:val="18"/>
          <w:u w:val="single" w:color="auto"/>
          <w:color w:val="auto"/>
        </w:rPr>
        <w:t>Section 3.3,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would result in non-compliance with the Treasury Regulations or would be inconsistent with the intended economic entitlement of the Members, the Managing Member is authorized to make any appropriate adjustments to such provisions to the extent permitted by applicable Law, including to allocate properly items of income, gain, loss, deduction and credit to those Members who bear the economic burden or benefit associated therewith, or to otherwise cause the Members to achieve the economic objectives underlying this Agreement. The Managing Member also shall (i) make any adjustments that it reasonably determines are necessary or appropriate to maintain equality between the Capital Accounts of the Members and the amount of Company capital reflected on the Company’s balance sheet, as computed for book purposes, in accordance with Treasury Regulations Section 1.704-1(b)(iv)(g) and (ii) make any reasonable and appropriate modifications in the event unanticipated events would reasonably be expected to otherwise cause this Agreement not to comply with Treasury Regulations Section 1.704-1(b). No adjustment to the allocations shall be made under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that would have a material adverse effect on the Continuing Members without the prior written consent of the Continuing Member Representative, which consent shall not be unreasonably withheld, conditioned or delayed.</w:t>
      </w:r>
    </w:p>
    <w:p>
      <w:pPr>
        <w:spacing w:after="0" w:line="191" w:lineRule="exact"/>
        <w:rPr>
          <w:rFonts w:ascii="Times New Roman" w:cs="Times New Roman" w:eastAsia="Times New Roman" w:hAnsi="Times New Roman"/>
          <w:sz w:val="18"/>
          <w:szCs w:val="18"/>
          <w:color w:val="auto"/>
        </w:rPr>
      </w:pPr>
    </w:p>
    <w:p>
      <w:pPr>
        <w:jc w:val="both"/>
        <w:ind w:left="-20" w:firstLine="1505"/>
        <w:spacing w:after="0" w:line="241" w:lineRule="auto"/>
        <w:tabs>
          <w:tab w:leader="none" w:pos="183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PubCo’s acquisition of the Class A Common Units in conjunction with the IPO, Profits or Losses shall be allocated to the Members of the Company so as to take into account the varying interests of the Members in the Company using an “interim closing of the books” method in a manner that complies with the provisions of Section 706 of the Code and the Treasury Regulations thereunder. If during any Taxable Year there is any other change in any Member’s Units in the Company, the Managing Member shall allocate the Profits or Losses to the Members of the Company so as to take into account the varying interests of the Members in the Company using any method that complies with the provisions of Section 706 of the Code and the Treasury Regulations thereunder.</w:t>
      </w:r>
    </w:p>
    <w:p>
      <w:pPr>
        <w:spacing w:after="0" w:line="183" w:lineRule="exact"/>
        <w:rPr>
          <w:rFonts w:ascii="Times New Roman" w:cs="Times New Roman" w:eastAsia="Times New Roman" w:hAnsi="Times New Roman"/>
          <w:sz w:val="18"/>
          <w:szCs w:val="18"/>
          <w:color w:val="auto"/>
        </w:rPr>
      </w:pPr>
    </w:p>
    <w:p>
      <w:pPr>
        <w:jc w:val="both"/>
        <w:ind w:left="-20" w:firstLine="1505"/>
        <w:spacing w:after="0" w:line="245" w:lineRule="auto"/>
        <w:tabs>
          <w:tab w:leader="none" w:pos="183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determining a Member’s proportionate share of the “excess nonrecourse liabilities” of the Company, within the meaning of Treasury Regulations Section 1.752-3(a)(3), the Managing Member shall allocate such liabilities in such manner that complies with the Code and the Treasury Regulations thereunder and that the Managing Member reasonably determines is reasonable expected to minimize any gain of the Members to the greatest extent possible under Section 731 of the Code.</w:t>
      </w:r>
    </w:p>
    <w:p>
      <w:pPr>
        <w:spacing w:after="0" w:line="1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left="-20" w:firstLine="1505"/>
        <w:spacing w:after="0" w:line="241" w:lineRule="auto"/>
        <w:tabs>
          <w:tab w:leader="none" w:pos="183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withhold taxes from Distributions to, and allocations among, the Members to the extent required by law. Except as otherwise provided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any amount so withheld by the Company with regard to a Member shall be treated for purposes of this Agreement as an amount actually distributed to such Member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Withholding Payment</w:t>
      </w:r>
      <w:r>
        <w:rPr>
          <w:rFonts w:ascii="Times New Roman" w:cs="Times New Roman" w:eastAsia="Times New Roman" w:hAnsi="Times New Roman"/>
          <w:sz w:val="18"/>
          <w:szCs w:val="18"/>
          <w:color w:val="auto"/>
        </w:rPr>
        <w:t xml:space="preserve">”). An amount shall be considered withheld by the Company if, and at the time, remitted to a Governmental Entity without regard to whether such remittance occurs at the same time as the Distribution or allocation to which it relates;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 amount actually withheld from a specific Distribution or designated by the Managing Member as withheld from a specific allocation shall be treated as if distributed at the time such Distribution or allocation occurs.</w:t>
      </w:r>
    </w:p>
    <w:p>
      <w:pPr>
        <w:spacing w:after="0" w:line="183" w:lineRule="exact"/>
        <w:rPr>
          <w:rFonts w:ascii="Times New Roman" w:cs="Times New Roman" w:eastAsia="Times New Roman" w:hAnsi="Times New Roman"/>
          <w:sz w:val="18"/>
          <w:szCs w:val="18"/>
          <w:color w:val="auto"/>
        </w:rPr>
      </w:pPr>
    </w:p>
    <w:p>
      <w:pPr>
        <w:jc w:val="both"/>
        <w:ind w:left="-20" w:firstLine="1505"/>
        <w:spacing w:after="0" w:line="245" w:lineRule="auto"/>
        <w:tabs>
          <w:tab w:leader="none" w:pos="183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hereby agrees to indemnify the Company and the other Members for any liability they may incur for failure to properly withhold taxes in respect of such Member. Moreover, each Member hereby agrees that neither the Company nor any other Member shall be liable to such Member for any excess taxes withheld in respect of such Member’s interest in the Company and that, in the event of overwithholding, a Member’s sole recourse shall be to apply for a refund from the appropriate governmental authority.</w:t>
      </w:r>
    </w:p>
    <w:p>
      <w:pPr>
        <w:spacing w:after="0" w:line="180" w:lineRule="exact"/>
        <w:rPr>
          <w:rFonts w:ascii="Times New Roman" w:cs="Times New Roman" w:eastAsia="Times New Roman" w:hAnsi="Times New Roman"/>
          <w:sz w:val="18"/>
          <w:szCs w:val="18"/>
          <w:color w:val="auto"/>
        </w:rPr>
      </w:pPr>
    </w:p>
    <w:p>
      <w:pPr>
        <w:jc w:val="both"/>
        <w:ind w:left="-20" w:firstLine="1505"/>
        <w:spacing w:after="0" w:line="245" w:lineRule="auto"/>
        <w:tabs>
          <w:tab w:leader="none" w:pos="183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anticipated that at the due date of the Company’s withholding obligation the Member’s share of cash Distributions or other amounts due is less than the amount of the Withholding Payment, the Member with respect to which the withholding obligation applies shall pay to the Company the amount of such shortfall within thirty (30) days after notice by the Company. If a Member fails to make the required payment when due hereunder, and the Company nevertheless pays the withholding, in addition to the Company’s remedies for breach of this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314" w:name="page315"/>
    <w:bookmarkEnd w:id="314"/>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Agreement, the amount paid shall be deemed a recourse loan from the Company to such Member bearing interest at an interest rate per annum equal to the Base Rate plus 3.0%, and the Company shall apply all Distributions or payments that would otherwise be made to such Member toward payment of the loan and interest, which payments or Distributions shall be applied first to interest and then to principal until the loan is repaid in full. In the event that the Distributions or proceeds to the Company or any Subsidiary of the Company are reduced on account of taxes withheld at the source or any taxes are otherwise required to be paid by the Company and such taxes are imposed on or with respect to one or more, but not all of the Members in the Company, or all of the Members in the Company at different tax rates, the amount of the reduction shall be borne by the relevant Members and treated as if it were paid by the Company as a Withholding Payment with respect to such Members pursuant to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Taxes imposed on the Company where the rate of tax varies depending on characteristics of the Members shall be treated as taxes imposed on or with respect to the Members for purposes of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In addition, if the Company is obligated to pay any taxes (including penalties, interest and any addition to tax) to any Governmental Entity that is specifically attributable to a Member or a former Member, including, without limitation, on account of Sections 864 or 1446 of the Code, then (x) such Member or former Member shall indemnify the Company in full for the entire amount paid or payable, (y) the Managing Member may offset future Distributions from such Member or former Member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to which such Person is otherwise entitled under this Agreement against such Member or former Member’s obligation to indemnify the Company under this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and (z) such amounts shall be treated as a Withholding Payment pursuant to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with respect to such Member or former Member.</w:t>
      </w:r>
    </w:p>
    <w:p>
      <w:pPr>
        <w:spacing w:after="0" w:line="189" w:lineRule="exact"/>
        <w:rPr>
          <w:sz w:val="20"/>
          <w:szCs w:val="20"/>
          <w:color w:val="auto"/>
        </w:rPr>
      </w:pPr>
    </w:p>
    <w:p>
      <w:pPr>
        <w:jc w:val="both"/>
        <w:ind w:firstLine="1505"/>
        <w:spacing w:after="0" w:line="237" w:lineRule="auto"/>
        <w:tabs>
          <w:tab w:leader="none" w:pos="185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incurs an Imputed Underpayment Amount, the Partnership Representative shall determine in its discretion the portion of such Imputed Underpayment Amount attributable to each Member or former Member and such attributable amount shall be treated as a Withholding Payment pursuant to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The portion of any Imputed Underpayment Amount attributed to a former Member shall be treated as a Withholding Payment pursuant to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with respect to such former Member. The Partnership Representative shall use commercially reasonable efforts to secure any reduction in any Imputed Underpayment Amount that is available by reason of the status of any Member (or its beneficial owners), including by means of any procedures provided pursuant to Code Section 6225(c)(3), and to allocate the benefit of any such reduction to such Member. Each Member agrees to indemnify and hold harmless the Company, Managing Member and the Partnership Representative from and against any and all liability with respect to any Imputed Underpayment Amounts required on behalf of, or with respect to, such Member or any former Member whose former interest in the Company is held by such Member. For purposes hereof, “</w:t>
      </w:r>
      <w:r>
        <w:rPr>
          <w:rFonts w:ascii="Times New Roman" w:cs="Times New Roman" w:eastAsia="Times New Roman" w:hAnsi="Times New Roman"/>
          <w:sz w:val="18"/>
          <w:szCs w:val="18"/>
          <w:b w:val="1"/>
          <w:bCs w:val="1"/>
          <w:color w:val="auto"/>
        </w:rPr>
        <w:t>Imputed Underpayment Amount</w:t>
      </w:r>
      <w:r>
        <w:rPr>
          <w:rFonts w:ascii="Times New Roman" w:cs="Times New Roman" w:eastAsia="Times New Roman" w:hAnsi="Times New Roman"/>
          <w:sz w:val="18"/>
          <w:szCs w:val="18"/>
          <w:color w:val="auto"/>
        </w:rPr>
        <w:t>” shall mean any “imputed underpayment” within the meaning of Section 6225 of the Code (or any corresponding or similar provision of state, local or foreign law) paid (or payable) by the Company as a result of an adjustment with respect to any Company item, including any interest or penalties with respect to any such adjustment. Imputed Underpayment Amounts shall also include any imputed underpayment amounts within the meaning of Code Section 6225 (or any corresponding or similar provision of state, local or foreign law) which are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w:t>
      </w:r>
    </w:p>
    <w:p>
      <w:pPr>
        <w:spacing w:after="0" w:line="187" w:lineRule="exact"/>
        <w:rPr>
          <w:rFonts w:ascii="Times New Roman" w:cs="Times New Roman" w:eastAsia="Times New Roman" w:hAnsi="Times New Roman"/>
          <w:sz w:val="18"/>
          <w:szCs w:val="18"/>
          <w:color w:val="auto"/>
        </w:rPr>
      </w:pPr>
    </w:p>
    <w:p>
      <w:pPr>
        <w:ind w:right="20" w:firstLine="1505"/>
        <w:spacing w:after="0" w:line="266" w:lineRule="auto"/>
        <w:tabs>
          <w:tab w:leader="none" w:pos="185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Member’s obligations under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shall survive the dissolution and winding up of the Company and any transfer, assignment or liquidation of such Member’s interest in the Company.</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Allocations Upon Final Liquidation</w:t>
      </w:r>
      <w:r>
        <w:rPr>
          <w:rFonts w:ascii="Times New Roman" w:cs="Times New Roman" w:eastAsia="Times New Roman" w:hAnsi="Times New Roman"/>
          <w:sz w:val="18"/>
          <w:szCs w:val="18"/>
          <w:color w:val="auto"/>
        </w:rPr>
        <w:t xml:space="preserve">. With respect to the fiscal year in which the final liquidation of the Company occurs in accordance with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of the Agreement, and notwithstanding any other provision of </w:t>
      </w:r>
      <w:r>
        <w:rPr>
          <w:rFonts w:ascii="Times New Roman" w:cs="Times New Roman" w:eastAsia="Times New Roman" w:hAnsi="Times New Roman"/>
          <w:sz w:val="18"/>
          <w:szCs w:val="18"/>
          <w:u w:val="single" w:color="auto"/>
          <w:color w:val="auto"/>
        </w:rPr>
        <w:t>Sections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hereof, items of Company income, gain, loss and deduction shall be specially allocated to the Members in such amounts and priorities as are necessary so that the positive Capital Accounts of the Members shall, as closely as possible, equal the amounts that will be distributed to the Members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5" w:name="page316"/>
    <w:bookmarkEnd w:id="315"/>
    <w:p>
      <w:pPr>
        <w:jc w:val="both"/>
        <w:ind w:firstLine="749"/>
        <w:spacing w:after="0" w:line="23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Designation and Authority of Managing Member</w:t>
      </w:r>
      <w:r>
        <w:rPr>
          <w:rFonts w:ascii="Times New Roman" w:cs="Times New Roman" w:eastAsia="Times New Roman" w:hAnsi="Times New Roman"/>
          <w:sz w:val="18"/>
          <w:szCs w:val="18"/>
          <w:color w:val="auto"/>
        </w:rPr>
        <w:t xml:space="preserve">. The Managing Member shall be designated by the holders of Class B Voting Units. Except for situations in which the approval of one or more of the Members is specifically required by the express terms of this Agreement, and subject to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 all management powers over the business and affairs of the Company shall be exclusively vested in the Managing Member, (ii) the Managing Member shall conduct, direct and exercise full control over all activities of the Company, and (iii) the Managing Member shall have the sole power to bind or take any action on behalf of the Company, or to exercise any rights and powers (including, without limitation,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Without limiting the generality of the foregoing, but subject to any situations in which the approval of the Members is specifically required by this Agreement, (x) the Managing Member shall have discretion in determining whether to issue Equity Securities, the number of Equity Securities to be issued at any particular time, the purchase price for any Equity Securities issued, and all other terms and conditions governing the issuance of Equity Securities and (y) the Managing Member may enter into, approve, and consummate any Liquidity Event or other extraordinary or business combination or divestiture transaction, and execute and deliver on behalf of the Company or the Members any agreement, document and instrument in connection therewith (including amendments, if any, to this Agreement or adoptions of new constituent documents) without the approval or consent of any Member. The Managing Member shall operate the Company and its Subsidiaries in accordance in all material respects with an annual budget, business plan and financial forecasts for the Company and its Subsidiaries for each fiscal year. The Managing Member shall be the “manager” of the Company for the purposes of the California Act. The Managing Member is hereby authorized to execute, deliver and file the articles of organization of the Company and all other certificates (and any amendments and/or restatements hereof) required or permitted by the California Act to be filed in the Office of the Secretary of State of the State of California. The Managing Member and Members hereby approve and ratify the filing of the following document with the Secretary of State of the State of California: Amendment to the Articles of Organization of the Company by an authorized person, as may be designated by the Managing Member from time to time. The Managing Member is hereby authorized to execute, deliver and file any other certificates (and any amendments and/or restatements thereof) necessary for the Company to qualify to do business in a jurisdiction in which the Company may wish to conduct business. Notwithstanding any other provision of this Agreement to the contrary, without the consent of any Member or other Person being required, the Company is hereby authorized to execute, deliver and perform, and the Managing Member or any officer on behalf of the Company, is hereby authorized to execute and deliver (a) the Exchange Agreements, (b) the Tax Receivable Agreement; (c) any other document, certificate or contract relating to or contemplated by the Recapitalization; and (d) any amendment and any agreement, document or other instrument contemplated thereby or related thereto. The Managing Member or any officer is hereby authorized to enter into the documents described in the preceding sentence on behalf of the Company, but such authorization shall not be deemed a restriction on the power of the Managing Member or any officer to enter into other documents on behalf of the Company.</w:t>
      </w:r>
    </w:p>
    <w:p>
      <w:pPr>
        <w:spacing w:after="0" w:line="18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Actions of the Managing Member</w:t>
      </w:r>
      <w:r>
        <w:rPr>
          <w:rFonts w:ascii="Times New Roman" w:cs="Times New Roman" w:eastAsia="Times New Roman" w:hAnsi="Times New Roman"/>
          <w:sz w:val="18"/>
          <w:szCs w:val="18"/>
          <w:color w:val="auto"/>
        </w:rPr>
        <w:t xml:space="preserve">. Unless otherwise provided in this Agreement, any decision, action, approval or consent required or permitted to be taken by the Managing Member may be taken by the Managing Member through any Person or Persons to whom authority and duties have been delegated pursuant to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The Managing Member shall not cease to be a Managing Member of the Company as a result of the delegation of any duties hereunder. No officer or agent of the Company, in its capacity as such, shall be considered a Managing Member of the Company by agreement, as a result of the performance of its duties hereunder or otherwise.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Compensation; Expenses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500"/>
        <w:spacing w:after="0"/>
        <w:tabs>
          <w:tab w:leader="none" w:pos="1840" w:val="left"/>
        </w:tabs>
        <w:rPr>
          <w:sz w:val="20"/>
          <w:szCs w:val="20"/>
          <w:color w:val="auto"/>
        </w:rPr>
      </w:pPr>
      <w:r>
        <w:rPr>
          <w:rFonts w:ascii="Times New Roman" w:cs="Times New Roman" w:eastAsia="Times New Roman" w:hAnsi="Times New Roman"/>
          <w:sz w:val="18"/>
          <w:szCs w:val="18"/>
          <w:color w:val="auto"/>
        </w:rPr>
        <w:t>(a)</w:t>
        <w:tab/>
        <w:t>The Managing Member shall not be entitled to any compensation for services rendered to the Company in its capacity 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Member.</w:t>
      </w:r>
    </w:p>
    <w:p>
      <w:pPr>
        <w:spacing w:after="0" w:line="192" w:lineRule="exact"/>
        <w:rPr>
          <w:sz w:val="20"/>
          <w:szCs w:val="20"/>
          <w:color w:val="auto"/>
        </w:rPr>
      </w:pPr>
    </w:p>
    <w:p>
      <w:pPr>
        <w:jc w:val="both"/>
        <w:ind w:firstLine="1505"/>
        <w:spacing w:after="0" w:line="241" w:lineRule="auto"/>
        <w:tabs>
          <w:tab w:leader="none" w:pos="185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or cause to be paid, all costs, fees, operating expenses and other 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PubCo or the Managing Member for (i) any costs, fees or expenses incurred by the Managing Member in connection with serving as the Managing Member, (ii) operating, administrative and other similar costs incurred by the Managing Member, to the extent the proceeds are used or will be used by the Managing Member to pay expenses described in this clause (ii), and payments pursuant 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color w:val="auto"/>
        </w:rPr>
        <w:t>any legal, tax, accounting and other professional fees and expenses (but, for the avoidance of doubt, excluding any tax liabilities of the Managing Member),</w:t>
      </w:r>
    </w:p>
    <w:p>
      <w:pPr>
        <w:spacing w:after="0" w:line="16" w:lineRule="exact"/>
        <w:rPr>
          <w:sz w:val="20"/>
          <w:szCs w:val="20"/>
          <w:color w:val="auto"/>
        </w:rPr>
      </w:pPr>
    </w:p>
    <w:p>
      <w:pPr>
        <w:jc w:val="both"/>
        <w:ind w:firstLine="8"/>
        <w:spacing w:after="0" w:line="235" w:lineRule="auto"/>
        <w:tabs>
          <w:tab w:leader="none" w:pos="3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judgments, settlements, penalties, fines or other costs and expenses in respect of any claims against, or any litigation or proceedings involving, the Managing Member, (iv) fees and expenses (other than any underwriters’ discounts and commissions that are economically recovered by the Managing Member as a result of acquiring Company Units at a discount) related to any securities offering, investment or acquisition transaction (whether or not successful) authorized by PubCo, as the managing member of the Managing Member, (v) other fees and expenses in connection with the maintenance of the existence of the Managing Member, and (vi) all other expenses allocable to the Company or otherwise incurred by PubCo or the Managing Member in connection with operating the Company’s business (including expenses allocated to PubCo or the Managing Member by their Affiliates and expenses incurred by PubCo in its capacity as the Managing Member). To the extent that the Managing Member determines in its sole discretion that such expenses are related to the business and affairs of PubCo or the Managing Member that are conducted through the Company and/or its Subsidiaries (including expenses that relate to the business and affairs of the Company and/or its Subsidiaries and that also relate to other activities of PubCo or the Managing Member), the Managing Member may cause the Company to pay or bear all expenses of PubCo or the Managing Member, including, without limitation, compensation and meeting costs of any board of directors or similar body of PubCo or the Managing Member, any salary, bonus, incentive compensation and other amounts paid to any Person including Affiliates of PubCo or the Managing Member to perform services for the Company, litigation costs and damages arising from litigation, accounting and legal costs and franchise taxes, except to the extent such franchise taxes are based on or measured with respect to net income or profits;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pay or bear any income tax obligations of PubCo or the Managing Member or any obligations of PubCo or the Managing Member under the Tax Receivable Agreement. To the extent practicable, expenses incurred by PubCo or the Managing Member on behalf of or for the benefit of the Company shall be billed directly to and paid by the Company and, if and to the extent any reimbursements to PubCo or the Managing Member or any of their Affiliates by the Company pursuant to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constitute gross income to such Person (as opposed to the repayment of advances made by such Person on behalf of the Company), such amounts shall be treated as “guaranteed payments” within the meaning of Section 707(c) of the Code and shall not be treated as distributions for purposes of computing the Members’ Capital Account. Reimbursements pursuant to this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shall be in addition to any reimbursement to PubCo or the Managing Member as a result of indemnification pursuant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45" w:lineRule="auto"/>
        <w:tabs>
          <w:tab w:leader="none" w:pos="18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may, from time to time, delegate to one or more Persons, including any officer or director of the Company or PubCo (or to PubCo’s Compensation Committee or its designees), or to any other Person, such authority and duties as the Managing Member may deem 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Person shall exercise such authority subject to the same duties and obligations to which the Managing Member would have otherwise been subject pursuant to the terms of this Agreement.</w:t>
      </w:r>
    </w:p>
    <w:p>
      <w:pPr>
        <w:spacing w:after="0" w:line="180" w:lineRule="exact"/>
        <w:rPr>
          <w:rFonts w:ascii="Times New Roman" w:cs="Times New Roman" w:eastAsia="Times New Roman" w:hAnsi="Times New Roman"/>
          <w:sz w:val="18"/>
          <w:szCs w:val="18"/>
          <w:color w:val="auto"/>
        </w:rPr>
      </w:pPr>
    </w:p>
    <w:p>
      <w:pPr>
        <w:jc w:val="both"/>
        <w:ind w:firstLine="1505"/>
        <w:spacing w:after="0" w:line="242" w:lineRule="auto"/>
        <w:tabs>
          <w:tab w:leader="none" w:pos="185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may assign titles (including, without limitation, executive chairman, non-executive chairman, chief executive officer, president, vice president, secretary, assistant secretary, treasurer or assistant treasurer) and delegate certain authority and duties to such Persons. Any number of titles may be held by the same officer of the Company or other individual. The salaries or other compensation, if any, of the officers and agents of the Company shall be fixed from time to time by the Managing Member. Any delegation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may be revoked at any time by the Managing Member.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1860" w:hanging="355"/>
        <w:spacing w:after="0"/>
        <w:tabs>
          <w:tab w:leader="none" w:pos="18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in an agreement entered into by such Person and the Company or by applicable law, none of</w:t>
      </w:r>
    </w:p>
    <w:p>
      <w:pPr>
        <w:spacing w:after="0" w:line="15" w:lineRule="exact"/>
        <w:rPr>
          <w:rFonts w:ascii="Times New Roman" w:cs="Times New Roman" w:eastAsia="Times New Roman" w:hAnsi="Times New Roman"/>
          <w:sz w:val="18"/>
          <w:szCs w:val="18"/>
          <w:color w:val="auto"/>
        </w:rPr>
      </w:pPr>
    </w:p>
    <w:p>
      <w:pPr>
        <w:jc w:val="both"/>
        <w:ind w:firstLine="8"/>
        <w:spacing w:after="0" w:line="236" w:lineRule="auto"/>
        <w:tabs>
          <w:tab w:leader="none" w:pos="2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(ii) any manager, officer, director, principal, member, employee, agent or Affiliate of the Managing Member or (iii) affiliated entities of the Managing Member’s principal executives or directors shall be liable to the Company or to any Member for any act or omission performed or omitted by the Managing Member in its capacity as the Managing Member pursuant to authority granted to such Person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herein, such limitation of liability shall not apply to the extent the act or omission was attributable to such Person’s gross negligence, willful misconduct or knowing violation of law, for any present or future breaches of any representations, warranties or covenants by such Person or its Affiliates contained herein with respect to any rights of the Company under any other agreements between the Managing Member and the Company. The Managing Member may exercise any of the powers granted to it by this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7" w:name="page318"/>
    <w:bookmarkEnd w:id="317"/>
    <w:p>
      <w:pPr>
        <w:jc w:val="both"/>
        <w:spacing w:after="0" w:line="241" w:lineRule="auto"/>
        <w:rPr>
          <w:sz w:val="20"/>
          <w:szCs w:val="20"/>
          <w:color w:val="auto"/>
        </w:rPr>
      </w:pPr>
      <w:r>
        <w:rPr>
          <w:rFonts w:ascii="Times New Roman" w:cs="Times New Roman" w:eastAsia="Times New Roman" w:hAnsi="Times New Roman"/>
          <w:sz w:val="18"/>
          <w:szCs w:val="18"/>
          <w:color w:val="auto"/>
        </w:rPr>
        <w:t>Agreement and perform any of the duties imposed upon it hereunder either directly or by or through its agents, and none of the Managing Member or any manager, officer, director, principal, member, employee, agent or Affiliate of the Managing Member shall be responsible for any misconduct or negligence on the part of any such agent appointed by the Managing Member (so long as such agent was selected in good faith and with reasonable care).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to liability to the Company or any Member.</w:t>
      </w:r>
    </w:p>
    <w:p>
      <w:pPr>
        <w:spacing w:after="0" w:line="184" w:lineRule="exact"/>
        <w:rPr>
          <w:sz w:val="20"/>
          <w:szCs w:val="20"/>
          <w:color w:val="auto"/>
        </w:rPr>
      </w:pPr>
    </w:p>
    <w:p>
      <w:pPr>
        <w:jc w:val="both"/>
        <w:ind w:firstLine="1505"/>
        <w:spacing w:after="0" w:line="241" w:lineRule="auto"/>
        <w:tabs>
          <w:tab w:leader="none" w:pos="18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Agreement or in the California Act, the debts, obligations and liabilities of the Company, whether arising in contract, tort or otherwise, shall be solely the debts, obligations and liabilities of the Company and no Managing Member shall be obligated personally for any such debts, obligations or liabilities solely by reason of acting as the Managing Member of the Company. The Managing Member shall not be personally liable for the Company’s obligations, liabilities and Losses. Notwithstanding anything contained herein to the contrary, the failure of the Company to observe any formalities or requirements relating to the exercise of its powers or management of its business and affairs under this Agreement or the California Act shall not be grounds for imposing personal liability on the Managing Member for liabilities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AND OBLIGATIONS OF MEMBERS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tabs>
          <w:tab w:leader="none" w:pos="18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this Agreement or in the California Act, the debts, obligations and liabilities of the Company, whether arising in contract, tort or otherwise, shall be solely the debts, obligations and liabilities of the Company and no Member shall be obligated personally for any such debts, obligations or liabilities solely by reason of being a member of the Company. Except as otherwise provided in this Agreement or the California Act, a Member’s liability (in its capacity as such) for Company obligations, liabilities and Losses shall be limited to the Company’s assets;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Member shall be required to return to the Company any Distribution made to it after the execution of this Agreement in clear and manifest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or similar error. The immediately preceding sentence shall constitute a compromise to which all Members have consented within the meaning of the California Act.</w:t>
      </w:r>
    </w:p>
    <w:p>
      <w:pPr>
        <w:spacing w:after="0" w:line="184" w:lineRule="exact"/>
        <w:rPr>
          <w:rFonts w:ascii="Times New Roman" w:cs="Times New Roman" w:eastAsia="Times New Roman" w:hAnsi="Times New Roman"/>
          <w:sz w:val="18"/>
          <w:szCs w:val="18"/>
          <w:color w:val="auto"/>
        </w:rPr>
      </w:pPr>
    </w:p>
    <w:p>
      <w:pPr>
        <w:jc w:val="both"/>
        <w:ind w:firstLine="1505"/>
        <w:spacing w:after="0" w:line="241" w:lineRule="auto"/>
        <w:tabs>
          <w:tab w:leader="none" w:pos="18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Member and the Managing Member shall have the duty to act in accordance with the implied contractual covenant of good faith and fair dealing.</w:t>
      </w:r>
    </w:p>
    <w:p>
      <w:pPr>
        <w:spacing w:after="0" w:line="183" w:lineRule="exact"/>
        <w:rPr>
          <w:rFonts w:ascii="Times New Roman" w:cs="Times New Roman" w:eastAsia="Times New Roman" w:hAnsi="Times New Roman"/>
          <w:sz w:val="18"/>
          <w:szCs w:val="18"/>
          <w:color w:val="auto"/>
        </w:rPr>
      </w:pPr>
    </w:p>
    <w:p>
      <w:pPr>
        <w:jc w:val="both"/>
        <w:ind w:firstLine="1505"/>
        <w:spacing w:after="0"/>
        <w:tabs>
          <w:tab w:leader="none" w:pos="185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Lack of Authority</w:t>
      </w:r>
      <w:r>
        <w:rPr>
          <w:rFonts w:ascii="Times New Roman" w:cs="Times New Roman" w:eastAsia="Times New Roman" w:hAnsi="Times New Roman"/>
          <w:sz w:val="18"/>
          <w:szCs w:val="18"/>
          <w:color w:val="auto"/>
        </w:rPr>
        <w:t xml:space="preserve">. No Member (other than the Managing Member) in its capacity as such (other than in its capacity as a Person delegated authority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has the authority or power to act for or on behalf of the Company, to do any act that would be binding on the Company or to make any expenditures on behalf of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color w:val="auto"/>
        </w:rPr>
        <w:t>Company. The Members hereby consent to the exercise by the Managing Member of the powers conferred on it by law and this Agreement.</w:t>
      </w:r>
    </w:p>
    <w:p>
      <w:pPr>
        <w:spacing w:after="0" w:line="21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 Right of Partition</w:t>
      </w:r>
      <w:r>
        <w:rPr>
          <w:rFonts w:ascii="Times New Roman" w:cs="Times New Roman" w:eastAsia="Times New Roman" w:hAnsi="Times New Roman"/>
          <w:sz w:val="18"/>
          <w:szCs w:val="18"/>
          <w:color w:val="auto"/>
        </w:rPr>
        <w:t>. No Member shall have the right to seek or obtain partition by court decree or operation of law of any Company property, or the right to own or use particular or individual assets of the Company.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both"/>
        <w:ind w:firstLine="1505"/>
        <w:spacing w:after="0" w:line="237"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the Company hereby agrees to indemnify and hold harmless any Person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xml:space="preserve">”) to the fullest extent permitted under the California Act (after waiving all California Act restrictions on indemnification other than those which cannot be eliminated),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expenses, liabilities and losses (including attorneys’ fees, judgments, fines, excise taxes or penalties, as reasonably required) reasonably incurred or suffered by such Person (or one or more of such Person’s Affiliates) by reason of the fact that such Person is or was a Member (or Affiliate of a Member) or is or was serving as the Managing Member, any additional or substitute Managing Member, a Manager or a committee member pursuant to the Prior Agreement, officer, employee or other agent of the Company or is or was serving at the request of the Company as a manager, officer, director, principal, member, employee or agent of another corporation, partnership, joint venture, limited liability company, trust or other enterprise (including any manager, officer, director, principal, member, employee or agent of the Managing Member or any additional or substitute Managing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the Managing Member otherwise consents) no Indemnified Person shall be indemnified for any expenses, liabilities and losses suffered that are attributable to such Indemnified Person’s or its Affiliates’ gross negligence, willful misconduct or knowing violation of law. Expenses, including reasonable attorneys’ fees, incurred by any such Indemnified Person in defending a proceeding related to any such indemnifiable matter shall be paid by the Company in advance of the final disposition of such proceeding, including any appeal therefrom, upon receipt of an undertaking by or on behalf of such Indemnified Person to repay such amounts if it shall ultimately be determined that such Indemnified Person is not entitled to be indemnified by the Company.</w:t>
      </w:r>
    </w:p>
    <w:p>
      <w:pPr>
        <w:spacing w:after="0" w:line="189" w:lineRule="exact"/>
        <w:rPr>
          <w:rFonts w:ascii="Times New Roman" w:cs="Times New Roman" w:eastAsia="Times New Roman" w:hAnsi="Times New Roman"/>
          <w:sz w:val="18"/>
          <w:szCs w:val="18"/>
          <w:color w:val="auto"/>
        </w:rPr>
      </w:pPr>
    </w:p>
    <w:p>
      <w:pPr>
        <w:ind w:right="20" w:firstLine="1505"/>
        <w:spacing w:after="0" w:line="266"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 to indemnification and the advancement of expenses conferred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not be exclusive of any other right which any Person may have or hereafter acquire under any statute, agreement, by-law, determination of the Managing Member or otherwise.</w:t>
      </w:r>
    </w:p>
    <w:p>
      <w:pPr>
        <w:spacing w:after="0" w:line="162" w:lineRule="exact"/>
        <w:rPr>
          <w:rFonts w:ascii="Times New Roman" w:cs="Times New Roman" w:eastAsia="Times New Roman" w:hAnsi="Times New Roman"/>
          <w:sz w:val="18"/>
          <w:szCs w:val="18"/>
          <w:color w:val="auto"/>
        </w:rPr>
      </w:pPr>
    </w:p>
    <w:p>
      <w:pPr>
        <w:ind w:right="20" w:firstLine="1505"/>
        <w:spacing w:after="0" w:line="266"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maintain directors’ and officers’ liability insurance, at its expense, for the benefit of the Managing Member, the officers of the Company and any other Persons to whom the Managing Member has delegated its authority pursuant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firstLine="1505"/>
        <w:spacing w:after="0" w:line="242"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to the contrary (including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any indemnity by the Company relating to the matters covered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provided out of and to the extent of Company assets only and no Member (unless such Member otherwise agrees in writing or is found in a final decision by a court of competent jurisdiction to have personal liability on account thereof) shall have personal liability on account thereof or shall be required to make additional capital contributions or otherwise provide funding to help satisfy such indemnity of the Company.</w:t>
      </w:r>
    </w:p>
    <w:p>
      <w:pPr>
        <w:spacing w:after="0" w:line="180" w:lineRule="exact"/>
        <w:rPr>
          <w:rFonts w:ascii="Times New Roman" w:cs="Times New Roman" w:eastAsia="Times New Roman" w:hAnsi="Times New Roman"/>
          <w:sz w:val="18"/>
          <w:szCs w:val="18"/>
          <w:color w:val="auto"/>
        </w:rPr>
      </w:pPr>
    </w:p>
    <w:p>
      <w:pPr>
        <w:jc w:val="both"/>
        <w:ind w:firstLine="1505"/>
        <w:spacing w:after="0" w:line="239" w:lineRule="auto"/>
        <w:tabs>
          <w:tab w:leader="none" w:pos="185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certain of its Members (the “</w:t>
      </w:r>
      <w:r>
        <w:rPr>
          <w:rFonts w:ascii="Times New Roman" w:cs="Times New Roman" w:eastAsia="Times New Roman" w:hAnsi="Times New Roman"/>
          <w:sz w:val="18"/>
          <w:szCs w:val="18"/>
          <w:b w:val="1"/>
          <w:bCs w:val="1"/>
          <w:color w:val="auto"/>
        </w:rPr>
        <w:t>Fund Indemnitees</w:t>
      </w:r>
      <w:r>
        <w:rPr>
          <w:rFonts w:ascii="Times New Roman" w:cs="Times New Roman" w:eastAsia="Times New Roman" w:hAnsi="Times New Roman"/>
          <w:sz w:val="18"/>
          <w:szCs w:val="18"/>
          <w:color w:val="auto"/>
        </w:rPr>
        <w:t>”) may have rights to indemnification, advancement of expenses and/or insurance in connection with their involvement with the Company provided by other Persons (collectively,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Indemnitors</w:t>
      </w:r>
      <w:r>
        <w:rPr>
          <w:rFonts w:ascii="Times New Roman" w:cs="Times New Roman" w:eastAsia="Times New Roman" w:hAnsi="Times New Roman"/>
          <w:sz w:val="18"/>
          <w:szCs w:val="18"/>
          <w:color w:val="auto"/>
        </w:rPr>
        <w:t>”). The Company hereby agrees (i) that it is the indemnitor of first resort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its obligations to the Fund Indemnitee are primary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the Fund Indemnitors to advance expenses or to provide indemnification for the same expenses or liabilities incurred by the Fund Indemnitees are secondary), and (ii) that it irrevocably waives, relinquishes and releases the Fund Indemnitors from any and all claims against the Fund Indemnitors for contribution, subrogation or any other recovery of any kind in respect thereof to the fullest extent permitted by law. The Company further agrees that no advancement or payment by the Fund Indemnitors on behalf of the Fund Indemnitees with respect to any claim for which the Fund Indemnitees have sought indemnification from the Company shall affect the foregoing and the Fund Indemnitors shall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9" w:name="page320"/>
    <w:bookmarkEnd w:id="319"/>
    <w:p>
      <w:pPr>
        <w:spacing w:after="0" w:line="266" w:lineRule="auto"/>
        <w:rPr>
          <w:sz w:val="20"/>
          <w:szCs w:val="20"/>
          <w:color w:val="auto"/>
        </w:rPr>
      </w:pPr>
      <w:r>
        <w:rPr>
          <w:rFonts w:ascii="Times New Roman" w:cs="Times New Roman" w:eastAsia="Times New Roman" w:hAnsi="Times New Roman"/>
          <w:sz w:val="18"/>
          <w:szCs w:val="18"/>
          <w:color w:val="auto"/>
        </w:rPr>
        <w:t>have a right of contribution and/or be subrogated to the extent of such advancement or payment to all of the rights of recovery of the Fund Indemnitees against the Company.</w:t>
      </w:r>
    </w:p>
    <w:p>
      <w:pPr>
        <w:spacing w:after="0" w:line="162" w:lineRule="exact"/>
        <w:rPr>
          <w:sz w:val="20"/>
          <w:szCs w:val="20"/>
          <w:color w:val="auto"/>
        </w:rPr>
      </w:pPr>
    </w:p>
    <w:p>
      <w:pPr>
        <w:jc w:val="both"/>
        <w:ind w:firstLine="1505"/>
        <w:spacing w:after="0" w:line="250" w:lineRule="auto"/>
        <w:tabs>
          <w:tab w:leader="none" w:pos="185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any portion hereof shall be invalidated on any ground by any court of competent jurisdiction, then the Company shall nevertheless indemnify and hold harmless each Indemnified Person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to the fullest extent permitted by any applicable portion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that shall not have been invalidated and to the fullest extent permitted by applicable law.</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RECORDS, ACCOUNTING AND REPORTS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Records and Accounting.</w:t>
      </w:r>
      <w:r>
        <w:rPr>
          <w:rFonts w:ascii="Times New Roman" w:cs="Times New Roman" w:eastAsia="Times New Roman" w:hAnsi="Times New Roman"/>
          <w:sz w:val="18"/>
          <w:szCs w:val="18"/>
          <w:color w:val="auto"/>
        </w:rPr>
        <w:t xml:space="preserve"> The Company shall keep, or cause to be kept, appropriate books and records with respect to the Company’s business, including all books and records necessary to provide any information, lists and copies of documents required to be provided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or pursuant to applicable laws. All matters concerning (i) the determination of the relative amount of allocations and distributions among the Members pursuant to Article III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(ii) accounting procedures and determinations, and other determinations not specifically and expressly provided for by the terms of this Agreement, shall be determined by the Managing Member, whose determination shall be final and conclusive as to all of the Members absent manifest clerical error.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Company shall be such annual accounting period as is established by the Managing Member from time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19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The Company shall use commercially reasonable efforts to deliver or cause to be delivered, as soon as practicable following the completion of each Taxable Year, but in all events no later than ninety (90) days (except that in the case of Schedule K-1, no later than ninety (90) days for an estimate of the information to be included in Schedule K-1 and no later than one hundred and twenty (120) days for Schedule K-1) after the end of each Taxable Year, to each Person who was a holder of Units at any time during such Taxable Year all information from the Company necessary for the preparation of such Person’s United States federal and state income tax returns. Except as set forth in the immediately preceding sentence or any separate written agreement between the Company and any Member, pursuant to Section 17704.10 of the California Act, no Member shall have the right to any other information from the Company, except as may be required by any non-waivable provision of law.</w:t>
      </w:r>
    </w:p>
    <w:p>
      <w:pPr>
        <w:spacing w:after="0" w:line="18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Transmission of Communications</w:t>
      </w:r>
      <w:r>
        <w:rPr>
          <w:rFonts w:ascii="Times New Roman" w:cs="Times New Roman" w:eastAsia="Times New Roman" w:hAnsi="Times New Roman"/>
          <w:sz w:val="18"/>
          <w:szCs w:val="18"/>
          <w:color w:val="auto"/>
        </w:rPr>
        <w:t>. Each Person that owns or controls Units on behalf of, or for the benefit of, another Person or Persons shall be responsible for conveying any report, notice or other communication received from the Company to such other Person or Persons.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tabs>
          <w:tab w:leader="none" w:pos="185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to the fullest extent permitted by law,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184" w:lineRule="exact"/>
        <w:rPr>
          <w:rFonts w:ascii="Times New Roman" w:cs="Times New Roman" w:eastAsia="Times New Roman" w:hAnsi="Times New Roman"/>
          <w:sz w:val="18"/>
          <w:szCs w:val="18"/>
          <w:color w:val="auto"/>
        </w:rPr>
      </w:pPr>
    </w:p>
    <w:p>
      <w:pPr>
        <w:jc w:val="both"/>
        <w:ind w:firstLine="1505"/>
        <w:spacing w:after="0" w:line="242" w:lineRule="auto"/>
        <w:tabs>
          <w:tab w:leader="none" w:pos="185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agrees, for so long as such Member owns any Units and for a period of two (2) years following the date upon which such Member ceases to own any Units, to keep confidential, any non-public information provided to such Member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will limit the disclosure of any information (i) to the extent required by law, statute, rule, regulation, judicial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subpoena or court order or required by any governmental agency or other regulatory authority; (ii) that is in the public domain or becomes generally available to the public, in each case, other than as a result of the disclosure by the parties in violation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0" w:name="page321"/>
    <w:bookmarkEnd w:id="320"/>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of this Agreement; or (iii) to a Member’s Permitted Transferees, advisors, representatives and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advisors, representatives and Affiliates shall have been advised of this agreement and shall have expressly agreed to be bound by the confidentiality provisions hereof, or shall otherwise be bound by comparable obligations of confidentiality, and the applicable Member shall be responsible for any breach of or failure to comply with this agreement by any of its Affiliates and such Member agrees, at its sole expense, to take reasonable measures (including but not limited to court proceedings) to restrain its advisors, representatives and Affiliates from prohibited or unauthorized disclosure or use of any confidential information.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1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Preparation of Tax Returns</w:t>
      </w:r>
      <w:r>
        <w:rPr>
          <w:rFonts w:ascii="Times New Roman" w:cs="Times New Roman" w:eastAsia="Times New Roman" w:hAnsi="Times New Roman"/>
          <w:sz w:val="18"/>
          <w:szCs w:val="18"/>
          <w:color w:val="auto"/>
        </w:rPr>
        <w:t>. The Company shall arrange for the preparation and timely filing of all tax returns required to be filed by the Company. The Managing Member shall determine the accounting methods and conventions under the tax laws of the United States, the several states and other relevant jurisdictions as to the treatment of items of income, gain, deduction, loss and credit or any other method or procedure related to the preparation of such tax returns. Each Member will, upon request, supply to the Company all reasonably accessible, pertinent information in its possession relating to the operations of the Company necessary to enable the Company’s tax returns to be prepared and filed. Each Member agrees in respect of any year in which such Member had an investment in the Company that, unless otherwise agreed by the Managing Member or as required by law, such Member shall not: (i) treat, on its individual tax returns, any item of income, gain, loss, deduction or credit relating to such investment in a manner inconsistent with the treatment of such item by the Company, as reflected on the Schedule K-1 or other information statement furnished by the Company to such Member; or (ii) file any claim for refund relating to any such item based on, or which would result in, any such inconsistent treatment.</w:t>
      </w:r>
    </w:p>
    <w:p>
      <w:pPr>
        <w:spacing w:after="0" w:line="19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Tax Elections</w:t>
      </w:r>
      <w:r>
        <w:rPr>
          <w:rFonts w:ascii="Times New Roman" w:cs="Times New Roman" w:eastAsia="Times New Roman" w:hAnsi="Times New Roman"/>
          <w:sz w:val="18"/>
          <w:szCs w:val="18"/>
          <w:color w:val="auto"/>
        </w:rPr>
        <w:t xml:space="preserve">. The Taxable Year of the Company shall be the calendar year unless otherwise required by the Code or applicable tax laws. The Managing Member shall cause the Company to have in effect (and to cause each direct or indirect subsidiary that is treated as a partnership for U.S. federal income tax purposes to have in effect) an election pursuant to Section 754 of the Code, to adjust the tax basis of Company properties, for the taxable year that includes the date of the initial public offering of shares of Class A Common Stock and for each taxable year in which an Exchange occurs. The Managing Member shall determine whether to make or revoke any other available election or decision relating to tax matters, including controversy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pursuant to the Code. Each Member will upon request supply any information necessary to give proper effect to any such election.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Tax Controversies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tabs>
          <w:tab w:leader="none" w:pos="185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tax periods ending after December 31, 2017, the Managing Member (or its permitted designee) is hereby designated the “partnership representative” of the Company for purposes of, and in accordance with, Section 6223 of the Code (and any analogous provision of state or local tax law) (the “</w:t>
      </w:r>
      <w:r>
        <w:rPr>
          <w:rFonts w:ascii="Times New Roman" w:cs="Times New Roman" w:eastAsia="Times New Roman" w:hAnsi="Times New Roman"/>
          <w:sz w:val="18"/>
          <w:szCs w:val="18"/>
          <w:b w:val="1"/>
          <w:bCs w:val="1"/>
          <w:color w:val="auto"/>
        </w:rPr>
        <w:t>Partnership Representative</w:t>
      </w:r>
      <w:r>
        <w:rPr>
          <w:rFonts w:ascii="Times New Roman" w:cs="Times New Roman" w:eastAsia="Times New Roman" w:hAnsi="Times New Roman"/>
          <w:sz w:val="18"/>
          <w:szCs w:val="18"/>
          <w:color w:val="auto"/>
        </w:rPr>
        <w:t>”). With respect to tax periods ending on or prior to December 31, 2017, the Managing Member (or its permitted designee) shall act as the “tax matters partner” within the meaning of Section 6231(a)(7) of the Code (and any analogous provision of state or local tax law) as in effect during such tax period (the “</w:t>
      </w:r>
      <w:r>
        <w:rPr>
          <w:rFonts w:ascii="Times New Roman" w:cs="Times New Roman" w:eastAsia="Times New Roman" w:hAnsi="Times New Roman"/>
          <w:sz w:val="18"/>
          <w:szCs w:val="18"/>
          <w:b w:val="1"/>
          <w:bCs w:val="1"/>
          <w:color w:val="auto"/>
        </w:rPr>
        <w:t>Tax Matters Member</w:t>
      </w:r>
      <w:r>
        <w:rPr>
          <w:rFonts w:ascii="Times New Roman" w:cs="Times New Roman" w:eastAsia="Times New Roman" w:hAnsi="Times New Roman"/>
          <w:sz w:val="18"/>
          <w:szCs w:val="18"/>
          <w:color w:val="auto"/>
        </w:rPr>
        <w:t>”). For each tax period in which the Partnership Representative is an entity, the Company shall appoint an individual identified by the Partnership Representative for such tax period to act on its behalf (the “</w:t>
      </w:r>
      <w:r>
        <w:rPr>
          <w:rFonts w:ascii="Times New Roman" w:cs="Times New Roman" w:eastAsia="Times New Roman" w:hAnsi="Times New Roman"/>
          <w:sz w:val="18"/>
          <w:szCs w:val="18"/>
          <w:b w:val="1"/>
          <w:bCs w:val="1"/>
          <w:color w:val="auto"/>
        </w:rPr>
        <w:t>Designated Individual</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505"/>
        <w:spacing w:after="0" w:line="239" w:lineRule="auto"/>
        <w:tabs>
          <w:tab w:leader="none" w:pos="185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Representative, the Tax Matters Member, or the Designated Individual, as applicable, is authorized and required to represent the Company (at the Company’s expense) in connection with all tax audits, litigations, contests, examinations, controversies and other similar proceedings of the Company’s affairs by tax authorities, including resulting administrative and judicial proceedings, and to expend Company funds for professional services reasonably incurred in connection therewith. Each holder of Units agrees to cooperate with the Company and to do or refrain from doing any or all things reasonably requested by the Company with respect to the conduct of such proceedings. Nothing herein shall be construed to restrict the Partnership Representative, the Tax Matters Member, or the Designated Individual from engaging lawyers, accountants, tax advisers, or other professional advisers or experts to assist the Partnership Representative, the Tax Matters Member or the Designated Individual in discharging its duties hereunder. None of the Partnership Representative, the Tax Matters Member or Designated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1" w:name="page322"/>
    <w:bookmarkEnd w:id="321"/>
    <w:p>
      <w:pPr>
        <w:jc w:val="both"/>
        <w:spacing w:after="0" w:line="245" w:lineRule="auto"/>
        <w:rPr>
          <w:sz w:val="20"/>
          <w:szCs w:val="20"/>
          <w:color w:val="auto"/>
        </w:rPr>
      </w:pPr>
      <w:r>
        <w:rPr>
          <w:rFonts w:ascii="Times New Roman" w:cs="Times New Roman" w:eastAsia="Times New Roman" w:hAnsi="Times New Roman"/>
          <w:sz w:val="18"/>
          <w:szCs w:val="18"/>
          <w:color w:val="auto"/>
        </w:rPr>
        <w:t>Individual shall be liable to the Company, any Member or any Affiliate thereof for any costs or losses to any Persons, any diminution in value or any liability whatsoever arising as a result of the performance of its duties pursuant to this Section 8.3 absent (i) willful breach of any provision of this Section 8.3 or (ii) bad faith, fraud, gross negligence or willful misconduct on the part of the Partnership Representative, the Tax Matters Member or Designated Individual, as applicable.</w:t>
      </w:r>
    </w:p>
    <w:p>
      <w:pPr>
        <w:spacing w:after="0" w:line="181" w:lineRule="exact"/>
        <w:rPr>
          <w:sz w:val="20"/>
          <w:szCs w:val="20"/>
          <w:color w:val="auto"/>
        </w:rPr>
      </w:pPr>
    </w:p>
    <w:p>
      <w:pPr>
        <w:jc w:val="both"/>
        <w:ind w:firstLine="1505"/>
        <w:spacing w:after="0" w:line="237" w:lineRule="auto"/>
        <w:tabs>
          <w:tab w:leader="none" w:pos="185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Representative, Tax Matters Member, or Designated Individual, as applicable, shall keep the Managing Member fully informed of the progress of any examinations, audits or other proceedings, it being agreed that no holder of Units (other than the Managing Member (or its permitted designee), in its capacity as Partnership Representative, Tax Matters Member or Designated Individual) shall have any right to participate in any such examinations, audits or other proceedings. Each Member hereby agrees to (i) take such actions as may be required to effect the designation of the Managing Member (or its designee) as the Partnership Representative, Tax Matters Member, or Designated Individual, (ii) to cooperate to provide any information or take such other actions as may be reasonably requested by the Partnership Representative in order to determine whether any Imputed Underpayment Amount may be modified pursuant to Section 6225(c) of the Code, and (iii) in the event the Company makes an election under Section 6226 of the Code (and any analogous provision of state or local tax law), to take such actions as may be necessary or desirable to allow the Company to comply with the requirements of such election so that any “partnership adjustments” (as defined in Section 6241(2) of the Code) are taken into account by the Members and former Members rather than the Company. Notwithstanding the foregoing, the Partnership Representative, the Tax Matters Member, and the Designated Individual shall be subject to the control of the Managing Member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shall not settle or otherwise compromise any issue in any such examination, audit or other proceeding without first obtaining approval of the Managing Member.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TRANSFER OF UNITS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Transfers of Units.</w:t>
      </w:r>
    </w:p>
    <w:p>
      <w:pPr>
        <w:spacing w:after="0" w:line="212" w:lineRule="exact"/>
        <w:rPr>
          <w:sz w:val="20"/>
          <w:szCs w:val="20"/>
          <w:color w:val="auto"/>
        </w:rPr>
      </w:pPr>
    </w:p>
    <w:p>
      <w:pPr>
        <w:jc w:val="both"/>
        <w:ind w:firstLine="1505"/>
        <w:spacing w:after="0" w:line="241" w:lineRule="auto"/>
        <w:tabs>
          <w:tab w:leader="none" w:pos="185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agreed to in writing between the Managing Member and the applicable Member and reflected in the books and records of the Company or as otherwise provided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no holder of Units may sell, transfer, assign, pledge, encumber, distribute, contribute or otherwise dispose of (whether directly or indirectly (including, for the avoidance of doubt, by Transfer or issuance of any Capital Stock of any Member that is not a natural person), whether with or without consideration and whether voluntarily or involuntarily or by operation of law) any interest (legal or beneficial) in any Units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except Exchanges pursuant to and in accordance with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or Transfers pursuant to and in accordance with </w:t>
      </w:r>
      <w:r>
        <w:rPr>
          <w:rFonts w:ascii="Times New Roman" w:cs="Times New Roman" w:eastAsia="Times New Roman" w:hAnsi="Times New Roman"/>
          <w:sz w:val="18"/>
          <w:szCs w:val="18"/>
          <w:u w:val="single" w:color="auto"/>
          <w:color w:val="auto"/>
        </w:rPr>
        <w:t>Sections 9.1(b)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505"/>
        <w:spacing w:after="0" w:line="237" w:lineRule="auto"/>
        <w:tabs>
          <w:tab w:leader="none" w:pos="185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contained in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xml:space="preserve"> shall not apply, subject to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to any Transfer of Units (i) by any Member to its Affiliates, (ii) by any Member to a trust (whether revocable or irrevocable) solely for the benefit of such Person and such Person’s Family Group (or a re-Transfer of such Units by such trust back to such Member upon the revocation of any such trust) or pursuant to the applicable laws of descent or distribution among such Person’s Family Group, (iii) by any Member to such Person’s Family Group or (iv) from a Continuing Member to another Continuing Member or (v) pursuant to the Exchange Agreements (each of clauses (i), (ii), (iii), (iv) and (v), an “</w:t>
      </w:r>
      <w:r>
        <w:rPr>
          <w:rFonts w:ascii="Times New Roman" w:cs="Times New Roman" w:eastAsia="Times New Roman" w:hAnsi="Times New Roman"/>
          <w:sz w:val="18"/>
          <w:szCs w:val="18"/>
          <w:b w:val="1"/>
          <w:bCs w:val="1"/>
          <w:color w:val="auto"/>
        </w:rPr>
        <w:t>Exempt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restrictions contained in this Agreement will continue to apply to the Units after any Transfer pursuant to clause (i) or (ii) above and each transferee of Units shall agree in writing, prior to and as a condition precedent to the effectiveness of such Transfer, to be bound by the provisions of this Agreement, without modification or condition, subject only to the consummation of such Transfer. Upon the Transfer of Units pursuant to clause (i) or (ii) of the first sentence of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the transferor will deliver written notice to the Company, which notice will disclose in reasonable detail the identity of such transferee(s) and shall include original counterparts of this Agreement in a form acceptable to the Company. Notwithstanding the foregoing, no party hereto shall avoid the provisions of this Agreement by making one or more Transfers to one or more transferees permitted under clause (i) of the first sentence of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and then disposing of all or any portion of such party’s interest in such transferee if such disposition would result in such transferee ceasing to be a Permitted Transferee.</w:t>
      </w:r>
    </w:p>
    <w:p>
      <w:pPr>
        <w:spacing w:after="0" w:line="19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as a condition to any Transfer: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2" w:name="page323"/>
    <w:bookmarkEnd w:id="322"/>
    <w:p>
      <w:pPr>
        <w:jc w:val="both"/>
        <w:ind w:left="760" w:firstLine="1494"/>
        <w:spacing w:after="0" w:line="242" w:lineRule="auto"/>
        <w:tabs>
          <w:tab w:leader="none" w:pos="261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transferor of Units who proposes to transfer such Units (or if such transferor is a disregarded entity for U.S. federal income tax purposes, the first direct or indirect beneficial owner of such transferor that is not a disregarded entity (the “</w:t>
      </w:r>
      <w:r>
        <w:rPr>
          <w:rFonts w:ascii="Times New Roman" w:cs="Times New Roman" w:eastAsia="Times New Roman" w:hAnsi="Times New Roman"/>
          <w:sz w:val="18"/>
          <w:szCs w:val="18"/>
          <w:b w:val="1"/>
          <w:bCs w:val="1"/>
          <w:color w:val="auto"/>
        </w:rPr>
        <w:t>Transferor’s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is a “United States person” as defined in Section 7701(a)(30) of the Code, then such transferor (or Transferor’s Owner,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complete and provide to both of the transferee and the Company, a valid Non-Foreign Person Certificate, including the transferor’s (or Transferor’s Owner’s, if applicable) United States taxpayer identification number, or</w:t>
      </w:r>
    </w:p>
    <w:p>
      <w:pPr>
        <w:spacing w:after="0" w:line="184" w:lineRule="exact"/>
        <w:rPr>
          <w:rFonts w:ascii="Times New Roman" w:cs="Times New Roman" w:eastAsia="Times New Roman" w:hAnsi="Times New Roman"/>
          <w:sz w:val="18"/>
          <w:szCs w:val="18"/>
          <w:color w:val="auto"/>
        </w:rPr>
      </w:pPr>
    </w:p>
    <w:p>
      <w:pPr>
        <w:jc w:val="both"/>
        <w:ind w:left="760" w:firstLine="1494"/>
        <w:spacing w:after="0" w:line="242" w:lineRule="auto"/>
        <w:tabs>
          <w:tab w:leader="none" w:pos="261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transferor of Units who proposes to transfer such Units (or if such transferor is a disregarded entity for U.S. federal income tax purposes, the Transferor’s Owner) is not a “United States person” as defined in Section 7701(a)(30) of the Code, then such transferor and transferee shall jointly provide to the Company written proof reasonably satisfactory to the Managing Member that any applicable withholding tax that may be imposed on such transfer (including pursuant to Sections 864 and 1446 of the Code) and any related tax returns or forms that are required to be filed, have been, or will be, timely paid and filed, as applicable.</w:t>
      </w:r>
    </w:p>
    <w:p>
      <w:pPr>
        <w:spacing w:after="0" w:line="185" w:lineRule="exact"/>
        <w:rPr>
          <w:sz w:val="20"/>
          <w:szCs w:val="20"/>
          <w:color w:val="auto"/>
        </w:rPr>
      </w:pPr>
    </w:p>
    <w:p>
      <w:pPr>
        <w:jc w:val="both"/>
        <w:ind w:firstLine="1505"/>
        <w:spacing w:after="0" w:line="250" w:lineRule="auto"/>
        <w:tabs>
          <w:tab w:leader="none" w:pos="185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it shall be a condition precedent to any Transfer of any Class A Common Unit held by a Member other than PubCo that, concurrently with such Transfer such transferring Member shall also Transfer to the transferee the shares of Paired Voting Stock corresponding to such Transferred Class A Common Units.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Restricted Units Legend</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42" w:lineRule="auto"/>
        <w:tabs>
          <w:tab w:leader="none" w:pos="185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have not been registered under the Securities Act and, therefore, in addition to the other restrictions on Transfer contained in this Agreement, cannot be sold unless subsequently registered under the Securities Act or an exemption from such registration is then available. To the extent such Units have been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185" w:lineRule="exact"/>
        <w:rPr>
          <w:sz w:val="20"/>
          <w:szCs w:val="20"/>
          <w:color w:val="auto"/>
        </w:rPr>
      </w:pPr>
    </w:p>
    <w:p>
      <w:pPr>
        <w:jc w:val="both"/>
        <w:ind w:left="760" w:right="760"/>
        <w:spacing w:after="0" w:line="241"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“ACT”), OR ANY STATE SECURITIES OR BLUE SKY LAWS AND MAY NOT BE OFFERED, SOLD, TRANSFERRED, HYPOTHECATED OR OTHERWISE ASSIGNED EXCEPT (1) PURSUANT TO A REGISTRATION STATEMENT WITH RESPECT TO SUCH SECURITIES WHICH IS EFFECTIVE UNDER THE ACT OR (2) PURSUANT TO AN AVAILABLE EXEMPTION FROM REGISTRATION UNDER THE ACT RELATING TO THE DISPOSITION OF SECURITIES AND (3) IN ACCORDANCE WITH APPLICABLE STATE SECURITIES AND BLUE SKY LAWS.</w:t>
      </w:r>
    </w:p>
    <w:p>
      <w:pPr>
        <w:spacing w:after="0" w:line="184" w:lineRule="exact"/>
        <w:rPr>
          <w:sz w:val="20"/>
          <w:szCs w:val="20"/>
          <w:color w:val="auto"/>
        </w:rPr>
      </w:pPr>
    </w:p>
    <w:p>
      <w:pPr>
        <w:jc w:val="both"/>
        <w:ind w:left="760" w:right="760"/>
        <w:spacing w:after="0"/>
        <w:rPr>
          <w:sz w:val="20"/>
          <w:szCs w:val="20"/>
          <w:color w:val="auto"/>
        </w:rPr>
      </w:pPr>
      <w:r>
        <w:rPr>
          <w:rFonts w:ascii="Times New Roman" w:cs="Times New Roman" w:eastAsia="Times New Roman" w:hAnsi="Times New Roman"/>
          <w:sz w:val="18"/>
          <w:szCs w:val="18"/>
          <w:color w:val="auto"/>
        </w:rPr>
        <w:t>THE SECURITIES REPRESENTED BY THIS CERTIFICATE ARE ALSO SUBJECT TO ADDITIONAL RESTRICTIONS ON TRANSFER SPECIFIED IN THE AMENDED AND RESTATED LIMITED LIABILITY COMPANY AGREEMENT OF THE ISSUER OF SUCH SECURITIES, AS SUCH AGREEMENT MAY BE AMENDED, MODIFIED OR RESTATED FROM TIME TO TIME, AND THE ISSUER RESERVES THE RIGHT TO REFUSE THE TRANSFER OF SUCH SECURITIES UNTIL SUCH TRANSFER RESTRICTIONS HAVE BEEN FULFILLED. A COPY OF SUCH AMENDED AND RESTATED LIMITED LIABILITY COMPANY AGREEMENT SHALL BE FURNISHED BY THE ISSUER TO THE HOLDER HEREOF UPON WRITTEN REQUEST AND WITHOUT CHARGE.”</w:t>
      </w:r>
    </w:p>
    <w:p>
      <w:pPr>
        <w:spacing w:after="0" w:line="18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will imprint such legend on certificates (if any) evidencing Units. The legend set forth above will be removed from the certificates (if any) evidencing any units which cease to be Units in accordance with the definition thereof.</w:t>
      </w:r>
    </w:p>
    <w:p>
      <w:pPr>
        <w:spacing w:after="0" w:line="162" w:lineRule="exact"/>
        <w:rPr>
          <w:sz w:val="20"/>
          <w:szCs w:val="20"/>
          <w:color w:val="auto"/>
        </w:rPr>
      </w:pPr>
    </w:p>
    <w:p>
      <w:pPr>
        <w:jc w:val="both"/>
        <w:ind w:right="20" w:firstLine="1505"/>
        <w:spacing w:after="0" w:line="250" w:lineRule="auto"/>
        <w:tabs>
          <w:tab w:leader="none" w:pos="185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of any Units, the holder thereof shall deliver written notice to the Company describing in reasonable detail the Transfer or proposed Transfer, which shall, if so requested by the Managing Member, be accompanied by (i) an opinion of counsel which (to the Company’s reasonable satisfaction) is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3" w:name="page324"/>
    <w:bookmarkEnd w:id="323"/>
    <w:p>
      <w:pPr>
        <w:jc w:val="both"/>
        <w:spacing w:after="0"/>
        <w:rPr>
          <w:sz w:val="20"/>
          <w:szCs w:val="20"/>
          <w:color w:val="auto"/>
        </w:rPr>
      </w:pPr>
      <w:r>
        <w:rPr>
          <w:rFonts w:ascii="Times New Roman" w:cs="Times New Roman" w:eastAsia="Times New Roman" w:hAnsi="Times New Roman"/>
          <w:sz w:val="18"/>
          <w:szCs w:val="18"/>
          <w:color w:val="auto"/>
        </w:rPr>
        <w:t xml:space="preserve">knowledgeable in securities law matters to the effect that such Transfer of Units may be effected without registration of such Units under the Securities Act or (ii) such other evidence reasonably satisfactory to the Managing Member to the effect that such Transfer of Units may be effected without registration of such Units under the Securities Act. In addition, if the holder of the Units delivers to the Company an opinion of such counsel that no subsequent Transfer of such Units shall require registration under the Securities Act, the Company shall promptly upon such contemplated Transfer deliver new certificates for such securities (if then certificated) which do not bear the Securities Act legend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If the Company is not required to deliver new certificates for such Units not bearing such legend, the holder thereof shall not effect any Transfer of the same until the prospective transferee has confirmed to the Company in writing its agreement to be bound by the conditions contained in this Agreement.</w:t>
      </w:r>
    </w:p>
    <w:p>
      <w:pPr>
        <w:spacing w:after="0" w:line="185" w:lineRule="exact"/>
        <w:rPr>
          <w:sz w:val="20"/>
          <w:szCs w:val="20"/>
          <w:color w:val="auto"/>
        </w:rPr>
      </w:pPr>
    </w:p>
    <w:p>
      <w:pPr>
        <w:jc w:val="both"/>
        <w:ind w:firstLine="1505"/>
        <w:spacing w:after="0" w:line="250" w:lineRule="auto"/>
        <w:tabs>
          <w:tab w:leader="none" w:pos="185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any Member, the Company will promptly supply to such Member or its prospective transferees all information regarding the Company required to be delivered in connection with a Transfer pursuant to Rule 144 of the Securities and Exchange Commission.</w:t>
      </w:r>
    </w:p>
    <w:p>
      <w:pPr>
        <w:spacing w:after="0" w:line="176" w:lineRule="exact"/>
        <w:rPr>
          <w:rFonts w:ascii="Times New Roman" w:cs="Times New Roman" w:eastAsia="Times New Roman" w:hAnsi="Times New Roman"/>
          <w:sz w:val="18"/>
          <w:szCs w:val="18"/>
          <w:color w:val="auto"/>
        </w:rPr>
      </w:pPr>
    </w:p>
    <w:p>
      <w:pPr>
        <w:jc w:val="both"/>
        <w:ind w:firstLine="1505"/>
        <w:spacing w:after="0" w:line="250" w:lineRule="auto"/>
        <w:tabs>
          <w:tab w:leader="none" w:pos="185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Units become eligible for sale pursuant to Rule 144 of the Securities and Exchange Commission or no longer constitute “restricted securities” (as defined under Rule 144(a) of the Securities and Exchange Commission), the Company shall, upon the request of the holder of such Units, remove the Securities Act legend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above from the certificates (if any) for such securities.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Assignee’s Rights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42" w:lineRule="auto"/>
        <w:tabs>
          <w:tab w:leader="none" w:pos="185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a Transfer of Units in a manner in accordance with this Agreement shall be effective as of the date of assignment and compliance with the conditions to such Transfer and such Transfer shall be shown on the books and records of the Company. Income, loss and other Company items shall be allocated between the transferor and the Assignee according to Code Section 706 as determined by the Managing Member. Distributions made before the effective date of such Transfer shall be paid to the transferor, and Distributions made after such date shall be paid to the Assignee.</w:t>
      </w:r>
    </w:p>
    <w:p>
      <w:pPr>
        <w:spacing w:after="0" w:line="184" w:lineRule="exact"/>
        <w:rPr>
          <w:rFonts w:ascii="Times New Roman" w:cs="Times New Roman" w:eastAsia="Times New Roman" w:hAnsi="Times New Roman"/>
          <w:sz w:val="18"/>
          <w:szCs w:val="18"/>
          <w:color w:val="auto"/>
        </w:rPr>
      </w:pPr>
    </w:p>
    <w:p>
      <w:pPr>
        <w:jc w:val="both"/>
        <w:ind w:firstLine="1505"/>
        <w:spacing w:after="0" w:line="242" w:lineRule="auto"/>
        <w:tabs>
          <w:tab w:leader="none" w:pos="185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and until an Assignee becomes a Member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Assignee shall not be entitled to any of the rights granted to a Member hereunder or under applicable law, other than the rights granted specifically to Assignees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relieving the transferring Member from any such limitations or obligations as more fully described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such Assignee shall be bound by any limitations and obligations of a Member contained herein that a Member would be bound on account of such Units (including the obligation to make Capital Contributions on account of such Units).</w:t>
      </w:r>
    </w:p>
    <w:p>
      <w:pPr>
        <w:spacing w:after="0" w:line="18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Assignor’s Rights and Obligations</w:t>
      </w:r>
      <w:r>
        <w:rPr>
          <w:rFonts w:ascii="Times New Roman" w:cs="Times New Roman" w:eastAsia="Times New Roman" w:hAnsi="Times New Roman"/>
          <w:sz w:val="18"/>
          <w:szCs w:val="18"/>
          <w:color w:val="auto"/>
        </w:rPr>
        <w:t xml:space="preserve">. Any Member who shall Transfer any Units in a manner in accordance with this Agreement shall cease to be a Member with respect to such Units or such other interest and shall no longer have any rights, powers or privileges, or, except as set forth in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duties, liabilities or obligations, of a Member with respect to such Units or such other interest (it being understood, however, that the applicable provisions of </w:t>
      </w:r>
      <w:r>
        <w:rPr>
          <w:rFonts w:ascii="Times New Roman" w:cs="Times New Roman" w:eastAsia="Times New Roman" w:hAnsi="Times New Roman"/>
          <w:sz w:val="18"/>
          <w:szCs w:val="18"/>
          <w:u w:val="single" w:color="auto"/>
          <w:color w:val="auto"/>
        </w:rPr>
        <w:t>Sections 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shall continue to inure to such Person’s benefit), except that unless and until the Assignee is admitted as a substituted Member in accordance with the provisions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Admission Date</w:t>
      </w:r>
      <w:r>
        <w:rPr>
          <w:rFonts w:ascii="Times New Roman" w:cs="Times New Roman" w:eastAsia="Times New Roman" w:hAnsi="Times New Roman"/>
          <w:sz w:val="18"/>
          <w:szCs w:val="18"/>
          <w:color w:val="auto"/>
        </w:rPr>
        <w:t xml:space="preserve">”), (i) such assigning Member shall retain all of the duties, liabilities and obligations of a Member with respect to such Units or other interest, including, without limitation, the obligation (together with its Assignee pursuant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to make and return Capital Contributions on account of such Units or other interest pursuant to the terms of this Agreement and (ii) the Managing Member may reinstate all or any portion of the rights and privileges of such Member with respect to such Units or other interest for any period of time prior to the Admission Date. Nothing contained herein shall relieve any Member who Transfers any Units or other interest in the Company from any liability of such Member to the Company with respect to such Units that may exist on the Admission Date or that is otherwise specified in the California Act and incorporated into this Agreement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4" w:name="page325"/>
    <w:bookmarkEnd w:id="324"/>
    <w:p>
      <w:pPr>
        <w:ind w:left="76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Further Restrictions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41" w:lineRule="auto"/>
        <w:tabs>
          <w:tab w:leader="none" w:pos="185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in this Agreement, the Managing Member may impose such vesting requirements, forfeiture provisions, Transfer restrictions, minimum retained ownership requirements or other similar provisions with respect to any Units that are outstanding as of the date of this Agreement or are created thereafter, only with the written consent of the holder of such Units. Such requirements, provisions and restrictions need not be uniform and may be waived or released by the Managing Member in its sole discretion with respect to all or a portion of the Units owned by any one or more Members at any time and from time to time, and shall not, to the fullest extent permitted by law, constitute the breach of any duty hereunder or otherwise existing at law, in equity or otherwise.</w:t>
      </w:r>
    </w:p>
    <w:p>
      <w:pPr>
        <w:spacing w:after="0" w:line="183" w:lineRule="exact"/>
        <w:rPr>
          <w:rFonts w:ascii="Times New Roman" w:cs="Times New Roman" w:eastAsia="Times New Roman" w:hAnsi="Times New Roman"/>
          <w:sz w:val="18"/>
          <w:szCs w:val="18"/>
          <w:color w:val="auto"/>
        </w:rPr>
      </w:pPr>
    </w:p>
    <w:p>
      <w:pPr>
        <w:ind w:right="20" w:firstLine="1505"/>
        <w:spacing w:after="0" w:line="266" w:lineRule="auto"/>
        <w:tabs>
          <w:tab w:leader="none" w:pos="185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contrary provision in this Agreement, in no event may any Transfer of Units be made by any Member or Assignee if the Managing Member determines in good faith that:</w:t>
      </w:r>
    </w:p>
    <w:p>
      <w:pPr>
        <w:spacing w:after="0" w:line="162"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is made to any Person who lacks the legal right, power or capacity to own such Units;</w:t>
      </w:r>
    </w:p>
    <w:p>
      <w:pPr>
        <w:spacing w:after="0" w:line="211" w:lineRule="exact"/>
        <w:rPr>
          <w:rFonts w:ascii="Times New Roman" w:cs="Times New Roman" w:eastAsia="Times New Roman" w:hAnsi="Times New Roman"/>
          <w:sz w:val="18"/>
          <w:szCs w:val="18"/>
          <w:color w:val="auto"/>
        </w:rPr>
      </w:pPr>
    </w:p>
    <w:p>
      <w:pPr>
        <w:jc w:val="both"/>
        <w:ind w:left="760" w:firstLine="1494"/>
        <w:spacing w:after="0" w:line="245" w:lineRule="auto"/>
        <w:tabs>
          <w:tab w:leader="none" w:pos="261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require the registration of such transferred Units or of any class of Units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80" w:lineRule="exact"/>
        <w:rPr>
          <w:rFonts w:ascii="Times New Roman" w:cs="Times New Roman" w:eastAsia="Times New Roman" w:hAnsi="Times New Roman"/>
          <w:sz w:val="18"/>
          <w:szCs w:val="18"/>
          <w:color w:val="auto"/>
        </w:rPr>
      </w:pPr>
    </w:p>
    <w:p>
      <w:pPr>
        <w:jc w:val="both"/>
        <w:ind w:left="760" w:firstLine="1494"/>
        <w:spacing w:after="0" w:line="245" w:lineRule="auto"/>
        <w:tabs>
          <w:tab w:leader="none" w:pos="261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cause (i) all or any portion of the assets of the Company to (A) constitute “plan assets” (under ERISA, the Code or any applicable Similar Law) of any existing or contemplated Member, or (B) be subject to the provisions of ERISA, Section 4975 of the Code or any applicable Similar Law, or (ii) the Managing Member to become a fiduciary with respect to any existing or contemplated Member, pursuant to ERISA, any applicable Similar Law, or otherwise;</w:t>
      </w:r>
    </w:p>
    <w:p>
      <w:pPr>
        <w:spacing w:after="0" w:line="180" w:lineRule="exact"/>
        <w:rPr>
          <w:rFonts w:ascii="Times New Roman" w:cs="Times New Roman" w:eastAsia="Times New Roman" w:hAnsi="Times New Roman"/>
          <w:sz w:val="18"/>
          <w:szCs w:val="18"/>
          <w:color w:val="auto"/>
        </w:rPr>
      </w:pPr>
    </w:p>
    <w:p>
      <w:pPr>
        <w:jc w:val="both"/>
        <w:ind w:left="760" w:right="20" w:firstLine="1494"/>
        <w:spacing w:after="0" w:line="250" w:lineRule="auto"/>
        <w:tabs>
          <w:tab w:leader="none" w:pos="261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by the Managing Member in good faith; or</w:t>
      </w:r>
    </w:p>
    <w:p>
      <w:pPr>
        <w:spacing w:after="0" w:line="176" w:lineRule="exact"/>
        <w:rPr>
          <w:rFonts w:ascii="Times New Roman" w:cs="Times New Roman" w:eastAsia="Times New Roman" w:hAnsi="Times New Roman"/>
          <w:sz w:val="18"/>
          <w:szCs w:val="18"/>
          <w:color w:val="auto"/>
        </w:rPr>
      </w:pPr>
    </w:p>
    <w:p>
      <w:pPr>
        <w:ind w:left="760" w:right="20" w:firstLine="1494"/>
        <w:spacing w:after="0" w:line="266" w:lineRule="auto"/>
        <w:tabs>
          <w:tab w:leader="none" w:pos="2617"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 would pose a material risk that the Company would be treated as a “publicly traded partnership” within the meaning of Section 7704 of the Code and the Treasury Regulations promulgated thereunder.</w:t>
      </w:r>
    </w:p>
    <w:p>
      <w:pPr>
        <w:spacing w:after="0" w:line="162" w:lineRule="exact"/>
        <w:rPr>
          <w:rFonts w:ascii="Times New Roman" w:cs="Times New Roman" w:eastAsia="Times New Roman" w:hAnsi="Times New Roman"/>
          <w:sz w:val="18"/>
          <w:szCs w:val="18"/>
          <w:color w:val="auto"/>
        </w:rPr>
      </w:pPr>
    </w:p>
    <w:p>
      <w:pPr>
        <w:jc w:val="both"/>
        <w:ind w:firstLine="1505"/>
        <w:spacing w:after="0" w:line="239" w:lineRule="auto"/>
        <w:tabs>
          <w:tab w:leader="none" w:pos="185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unless otherwise required by applicable Law, the Company and the Managing Member shall assume that each Member as of immediately after the Pre-IPO Exchanges is treated as a single partner within the meaning of Regulations Section 1.7704-1(h) (and none of the Member’s beneficial owners is treated as a separate partner)), the Managing Member may impose such restrictions on the Transfer of Units or other interests in the Company as the Managing Member may reasonably determine to be necessary or advisable so that the Company is not treated as a “publicly traded partnership” within the meaning of Section 7704 of the Code and the Treasury Regulations promulgated thereunder.</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 Joinder</w:t>
      </w:r>
      <w:r>
        <w:rPr>
          <w:rFonts w:ascii="Times New Roman" w:cs="Times New Roman" w:eastAsia="Times New Roman" w:hAnsi="Times New Roman"/>
          <w:sz w:val="18"/>
          <w:szCs w:val="18"/>
          <w:color w:val="auto"/>
        </w:rPr>
        <w:t xml:space="preserve">. Prior to Transferring any Units (other than Exchanges pursuant to the Exchange Agreements,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or any other Transfer to the Company) and as a condition precedent to the effectiveness of such Transfer, the transferring holder of Units will cause the prospective transferee(s) of such Units to execute and deliver to the Company counterparts of this Agreement and any other agreements relating to such Units, or executed joinders to such agreements, in each case, in a form acceptable to the Company. Notwithstanding anything herein to the contrary, to the fullest extent permitted by law, any Person who acquires in any manner whatsoever any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5" w:name="page326"/>
    <w:bookmarkEnd w:id="325"/>
    <w:p>
      <w:pPr>
        <w:jc w:val="both"/>
        <w:spacing w:after="0" w:line="250" w:lineRule="auto"/>
        <w:rPr>
          <w:sz w:val="20"/>
          <w:szCs w:val="20"/>
          <w:color w:val="auto"/>
        </w:rPr>
      </w:pPr>
      <w:r>
        <w:rPr>
          <w:rFonts w:ascii="Times New Roman" w:cs="Times New Roman" w:eastAsia="Times New Roman" w:hAnsi="Times New Roman"/>
          <w:sz w:val="18"/>
          <w:szCs w:val="18"/>
          <w:color w:val="auto"/>
        </w:rPr>
        <w:t>irrespective of whether such Person has accepted and adopted in writing the terms and conditions of this Agreement, shall be deemed by the acceptance of the benefits of the acquisition thereof to have agreed to be subject to and bound by all of the terms and conditions of this Agreement to which any predecessor in such Units was subject or by which such predecessor was bound.</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Ineffective Transfer</w:t>
      </w:r>
      <w:r>
        <w:rPr>
          <w:rFonts w:ascii="Times New Roman" w:cs="Times New Roman" w:eastAsia="Times New Roman" w:hAnsi="Times New Roman"/>
          <w:sz w:val="18"/>
          <w:szCs w:val="18"/>
          <w:color w:val="auto"/>
        </w:rPr>
        <w:t>. Any Transfer or attempted Transfer of any Units in violation of any provision of this Agreement shall, to the fullest extent permitted by law, be void, and the Company will not record such Transfer on its books or treat any purported transferee of such Units as the owner of such securities for any purpose.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ADMISSION OF MEMBERS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Substituted Members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in connection with the permitted Transfer (including an Exempt Transfer) of any Units of a Member, the transferee shall become a Substituted Member on the effective date of such Transfer, which effective date shall not be earlier than the date of compliance with the conditions to such Transfer, and such admission shall be shown on the books and records of the Company.</w:t>
      </w:r>
    </w:p>
    <w:p>
      <w:pPr>
        <w:spacing w:after="0" w:line="177"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Additional Members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a Person may be admitted to the Company as an Additional Member only upon furnishing to the Company (a) counterparts of this Agreement or an executed joinder to this Agreement in a form acceptable to the Managing Member and (b) such other documents or instruments as may be necessary or appropriate to effect such Person’s admission as a Member (including entering into such documents as the Managing Member may deem appropriate);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PubCo, upon acquiring Units pursuant to the Exchange Agreements, shall, automatically without any further action on the part of the Company or PubCo, be admitted to the Company as an Additional Member. Such admission shall become effective on the date on which the Managing Member determines that such conditions have been satisfied and when any such admission is shown on the books and records of the Company.</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Additional Managing Member</w:t>
      </w:r>
      <w:r>
        <w:rPr>
          <w:rFonts w:ascii="Times New Roman" w:cs="Times New Roman" w:eastAsia="Times New Roman" w:hAnsi="Times New Roman"/>
          <w:sz w:val="18"/>
          <w:szCs w:val="18"/>
          <w:color w:val="auto"/>
        </w:rPr>
        <w:t xml:space="preserve">. No Person may be admitted to the Company as an additional Managing Member or substitute Managing Member without the prior approval of the holders of Class B Voting Units. A Managing Member will not be entitled to resign as a Managing Member of the Company unless another Managing Member shall have been designated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not have previously been removed or resigned). Any additional Managing Member or substitute Managing Member admitted as a Managing Member of the Company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is hereby authorized to, and shall, continue the Company without dissolution.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AND RESIGNATION OF MEMBERS</w:t>
      </w:r>
    </w:p>
    <w:p>
      <w:pPr>
        <w:spacing w:after="0" w:line="21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No Member shall have the power or right to withdraw or otherwise resign as a Member from the Company prior to the dissolution and winding up of the Company pursuant to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without the prior written consent of the Managing Member, except as otherwise expressly permitted by this Agreement. Any Member, however, that attempts to withdraw or otherwise resign as a Member from the Company without the prior written consent of the Managing Member upon or following the dissolution and winding up of the Company pursuant to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but prior to such Member receiving the full amount of distributions from the Company to which such Member is entitled pursuant to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be liable to the Company for all damages (including all lost profits and special, indirect and consequential damages) directly or indirectly caused by the withdrawal or resignation of such Member, and such Member shall be entitled to receive the Fair Market Value of such Member’s equity interest in the Company as of the date of its resignation (or, if less, the amount that such Member would have received on account of such equity interest had such Member not resigned or otherwise withdrew from the Company), as conclusively determined by the Managing Member, on the sixth month anniversary date (or such earlier date determined by the Managing Member) following the completion of the distribution of Company assets as provided in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to all other Members. Upon a Transfer of all of a Member’s Units in a Transfer permitted by this Agreement, subject to the provisions of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such Member shall cease to be a Member.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AND EXCHANGE RIGHTS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tabs>
          <w:tab w:leader="none" w:pos="18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set forth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the other provisions of this Agreement, after the expiration of the period commencing on the Effective Time and ending on the date that is six (6) months following the Effective Time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each Member (other than PubCo) shall be entitled, not more than once per month, to cause the Company to effect an Exchange at least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exceeding the Minimum Exchange Amount, by delivering an Exchange Notice to the Company with a copy to PubCo. Each Exchange Notice shall be in the form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shall include all information required to be included therein. In the event that an Exchange is being exercised in order to participate in a Piggyback Registration, the Exchange Notice Date shall be prior to the expiration of the time period in which a holder of securities is required to notify PubCo that it wishes to participate in such Piggyback Registration in accordance with the Registration Rights Agreement.</w:t>
      </w:r>
    </w:p>
    <w:p>
      <w:pPr>
        <w:spacing w:after="0" w:line="184" w:lineRule="exact"/>
        <w:rPr>
          <w:rFonts w:ascii="Times New Roman" w:cs="Times New Roman" w:eastAsia="Times New Roman" w:hAnsi="Times New Roman"/>
          <w:sz w:val="18"/>
          <w:szCs w:val="18"/>
          <w:color w:val="auto"/>
        </w:rPr>
      </w:pPr>
    </w:p>
    <w:p>
      <w:pPr>
        <w:jc w:val="both"/>
        <w:ind w:firstLine="1505"/>
        <w:spacing w:after="0" w:line="237" w:lineRule="auto"/>
        <w:tabs>
          <w:tab w:leader="none" w:pos="18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an Exchange that coincides with a substantially concurrent public offering or private sale of Class A Common Stock, within five (5) Business Days of the giving of an Exchange Notice, the Managing Member may elect to cause the Company to settle all or a portion of the Exchange in cash in an amount equal to the Cash Exchange Payment (in lieu of shares of Class A Common Stock), exercisable by giving written notice of such election to the Exchanging Member within such five (5) Business Day period (such notice, the “</w:t>
      </w:r>
      <w:r>
        <w:rPr>
          <w:rFonts w:ascii="Times New Roman" w:cs="Times New Roman" w:eastAsia="Times New Roman" w:hAnsi="Times New Roman"/>
          <w:sz w:val="18"/>
          <w:szCs w:val="18"/>
          <w:b w:val="1"/>
          <w:bCs w:val="1"/>
          <w:color w:val="auto"/>
        </w:rPr>
        <w:t>Cash Exchange Notice</w:t>
      </w:r>
      <w:r>
        <w:rPr>
          <w:rFonts w:ascii="Times New Roman" w:cs="Times New Roman" w:eastAsia="Times New Roman" w:hAnsi="Times New Roman"/>
          <w:sz w:val="18"/>
          <w:szCs w:val="18"/>
          <w:color w:val="auto"/>
        </w:rPr>
        <w:t>”). The Cash Exchange Notice shall set forth the portion of the Exchanged Units which shall be redeemed for cash in lieu of Class A Common Stock. To the extent such Exchange relates to the exercise of the Exchanging Member’s registration rights under the Registration Rights Agreement, PubCo and the Company shall cooperate in good faith with such Exchanging Member to exercise such Exchange in a manner which preserves such Exchanging Member’s rights thereunder. At any time following the giving of a Cash Exchange Notice and prior to the Exchange Date, the Managing Member may elect (exercisable by giving written notice of such election to the Exchanging Member) to revoke the Cash Exchange Notice with respect to all or any portion of the Exchanged Units and to cause the Company to redeem such Exchanged Units on the Exchange Date for the Stock Exchange Payment. For the avoidance of doubt, the Company shall have no obligation to make a Cash Exchange Payment that exceeds the cash contributed to the Company by PubCo from PubCo’s offering or sales of Class A Common Stock referenced in this Section 12.1(b).</w:t>
      </w:r>
    </w:p>
    <w:p>
      <w:pPr>
        <w:spacing w:after="0" w:line="193" w:lineRule="exact"/>
        <w:rPr>
          <w:rFonts w:ascii="Times New Roman" w:cs="Times New Roman" w:eastAsia="Times New Roman" w:hAnsi="Times New Roman"/>
          <w:sz w:val="18"/>
          <w:szCs w:val="18"/>
          <w:color w:val="auto"/>
        </w:rPr>
      </w:pPr>
    </w:p>
    <w:p>
      <w:pPr>
        <w:jc w:val="both"/>
        <w:ind w:firstLine="1505"/>
        <w:spacing w:after="0"/>
        <w:tabs>
          <w:tab w:leader="none" w:pos="18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Managing Member does not timely give a Cash Exchange Notice (or revokes a Cash Exchange Notice in accordance with the foregoing </w:t>
      </w:r>
      <w:r>
        <w:rPr>
          <w:rFonts w:ascii="Times New Roman" w:cs="Times New Roman" w:eastAsia="Times New Roman" w:hAnsi="Times New Roman"/>
          <w:sz w:val="18"/>
          <w:szCs w:val="18"/>
          <w:u w:val="single" w:color="auto"/>
          <w:color w:val="auto"/>
        </w:rPr>
        <w:t>Section 12.1(b)</w:t>
      </w:r>
      <w:r>
        <w:rPr>
          <w:rFonts w:ascii="Times New Roman" w:cs="Times New Roman" w:eastAsia="Times New Roman" w:hAnsi="Times New Roman"/>
          <w:sz w:val="18"/>
          <w:szCs w:val="18"/>
          <w:color w:val="auto"/>
        </w:rPr>
        <w:t>), the Exchanging Member may, if and only if any Exchange Condition exists, elect to (x) retract its Exchange Notice or (y) delay the consummation of an Exchange, in each case, exercisable by giving written notice of such election to the Managing Member within two (2) Business Days of the occurrence of an Exchange Condition and in any event no later than one (1) Business Day prior to the Exchange Date (such notice under clause (y), an “</w:t>
      </w:r>
      <w:r>
        <w:rPr>
          <w:rFonts w:ascii="Times New Roman" w:cs="Times New Roman" w:eastAsia="Times New Roman" w:hAnsi="Times New Roman"/>
          <w:sz w:val="18"/>
          <w:szCs w:val="18"/>
          <w:b w:val="1"/>
          <w:bCs w:val="1"/>
          <w:color w:val="auto"/>
        </w:rPr>
        <w:t>Exchange Delay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must specify the particular Exchange Condition giving rise to such election. The giving of any notice pursuant to clause (x) shall terminate all of the Exchanging Member’s, the Managing Member’s and the Company’s rights and obligations under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arising from such retracted Exchange Notice.</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Exchange Payment</w:t>
      </w:r>
      <w:r>
        <w:rPr>
          <w:rFonts w:ascii="Times New Roman" w:cs="Times New Roman" w:eastAsia="Times New Roman" w:hAnsi="Times New Roman"/>
          <w:sz w:val="18"/>
          <w:szCs w:val="18"/>
          <w:color w:val="auto"/>
        </w:rPr>
        <w:t xml:space="preserve">. The Exchange shall be consummated on the Exchange Date. Unless PubCo has exercised its PubCo Call Right pursuant to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on the Exchange Date (to be effective immediately prior to the close of business on the Exchange Date) (i) PubCo shall contribute to the Company for delivery to the Exchanging Member (x) the Stock Exchange Payment with respect to any Exchanged Units not subject to a Cash Exchange Notice and (y) the Cash Exchange Payment with respect to any Exchanged Units subject to a Cash Exchange Notice, (ii) the Exchanging Member shall transfer and surrender the Exchanged Units to the Company, free and clear of all liens and encumbrances, (iii) the Company shall issue to PubCo a number of Class A Common Units equal to the number of Class A Common Units surrendered pursuant to clause (ii), (iv) solely to the extent necessary in connection with an Exchange, PubCo shall undertake all actions, including an issuance, reclassification, distribution, division or recapitalization, with respect to the Class A Common Stock to maintain a one-to-one ratio between the number of Class A Common Units owned by PubCo, directly or indirectly, and the number of outstanding shares of Class A Common Stock and Class C Common Stock, taking into account the issuance in clause (iii), any Stock Exchange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7" w:name="page328"/>
    <w:bookmarkEnd w:id="327"/>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Payment, and any other action taken in connection with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(v) the Company shall (x) cancel the redeemed Class A Common Units which were Exchanged Units held by the Exchanging Member and (y) transfer to the Exchanging Member the Cash Exchange Payment and/or the Stock Exchange Payment, as applicable, and (vi) PubCo shall cancel the surrendered shares of Paired Voting Stock. On or prior to the Exchange Date, and as a condition to the Exchange, the Exchanging Member shall make any applicable Certificate Delivery. Upon the Exchange of all of a Member’s Units, such Member shall cease to be a Member of the Company.</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Splits, Distributions and Reclassifications</w:t>
      </w:r>
      <w:r>
        <w:rPr>
          <w:rFonts w:ascii="Times New Roman" w:cs="Times New Roman" w:eastAsia="Times New Roman" w:hAnsi="Times New Roman"/>
          <w:sz w:val="18"/>
          <w:szCs w:val="18"/>
          <w:color w:val="auto"/>
        </w:rPr>
        <w:t xml:space="preserve">. If there is any reclassification, reorganization, recapitalization or other similar transaction in which the shares of Class A Common Stock are converted or changed into another security, securities or other property,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continue to be applicable, mutatis mutandis, with respect to such security or other property.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is intended to preserve the intended economic effect of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and to put each Member in the same economic position, to the greatest extent possible, with respect to Exchanges as if such reclassification, reorganization, recapitalization or other similar transaction had not occurred and shall be interpreted in a manner consistent with such intent.</w:t>
      </w:r>
    </w:p>
    <w:p>
      <w:pPr>
        <w:spacing w:after="0" w:line="18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PubCo Covenants</w:t>
      </w:r>
      <w:r>
        <w:rPr>
          <w:rFonts w:ascii="Times New Roman" w:cs="Times New Roman" w:eastAsia="Times New Roman" w:hAnsi="Times New Roman"/>
          <w:sz w:val="18"/>
          <w:szCs w:val="18"/>
          <w:color w:val="auto"/>
        </w:rPr>
        <w:t xml:space="preserve">. PubCo shall at all times keep available, solely for the purpose of issuance upon an Exchange, out of its authorized but unissued shares of Class A Common Stock, such number of shares of Class A Common Stock that shall be issuable upon the Exchange of all outstanding Class A Common Units (other than those Class A Common Units held by PubCo); provided that nothing contained in this Agreement shall be construed to preclude the Company or PubCo from satisfying their obligations with respect to an Exchange by delivery of a Cash Exchange Payment or shares of Class A Common Stock that are held in treasury of PubCo. PubCo covenants that all shares of Class A Common Stock that shall be issued upon an Exchange shall, upon issuance thereof, be validly issued, fully paid and non-assessable, free and clear of all liens and encumbrances. In addition, for so long as the shares of Class A Common Stock are listed on a stock exchange or automated or electronic quotation system, PubCo shall cause all shares of Class A Common Stock issued upon an Exchange to be listed on such stock exchange or automated or electronic quotation system at the time of such issuance. For purposes of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references to the “Class A Common Stock” shall be deemed to include any Equity Securities issued or issuable as a result of any reclassification, combination, subdivision or similar transaction of the Class A Common Stock that any Member would be entitled to receive pursuant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Exchange Taxes</w:t>
      </w:r>
      <w:r>
        <w:rPr>
          <w:rFonts w:ascii="Times New Roman" w:cs="Times New Roman" w:eastAsia="Times New Roman" w:hAnsi="Times New Roman"/>
          <w:sz w:val="18"/>
          <w:szCs w:val="18"/>
          <w:color w:val="auto"/>
        </w:rPr>
        <w:t xml:space="preserve">. PubCo, the Company and each Exchanging Member shall bear their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if any shares of Class A Common Stock are to be delivered in a name other than that of the Exchanging Member (subject to the restrictions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then the Person or Persons in whose name the shares are to be issued shall pay to the Company or PubCo, as applicable, the amount of any additional tax that may be payable in respect of any Transfer involved in such issuance in excess of the amount otherwise due if such shares were issued in the name of the Exchanging Member or shall establish to the reasonable satisfaction of the Company or PubCo, as applicable, that such additional tax has been paid or is not payable.</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PubCo Call Rights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with respect to any Exchange Notice, an Exchanging Member shall be deemed to have offered to sell its Exchanged Units as described in any Exchange Notice directly to PubCo (rather than causing the Company to redeem such Exchanged Units), and PubCo may, by delivery of a written notice to the Exchanging Member no later than five (5) Business Days following the giving of an Exchange Notice, in accordance with, and subject to the terms of,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(such notice, a “</w:t>
      </w:r>
      <w:r>
        <w:rPr>
          <w:rFonts w:ascii="Times New Roman" w:cs="Times New Roman" w:eastAsia="Times New Roman" w:hAnsi="Times New Roman"/>
          <w:sz w:val="18"/>
          <w:szCs w:val="18"/>
          <w:b w:val="1"/>
          <w:bCs w:val="1"/>
          <w:color w:val="auto"/>
        </w:rPr>
        <w:t>PubCo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elect to purchase directly and acquire such Exchanged Units on the Exchange Date by paying to the Exchanging Member (or such other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specified in the Exchange Notice) the Stock Exchange Payment and/or the Cash Exchange Payment, whereupon PubCo shall acquire the Exchanged Units on the Exchange Date and be treated for all purposes of this Agreement as the owner of such Class A Common Units. Except as otherwise provided in this </w:t>
      </w: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an exercise of the PubCo Call Right shall be consummated pursuant to the same timeframe and in the same manner as the relevant Exchange would have been consummated if PubCo had not given a PubCo Call Notice, in each case as relevant, including that </w:t>
      </w:r>
      <w:r>
        <w:rPr>
          <w:rFonts w:ascii="Times New Roman" w:cs="Times New Roman" w:eastAsia="Times New Roman" w:hAnsi="Times New Roman"/>
          <w:sz w:val="18"/>
          <w:szCs w:val="18"/>
          <w:u w:val="single" w:color="auto"/>
          <w:color w:val="auto"/>
        </w:rPr>
        <w:t>Section 12.1(b)</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mutandis </w:t>
      </w:r>
      <w:r>
        <w:rPr>
          <w:rFonts w:ascii="Times New Roman" w:cs="Times New Roman" w:eastAsia="Times New Roman" w:hAnsi="Times New Roman"/>
          <w:sz w:val="18"/>
          <w:szCs w:val="18"/>
          <w:color w:val="auto"/>
        </w:rPr>
        <w:t>and that clauses (iv) and (vi)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apply (notwithstanding that the other clauses thereof do not apply).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8" w:name="page329"/>
    <w:bookmarkEnd w:id="328"/>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Distribution Rights</w:t>
      </w:r>
      <w:r>
        <w:rPr>
          <w:rFonts w:ascii="Times New Roman" w:cs="Times New Roman" w:eastAsia="Times New Roman" w:hAnsi="Times New Roman"/>
          <w:sz w:val="18"/>
          <w:szCs w:val="18"/>
          <w:color w:val="auto"/>
        </w:rPr>
        <w:t>. No Exchange shall impair the right of the Exchanging Member to receive any Distributions payable on the Class A Common Units redeemed pursuant to such Exchange in respect of a record date that occurs prior to the Exchange Date for such Exchange. No Exchanging Member, or a Person designated by an Exchanging Member to receive shares of Class A Common Stock, shall be entitled to receive, with respect to such record date, Distributions or dividends both on Class A Common Units redeemed by the Company from such Exchanging Member and on shares of Class A Common Stock received by such Exchanging Member, or other Person so designated, if applicable, in such Exchange.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Exchange Restrictions</w:t>
      </w:r>
    </w:p>
    <w:p>
      <w:pPr>
        <w:spacing w:after="0" w:line="212" w:lineRule="exact"/>
        <w:rPr>
          <w:sz w:val="20"/>
          <w:szCs w:val="20"/>
          <w:color w:val="auto"/>
        </w:rPr>
      </w:pPr>
    </w:p>
    <w:p>
      <w:pPr>
        <w:jc w:val="both"/>
        <w:ind w:firstLine="1505"/>
        <w:spacing w:after="0" w:line="237" w:lineRule="auto"/>
        <w:tabs>
          <w:tab w:leader="none" w:pos="18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contrary provision in this Agreement, to the extent the Managing Member shall reasonably determine that interests in the Company do not meet the requirements of Treasury Regulation Section 1.7704-1(h) (determined taking into account the rules of Treasury Regulations Section 1.7704-1(h)(3),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such purpose, unless otherwise required by applicable Law, the Company and the Managing Member shall assume that each Member as of immediately following the Pre-IPO Exchanges is treated as a single partner within the meaning of Regulations Section 1.7704-1(h) (and none of the Member’s beneficial owners is treated as a separate partner)), the Managing Member may impose such restrictions on Exchanges (including limiting Exchanges or creating priority procedures for Exchanges) as the Managing Member may reasonably determine to be necessary or advisable so that the Company is not treated as a “publicly traded partnership” within the meaning of Section 7704 of the Code and the Treasury Regulations promulgated thereunder. If the Managing Member determines in good faith that any such limitations or restrictions are necessary, then before imposing any such restrictions, the Managing Member shall first consult in good faith with the Continuing Member Representative in order to attempt to ameliorate the cause of such restrictions. Notwithstanding anything to the contrary herein, no Exchange shall be permitted (and, if attempted, shall, to the fullest extent permitted by law, be void ab initio) if, in the good faith determination of the Managing Member, such Exchange would pose a material risk that the Company would be treated as a “publicly traded partnership” under Section 7704 of the Code.</w:t>
      </w:r>
    </w:p>
    <w:p>
      <w:pPr>
        <w:spacing w:after="0" w:line="193" w:lineRule="exact"/>
        <w:rPr>
          <w:rFonts w:ascii="Times New Roman" w:cs="Times New Roman" w:eastAsia="Times New Roman" w:hAnsi="Times New Roman"/>
          <w:sz w:val="18"/>
          <w:szCs w:val="18"/>
          <w:color w:val="auto"/>
        </w:rPr>
      </w:pPr>
    </w:p>
    <w:p>
      <w:pPr>
        <w:jc w:val="both"/>
        <w:ind w:firstLine="1505"/>
        <w:spacing w:after="0"/>
        <w:tabs>
          <w:tab w:leader="none" w:pos="185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anything to the contrary herein, a Member shall not be entitled to effect an Exchange to the extent PubCo or the Company reasonably determines that such Exchange (i) would be prohibited by law or regulation (including, without limitation, the unavailability of any requisite registration statement filed under the Securities Act or any exemption from the registration requirements thereunder) or (ii) would not be permitted under any other agreements with PubCo or its subsidiaries by which such Member is bound (including, without limitation, this Agreement) or any written policies of PubCo related to unlawful or inappropriate trading applicable to its directors, officers or other personnel. Upon such determination, PubCo shall notify the Member requesting the Exchange of such determination, which notice shall include an explanation in reasonable detail as to the reason that the Exchange has not been effected.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Tax Matters</w:t>
      </w:r>
    </w:p>
    <w:p>
      <w:pPr>
        <w:spacing w:after="0" w:line="212" w:lineRule="exact"/>
        <w:rPr>
          <w:sz w:val="20"/>
          <w:szCs w:val="20"/>
          <w:color w:val="auto"/>
        </w:rPr>
      </w:pPr>
    </w:p>
    <w:p>
      <w:pPr>
        <w:jc w:val="both"/>
        <w:ind w:firstLine="1505"/>
        <w:spacing w:after="0" w:line="238" w:lineRule="auto"/>
        <w:tabs>
          <w:tab w:leader="none" w:pos="185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Exchange, the Exchanging Member shall, to the extent it is legally entitled to do so, deliver to PubCo or the Company, as applicable, a certificate, dated as of the Exchange Date and sworn under penalties of perjury, in a form reasonably acceptable to PubCo or the Company, as applicable, certifying as to such Exchanging Member’s taxpayer identification number and that such Exchanging Member is a not a foreign person for purposes of Section 1445 and Section 1446(f) of the Code, which certificate may be an Internal Revenue Service Form W-9 if then sufficient for such purposes under applicable Law (such certificate a “</w:t>
      </w:r>
      <w:r>
        <w:rPr>
          <w:rFonts w:ascii="Times New Roman" w:cs="Times New Roman" w:eastAsia="Times New Roman" w:hAnsi="Times New Roman"/>
          <w:sz w:val="18"/>
          <w:szCs w:val="18"/>
          <w:b w:val="1"/>
          <w:bCs w:val="1"/>
          <w:color w:val="auto"/>
        </w:rPr>
        <w:t>Non-Foreign Person Certificate</w:t>
      </w:r>
      <w:r>
        <w:rPr>
          <w:rFonts w:ascii="Times New Roman" w:cs="Times New Roman" w:eastAsia="Times New Roman" w:hAnsi="Times New Roman"/>
          <w:sz w:val="18"/>
          <w:szCs w:val="18"/>
          <w:color w:val="auto"/>
        </w:rPr>
        <w:t>”). If an Exchanging Member is unable to provide a Non-Foreign Person Certificate in connection with an Exchange, then, at the Managing Member’s option, (i) such Exchanging Member shall provide a certificate substantially in the form described in Treasury Regulations Section 1.1446(f)-2(c)(2)(ii)(B) or (ii) the Company shall deliver a certificate substantially in the form described in Regulations Section 1.1446(f)-2(c)(2)(ii)(C), in each case setting forth the liabilities of the Company allocated to the Exchanged Units under Section 752 of the Code, and PubCo or the Company, as applicable, shall be permitted to withhold on the amount realized by such Exchanging Partner in respect of such Exchange as provided in Section 1446(f) of the Code and Treasury Regulations thereunder and consistent with the certificate provided pursuant to clause (i) or (ii) of this sentence, as applicable.</w:t>
      </w:r>
    </w:p>
    <w:p>
      <w:pPr>
        <w:spacing w:after="0" w:line="185" w:lineRule="exact"/>
        <w:rPr>
          <w:rFonts w:ascii="Times New Roman" w:cs="Times New Roman" w:eastAsia="Times New Roman" w:hAnsi="Times New Roman"/>
          <w:sz w:val="18"/>
          <w:szCs w:val="18"/>
          <w:color w:val="auto"/>
        </w:rPr>
      </w:pPr>
    </w:p>
    <w:p>
      <w:pPr>
        <w:ind w:right="20" w:firstLine="1505"/>
        <w:spacing w:after="0" w:line="266" w:lineRule="auto"/>
        <w:tabs>
          <w:tab w:leader="none" w:pos="185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and applicable state and local income tax purposes, each of the Exchanging Member, the Company and PubCo agree to treat, to the maximum extent permitted by applicable law, each Exchange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9" w:name="page330"/>
    <w:bookmarkEnd w:id="329"/>
    <w:p>
      <w:pPr>
        <w:jc w:val="both"/>
        <w:spacing w:after="0" w:line="242" w:lineRule="auto"/>
        <w:rPr>
          <w:sz w:val="20"/>
          <w:szCs w:val="20"/>
          <w:color w:val="auto"/>
        </w:rPr>
      </w:pPr>
      <w:r>
        <w:rPr>
          <w:rFonts w:ascii="Times New Roman" w:cs="Times New Roman" w:eastAsia="Times New Roman" w:hAnsi="Times New Roman"/>
          <w:sz w:val="18"/>
          <w:szCs w:val="18"/>
          <w:color w:val="auto"/>
        </w:rPr>
        <w:t>as a taxable sale by the Exchanging Member of the Exchanging Member’s Class A Common Units (together with an equal number of shares of Paired Voting Stock, which shares shall not be allocated any economic value) to PubCo in exchange for (A) the payment by PubCo of the Stock Exchange Payment, the Cash Exchange Payment, or other applicable consideration to the Exchanging Member, and (B) corresponding payments under the Tax Receivable Agreement. Within thirty (30) days following the Exchange Date, PubCo shall deliver a Section 743 notification to the Company in accordance with Treasury Regulations Section 1.743-1(k)(2).</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in this Agreement, with respect to any Exchange pursuant to Article XII, PubCo, the Company and their agents and affiliates shall have the right to deduct and withhold taxes (in cash or in kind, including Class A Common Stock with a fair market value determined in the sole discretion of the Managing Member equal to the amount of such taxes) from any payments to be made pursuant to such Exchange, if, in their opinion, such withholding is required by law. The Managing Member may, in its sole discretion, allow an Exchanging Member to pay such taxes owed on the Exchange in cash in lieu of the Company or PubCo, as applicable, withholding or deducting such taxes.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 any payment pursuant to this Agreement is not reduced by such deductions or withholdings, such recipient shall indemnify the applicable withholding agent for any amounts imposed by any taxing authority together with any costs and expenses related thereto.</w:t>
      </w:r>
    </w:p>
    <w:p>
      <w:pPr>
        <w:spacing w:after="0" w:line="19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In connection with any Exchange or exercise of a PubCo Call Right, (i) upon the acceptance of the Class A Common Stock or an amount of cash equal to the Cash Exchange Payment, the Exchanging Member shall represent and warrant that the Exchanging Member is the owner of the number of Class A Common Units that the Exchanging Member is electing to Exchange and that such Class A Common Units are not subject to any liens or restrictions on transfer (other than restrictions imposed by this Agreement, the certificate of incorporation, bylaws and any other governing documents of PubCo and applicable Law), and (ii) if the Managing Member elects a Stock Exchange Payment, the Managing Member shall represent that (A) the shares of Class A Common Stock issued to the Exchanging Member in settlement of the Stock Exchange Payment are duly authorized, validly issued, fully paid and non-assessable and were issued in compliance in all material respects with applicable securities laws, and (B) the issuance of such shares of Class A Common Stock issued to the Exchanging Member in settlement of the Stock Exchange Payment does not conflict with or result in any breach of the organizational documents of PubCo.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DISSOLUTION AND WINDING UP</w:t>
      </w:r>
    </w:p>
    <w:p>
      <w:pPr>
        <w:spacing w:after="0" w:line="21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The Company shall not be dissolved by the admission of Additional Members or Substituted Members or the attempted withdrawal or resignation of a Member. The Company shall dissolve, and its affairs shall be wound up, upon:</w:t>
      </w:r>
    </w:p>
    <w:p>
      <w:pPr>
        <w:spacing w:after="0" w:line="162" w:lineRule="exact"/>
        <w:rPr>
          <w:sz w:val="20"/>
          <w:szCs w:val="20"/>
          <w:color w:val="auto"/>
        </w:rPr>
      </w:pPr>
    </w:p>
    <w:p>
      <w:pPr>
        <w:ind w:left="1860" w:hanging="355"/>
        <w:spacing w:after="0"/>
        <w:tabs>
          <w:tab w:leader="none" w:pos="18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Company under Section 17707.03 of the California Act;</w:t>
      </w:r>
    </w:p>
    <w:p>
      <w:pPr>
        <w:spacing w:after="0" w:line="21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which makes it unlawful for the business of the Company to be carried on by the Members;</w:t>
      </w:r>
    </w:p>
    <w:p>
      <w:pPr>
        <w:spacing w:after="0" w:line="21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there are no Members, unless the Company is continued in accordance with the California Act; or</w:t>
      </w:r>
    </w:p>
    <w:p>
      <w:pPr>
        <w:spacing w:after="0" w:line="209" w:lineRule="exact"/>
        <w:rPr>
          <w:rFonts w:ascii="Times New Roman" w:cs="Times New Roman" w:eastAsia="Times New Roman" w:hAnsi="Times New Roman"/>
          <w:sz w:val="18"/>
          <w:szCs w:val="18"/>
          <w:color w:val="auto"/>
        </w:rPr>
      </w:pPr>
    </w:p>
    <w:p>
      <w:pPr>
        <w:jc w:val="both"/>
        <w:ind w:firstLine="1505"/>
        <w:spacing w:after="0" w:line="243" w:lineRule="auto"/>
        <w:tabs>
          <w:tab w:leader="none" w:pos="185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determination of the Managing Member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 dissolution pursuant to this clause (d), the relative economic rights of each class of Units immediately prior to such dissolution shall be preserved to the greatest extent practicable with respect to distributions made to Members pursuant to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0" w:name="page331"/>
    <w:bookmarkEnd w:id="33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Units of such class consent in writing to a treatment other than as described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dissolution of the Company pursuant to and in accordance with clauses (b) or (d) in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would have a material adverse effect on any Member, the dissolution of the Company shall require the prior written consent of such Member, which consent shall not be unreasonably withheld.</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the Company is intended to have perpetual existence. An Event of Withdrawal shall not, in and of itself, cause a dissolution of the Company and the Company shall continue in existence subject to the terms and conditions of this Agreement.</w:t>
      </w:r>
    </w:p>
    <w:p>
      <w:pPr>
        <w:spacing w:after="0" w:line="16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Winding Up and Termination</w:t>
      </w:r>
      <w:r>
        <w:rPr>
          <w:rFonts w:ascii="Times New Roman" w:cs="Times New Roman" w:eastAsia="Times New Roman" w:hAnsi="Times New Roman"/>
          <w:sz w:val="18"/>
          <w:szCs w:val="18"/>
          <w:color w:val="auto"/>
        </w:rPr>
        <w:t>. On dissolution of the Company, the Managing Member shall act as liquidating trustee or may appoint one or more Persons as liquidating trustee. The liquidating trustee shall proceed diligently to wind up the affairs of the Company and make final distributions as provided herein and in the California Act. The costs of winding up shall be borne as a Company expense. Until the final Distribution, the liquidating trustee shall continue to operate the Company properties with all of the power and authority of the Managing Member. The steps to be accomplished by the liquidating trustee are as follows:</w:t>
      </w:r>
    </w:p>
    <w:p>
      <w:pPr>
        <w:spacing w:after="0" w:line="185" w:lineRule="exact"/>
        <w:rPr>
          <w:sz w:val="20"/>
          <w:szCs w:val="20"/>
          <w:color w:val="auto"/>
        </w:rPr>
      </w:pPr>
    </w:p>
    <w:p>
      <w:pPr>
        <w:jc w:val="both"/>
        <w:ind w:firstLine="1505"/>
        <w:spacing w:after="0" w:line="250" w:lineRule="auto"/>
        <w:tabs>
          <w:tab w:leader="none" w:pos="185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possible after dissolution and again after completion of the winding up, the liquidating trustee shall cause a proper accounting to be made by a recognized firm of certified public accountants of the Company’s assets, liabilities and operations through the last day of the calendar month in which the dissolution occurs or the completion of the winding up is completed, as applicable;</w:t>
      </w:r>
    </w:p>
    <w:p>
      <w:pPr>
        <w:spacing w:after="0" w:line="176" w:lineRule="exact"/>
        <w:rPr>
          <w:rFonts w:ascii="Times New Roman" w:cs="Times New Roman" w:eastAsia="Times New Roman" w:hAnsi="Times New Roman"/>
          <w:sz w:val="18"/>
          <w:szCs w:val="18"/>
          <w:color w:val="auto"/>
        </w:rPr>
      </w:pPr>
    </w:p>
    <w:p>
      <w:pPr>
        <w:jc w:val="both"/>
        <w:ind w:firstLine="1505"/>
        <w:spacing w:after="0" w:line="245" w:lineRule="auto"/>
        <w:tabs>
          <w:tab w:leader="none" w:pos="185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liquidating trustee shall pay, satisfy or discharge from Company funds all of the debts, liabilities and obligations of the Company (including, without limitation, all expenses incurred of winding up) or otherwise make adequate provision for payment and discharge thereof (including, without limitation, the establishment of a cash fund for contingent, conditional or unmatured liabilities in such amount and for such term as the liquidating trustee may reasonably determine); and</w:t>
      </w:r>
    </w:p>
    <w:p>
      <w:pPr>
        <w:spacing w:after="0" w:line="180" w:lineRule="exact"/>
        <w:rPr>
          <w:rFonts w:ascii="Times New Roman" w:cs="Times New Roman" w:eastAsia="Times New Roman" w:hAnsi="Times New Roman"/>
          <w:sz w:val="18"/>
          <w:szCs w:val="18"/>
          <w:color w:val="auto"/>
        </w:rPr>
      </w:pPr>
    </w:p>
    <w:p>
      <w:pPr>
        <w:ind w:firstLine="1505"/>
        <w:spacing w:after="0" w:line="266" w:lineRule="auto"/>
        <w:tabs>
          <w:tab w:leader="none" w:pos="185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remaining assets of the Company shall be distributed to the Members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by the end of the Taxable Year of the Company during which the winding up of the Company occurs (or, if later, by ninety (90) days after the date of the winding up).</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The Distribution of cash and/or property to Members in accordance with the provisions of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constitutes a complete return to the Members of their Capital Contributions and a complete Distribution to the Members of their interest in the Company and all the Company’s property and constitutes a compromise to which all Members have consented within the meaning of the California Act. To the extent that a Member returns funds to the Company, it has no claim against any other Member for those funds.</w:t>
      </w:r>
    </w:p>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Deferment; Distribution in Kind</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but subject to the order of priorities set forth therein, if upon dissolution of the Company the liquidating trustee determines that an immediate sale of part or all of the Company’s assets would be impractical or would cause undue loss (or would otherwise not be beneficial) to the Members, the liquidating trustee may, in its sole discretion, defer for a reasonable time the winding up of any assets except those necessary to satisfy Company liabilities (other than loans to the Company by Members) and reserves. Subject to the order of priorities set forth in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the liquidating trustee may, in its sole discretion, distribute to the Members, in lieu of cash, either (i) all or any portion of such remaining Company assets in-kind in accordance with the provisions of </w:t>
      </w:r>
      <w:r>
        <w:rPr>
          <w:rFonts w:ascii="Times New Roman" w:cs="Times New Roman" w:eastAsia="Times New Roman" w:hAnsi="Times New Roman"/>
          <w:sz w:val="18"/>
          <w:szCs w:val="18"/>
          <w:u w:val="single" w:color="auto"/>
          <w:color w:val="auto"/>
        </w:rPr>
        <w:t>Section 13.2(c)</w:t>
      </w:r>
      <w:r>
        <w:rPr>
          <w:rFonts w:ascii="Times New Roman" w:cs="Times New Roman" w:eastAsia="Times New Roman" w:hAnsi="Times New Roman"/>
          <w:sz w:val="18"/>
          <w:szCs w:val="18"/>
          <w:color w:val="auto"/>
        </w:rPr>
        <w:t xml:space="preserve">, (ii) as tenants in common and in accordance with the provisions of </w:t>
      </w:r>
      <w:r>
        <w:rPr>
          <w:rFonts w:ascii="Times New Roman" w:cs="Times New Roman" w:eastAsia="Times New Roman" w:hAnsi="Times New Roman"/>
          <w:sz w:val="18"/>
          <w:szCs w:val="18"/>
          <w:u w:val="single" w:color="auto"/>
          <w:color w:val="auto"/>
        </w:rPr>
        <w:t>Section 13.2(c)</w:t>
      </w:r>
      <w:r>
        <w:rPr>
          <w:rFonts w:ascii="Times New Roman" w:cs="Times New Roman" w:eastAsia="Times New Roman" w:hAnsi="Times New Roman"/>
          <w:sz w:val="18"/>
          <w:szCs w:val="18"/>
          <w:color w:val="auto"/>
        </w:rPr>
        <w:t xml:space="preserve">, undivided interests in all or any portion of such Company assets or (iii) a combination of the foregoing. Any such Distributions in kind shall be subject to (x) such conditions relating to the disposition and management of such assets as the liquidating trustee deems reasonable and equitable and (y) the terms and conditions of any agreements governing such assets (or the operation thereof or the holders thereof) at such time. Any Company assets distributed in kind will first be written up or down to their Fair Market Value, thus creating Profit or Loss (if any), which shall be allocated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liquidating trustee shall determine the Fair Market Value of any property distributed in accordance with the valuation procedures set forth in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Cancellation of Certificate</w:t>
      </w:r>
      <w:r>
        <w:rPr>
          <w:rFonts w:ascii="Times New Roman" w:cs="Times New Roman" w:eastAsia="Times New Roman" w:hAnsi="Times New Roman"/>
          <w:sz w:val="18"/>
          <w:szCs w:val="18"/>
          <w:color w:val="auto"/>
        </w:rPr>
        <w:t>. On completion of the winding up of the Company’s affairs and distribution of Company assets as provided herein, the Company is terminated (and the Company shall not be terminated prior to such time), and the Managing Member (or such other Person or Persons as the California Act may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1" w:name="page332"/>
    <w:bookmarkEnd w:id="331"/>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require or permit) shall file a certificate of cancellation with the Secretary of State of California,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Reasonable Time for Winding Up</w:t>
      </w:r>
      <w:r>
        <w:rPr>
          <w:rFonts w:ascii="Times New Roman" w:cs="Times New Roman" w:eastAsia="Times New Roman" w:hAnsi="Times New Roman"/>
          <w:sz w:val="18"/>
          <w:szCs w:val="18"/>
          <w:color w:val="auto"/>
        </w:rPr>
        <w:t xml:space="preserve">. A reasonable time shall be allowed for the orderly winding up of the business and affairs of the Company and the liquidation of its assets pursuant to </w:t>
      </w:r>
      <w:r>
        <w:rPr>
          <w:rFonts w:ascii="Times New Roman" w:cs="Times New Roman" w:eastAsia="Times New Roman" w:hAnsi="Times New Roman"/>
          <w:sz w:val="18"/>
          <w:szCs w:val="18"/>
          <w:u w:val="single" w:color="auto"/>
          <w:color w:val="auto"/>
        </w:rPr>
        <w:t>Sections 13.2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13.3</w:t>
      </w:r>
      <w:r>
        <w:rPr>
          <w:rFonts w:ascii="Times New Roman" w:cs="Times New Roman" w:eastAsia="Times New Roman" w:hAnsi="Times New Roman"/>
          <w:sz w:val="18"/>
          <w:szCs w:val="18"/>
          <w:color w:val="auto"/>
        </w:rPr>
        <w:t xml:space="preserve"> in order to minimize any losses otherwise attendant upon such winding up.</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Return of Capital</w:t>
      </w:r>
      <w:r>
        <w:rPr>
          <w:rFonts w:ascii="Times New Roman" w:cs="Times New Roman" w:eastAsia="Times New Roman" w:hAnsi="Times New Roman"/>
          <w:sz w:val="18"/>
          <w:szCs w:val="18"/>
          <w:color w:val="auto"/>
        </w:rPr>
        <w:t>. The liquidating trustee shall not be personally liable for the return of Capital Contributions or any portion thereof to the Members (it being understood that any such return shall be made solely from Company assets).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w:t>
      </w:r>
    </w:p>
    <w:p>
      <w:pPr>
        <w:spacing w:after="0" w:line="21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xml:space="preserve">” of any asset, property or equity interest means the amount which a seller of such asset, property or equity interest would receive in a sale of such asset, property or equity interest in an arms-length transaction with an unaffiliated third party consummated on a date determined by the Managing Member (which may be the date on which the event occurred which necessitated the determination of the Fair Market Value) (and after giving effect to any transfer taxes payable in connection with such sale). Notwithstanding the foregoing, in making the determination of Fair Market Value as described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the Managing Member, the Continuing Member Representative and any investment banking firm (as described below) shall not give effect or take into account any “minority discount” or “liquidity discount” (or any similar discount arising out of the fact that the Units are restricted or is not registered with the Securities and Exchange Commission, publicly traded or listed on a securities exchange), but shall value the Company and its Subsidiaries and their respective businesses in their entirety on an enterprise basis using any variety of industry recognized valuation techniques commonly used to value businesses.</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Determination and Dispute</w:t>
      </w:r>
      <w:r>
        <w:rPr>
          <w:rFonts w:ascii="Times New Roman" w:cs="Times New Roman" w:eastAsia="Times New Roman" w:hAnsi="Times New Roman"/>
          <w:sz w:val="18"/>
          <w:szCs w:val="18"/>
          <w:color w:val="auto"/>
        </w:rPr>
        <w:t xml:space="preserve">. Fair Market Value shall be determined by the Managing Member (or, if pursuant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the liquidating trustee) in its good faith judgment in such manner as it deems reasonable and using all factors, information and data deemed to be pertinent. Notwithstanding the foregoing, at the request of the Continuing Member Representative, the Managing Member will retain an investment banking firm of recognized national standing reasonably acceptable to the Continuing Member Representative to determine the Fair Market Value of such Units, assets or consideration.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right="40" w:firstLine="1505"/>
        <w:spacing w:after="0" w:line="266" w:lineRule="auto"/>
        <w:tabs>
          <w:tab w:leader="none" w:pos="185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Units hereby constitutes and appoints the Managing Member and the liquidating trustee, with full power of substitution, as his, her or its true and lawful agent and attorney-in-fact, with full power and authority in his, her or its name, place and stead, to:</w:t>
      </w:r>
    </w:p>
    <w:p>
      <w:pPr>
        <w:spacing w:after="0" w:line="162" w:lineRule="exact"/>
        <w:rPr>
          <w:rFonts w:ascii="Times New Roman" w:cs="Times New Roman" w:eastAsia="Times New Roman" w:hAnsi="Times New Roman"/>
          <w:sz w:val="18"/>
          <w:szCs w:val="18"/>
          <w:color w:val="auto"/>
        </w:rPr>
      </w:pPr>
    </w:p>
    <w:p>
      <w:pPr>
        <w:jc w:val="both"/>
        <w:ind w:left="760" w:firstLine="1494"/>
        <w:spacing w:after="0" w:line="241" w:lineRule="auto"/>
        <w:tabs>
          <w:tab w:leader="none" w:pos="2617"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in the appropriate public offices (A) this Agreement, all certificates and other instruments and all amendments thereof which the Managing Member deems appropriate or necessary to form, qualify, or continue the qualification of, the Company as a limited liability company in the State of California and in all other jurisdictions in which the Company may conduct business or own property; (B) all instruments which the Managing Member deems appropriate or necessary to reflect any amendment, change, modification or restatement of this Agreement in accordance with its terms; (C) all conveyances and other instruments or documents which the Managing Member deems appropriate or necessary to reflect the dissolution and winding up of the Company pursuant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2" w:name="page333"/>
    <w:bookmarkEnd w:id="332"/>
    <w:p>
      <w:pPr>
        <w:ind w:left="760" w:right="20"/>
        <w:spacing w:after="0" w:line="266" w:lineRule="auto"/>
        <w:rPr>
          <w:sz w:val="20"/>
          <w:szCs w:val="20"/>
          <w:color w:val="auto"/>
        </w:rPr>
      </w:pPr>
      <w:r>
        <w:rPr>
          <w:rFonts w:ascii="Times New Roman" w:cs="Times New Roman" w:eastAsia="Times New Roman" w:hAnsi="Times New Roman"/>
          <w:sz w:val="18"/>
          <w:szCs w:val="18"/>
          <w:color w:val="auto"/>
        </w:rPr>
        <w:t xml:space="preserve">to the terms of this Agreement, including a certificate of cancellation; and (D) all instruments relating to the admission, withdrawal or substitution of any Member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760" w:firstLine="1494"/>
        <w:spacing w:after="0" w:line="242" w:lineRule="auto"/>
        <w:tabs>
          <w:tab w:leader="none" w:pos="2617"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execute, swear to and acknowledge all ballots, consents, approvals, waivers, certificates and other instruments appropriate or necessary, in the reasonable judgment of the Managing Member, to evidence, confirm or ratify any vote, consent, approval, agreement or other action which is made or given by such holder of Units hereunder or is consistent with the terms of this Agreement and/or appropriate or necessary (and not inconsistent with the terms of this Agreement), in the reasonable judgment of the Managing Member, to effectuate the terms of this Agreement.</w:t>
      </w:r>
    </w:p>
    <w:p>
      <w:pPr>
        <w:spacing w:after="0" w:line="184" w:lineRule="exact"/>
        <w:rPr>
          <w:rFonts w:ascii="Times New Roman" w:cs="Times New Roman" w:eastAsia="Times New Roman" w:hAnsi="Times New Roman"/>
          <w:sz w:val="18"/>
          <w:szCs w:val="18"/>
          <w:color w:val="auto"/>
        </w:rPr>
      </w:pPr>
    </w:p>
    <w:p>
      <w:pPr>
        <w:ind w:firstLine="1505"/>
        <w:spacing w:after="0" w:line="266" w:lineRule="auto"/>
        <w:tabs>
          <w:tab w:leader="none" w:pos="18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foregoing power of attorney does not include the power or authority to vote any Units held by any Member on any matter on which the Members have a right to vote, either at a meeting or by any written consent, as contemplated under this Agreement.</w:t>
      </w:r>
    </w:p>
    <w:p>
      <w:pPr>
        <w:spacing w:after="0" w:line="162" w:lineRule="exact"/>
        <w:rPr>
          <w:rFonts w:ascii="Times New Roman" w:cs="Times New Roman" w:eastAsia="Times New Roman" w:hAnsi="Times New Roman"/>
          <w:sz w:val="18"/>
          <w:szCs w:val="18"/>
          <w:color w:val="auto"/>
        </w:rPr>
      </w:pPr>
    </w:p>
    <w:p>
      <w:pPr>
        <w:jc w:val="both"/>
        <w:ind w:firstLine="1505"/>
        <w:spacing w:after="0" w:line="250" w:lineRule="auto"/>
        <w:tabs>
          <w:tab w:leader="none" w:pos="18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power of attorney is irrevocable and coupled with an interest, and shall survive the death, disability, incapacity, dissolution, bankruptcy, insolvency or termination of any holder of Units and the Transfer of all or any portion of his, her or its Units and shall extend to such holder’s heirs, successors, assigns and personal representatives.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1505"/>
        <w:spacing w:after="0" w:line="250" w:lineRule="auto"/>
        <w:tabs>
          <w:tab w:leader="none" w:pos="185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Managing Member (pursuant to its power of attorney from the holders of Units as provided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 xml:space="preserve"> or otherwise), without the consent of any holder of Units, may amend any provision of this Agreement, and execute, swear to, acknowledge, deliver, file and record whatever documents may be required in connection therewith, to reflect:</w:t>
      </w:r>
    </w:p>
    <w:p>
      <w:pPr>
        <w:spacing w:after="0" w:line="176"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Company or the location of the principal place of business of the Company;</w:t>
      </w:r>
    </w:p>
    <w:p>
      <w:pPr>
        <w:spacing w:after="0" w:line="211"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substitution, removal or withdrawal or resignation of Members or Assignees in accordance with this</w:t>
      </w:r>
    </w:p>
    <w:p>
      <w:pPr>
        <w:spacing w:after="0" w:line="1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91" w:lineRule="exact"/>
        <w:rPr>
          <w:rFonts w:ascii="Times New Roman" w:cs="Times New Roman" w:eastAsia="Times New Roman" w:hAnsi="Times New Roman"/>
          <w:sz w:val="18"/>
          <w:szCs w:val="18"/>
          <w:color w:val="auto"/>
        </w:rPr>
      </w:pPr>
    </w:p>
    <w:p>
      <w:pPr>
        <w:jc w:val="both"/>
        <w:ind w:left="760" w:firstLine="1494"/>
        <w:spacing w:after="0" w:line="250" w:lineRule="auto"/>
        <w:tabs>
          <w:tab w:leader="none" w:pos="261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does not adversely affect any holder of Units in any material respect in its capacity as an owner of Units and is necessary or desirable to satisfy any requirements, conditions or guidelines contained in any opinion, directive, order, ruling or regulation of any United States federal or state agency or judicial authority or contained in any United States federal or state statute; or</w:t>
      </w:r>
    </w:p>
    <w:p>
      <w:pPr>
        <w:spacing w:after="0" w:line="176" w:lineRule="exact"/>
        <w:rPr>
          <w:rFonts w:ascii="Times New Roman" w:cs="Times New Roman" w:eastAsia="Times New Roman" w:hAnsi="Times New Roman"/>
          <w:sz w:val="18"/>
          <w:szCs w:val="18"/>
          <w:color w:val="auto"/>
        </w:rPr>
      </w:pPr>
    </w:p>
    <w:p>
      <w:pPr>
        <w:ind w:left="2620" w:hanging="366"/>
        <w:spacing w:after="0"/>
        <w:tabs>
          <w:tab w:leader="none" w:pos="262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contemplated by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w:t>
      </w:r>
    </w:p>
    <w:p>
      <w:pPr>
        <w:spacing w:after="0" w:line="211" w:lineRule="exact"/>
        <w:rPr>
          <w:rFonts w:ascii="Times New Roman" w:cs="Times New Roman" w:eastAsia="Times New Roman" w:hAnsi="Times New Roman"/>
          <w:sz w:val="18"/>
          <w:szCs w:val="18"/>
          <w:color w:val="auto"/>
        </w:rPr>
      </w:pPr>
    </w:p>
    <w:p>
      <w:pPr>
        <w:jc w:val="both"/>
        <w:ind w:firstLine="1505"/>
        <w:spacing w:after="0" w:line="237" w:lineRule="auto"/>
        <w:tabs>
          <w:tab w:leader="none" w:pos="185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15.2(a)</w:t>
      </w:r>
      <w:r>
        <w:rPr>
          <w:rFonts w:ascii="Times New Roman" w:cs="Times New Roman" w:eastAsia="Times New Roman" w:hAnsi="Times New Roman"/>
          <w:sz w:val="18"/>
          <w:szCs w:val="18"/>
          <w:color w:val="auto"/>
        </w:rPr>
        <w:t xml:space="preserve">, this Agreement may not be amended or modified except with the consent of the Managing Member and, so long as the Founder Ownership Percentage is at least 15%, the approval of the Continuing Member Representative. Notwithstanding the preceding sentence, (i) no consent or approval shall be required for the Company to admit a Permitted Transferee as a Member following an Exempt Transfer completed in compliance with this Agreement, and (ii) if the Founder Ownership Percentage is less than 15%, the Continuing Member Representative must also consent to or approve any amendments or modifications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or related definitions or any other amendments or modifications that affect the rights granted to Continuing Members in such sections in any material respect, including, without limitation, changes to the number of shares of Class A Common Stock issued upon an Exchange, either through an amendment to the definition of “Exchange Rate” or otherwise, or that otherwise increases the obligations or decreases the benefits to the Continuing Members. Notwithstanding the foregoing, any amendment which would materially and adversely affect the rights or duties of a Member on a discriminatory and non-pro rata basis shall require the consent of such Member, other than those actions set forth in </w:t>
      </w:r>
      <w:r>
        <w:rPr>
          <w:rFonts w:ascii="Times New Roman" w:cs="Times New Roman" w:eastAsia="Times New Roman" w:hAnsi="Times New Roman"/>
          <w:sz w:val="18"/>
          <w:szCs w:val="18"/>
          <w:u w:val="single" w:color="auto"/>
          <w:color w:val="auto"/>
        </w:rPr>
        <w:t>Section 15.2(a)</w:t>
      </w:r>
      <w:r>
        <w:rPr>
          <w:rFonts w:ascii="Times New Roman" w:cs="Times New Roman" w:eastAsia="Times New Roman" w:hAnsi="Times New Roman"/>
          <w:sz w:val="18"/>
          <w:szCs w:val="18"/>
          <w:color w:val="auto"/>
        </w:rPr>
        <w:t xml:space="preserve"> above. In addition, the amendment of any specific approval, consent, voting right, or transfer rights of a specified Member shall require the approval of such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Member holds the number of Units, as applicable, required to exercise such rights. Any amendment or modification effected in accordance with this </w:t>
      </w:r>
      <w:r>
        <w:rPr>
          <w:rFonts w:ascii="Times New Roman" w:cs="Times New Roman" w:eastAsia="Times New Roman" w:hAnsi="Times New Roman"/>
          <w:sz w:val="18"/>
          <w:szCs w:val="18"/>
          <w:u w:val="single" w:color="auto"/>
          <w:color w:val="auto"/>
        </w:rPr>
        <w:t>Section 15.2(b)</w:t>
      </w:r>
      <w:r>
        <w:rPr>
          <w:rFonts w:ascii="Times New Roman" w:cs="Times New Roman" w:eastAsia="Times New Roman" w:hAnsi="Times New Roman"/>
          <w:sz w:val="18"/>
          <w:szCs w:val="18"/>
          <w:color w:val="auto"/>
        </w:rPr>
        <w:t xml:space="preserve"> shall be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3" w:name="page334"/>
    <w:bookmarkEnd w:id="333"/>
    <w:p>
      <w:pPr>
        <w:jc w:val="both"/>
        <w:spacing w:after="0" w:line="245" w:lineRule="auto"/>
        <w:rPr>
          <w:sz w:val="20"/>
          <w:szCs w:val="20"/>
          <w:color w:val="auto"/>
        </w:rPr>
      </w:pPr>
      <w:r>
        <w:rPr>
          <w:rFonts w:ascii="Times New Roman" w:cs="Times New Roman" w:eastAsia="Times New Roman" w:hAnsi="Times New Roman"/>
          <w:sz w:val="18"/>
          <w:szCs w:val="18"/>
          <w:color w:val="auto"/>
        </w:rPr>
        <w:t>effective, in accordance with its terms, with respect to the rights and obligations of and binding upon all Members. For the avoidance of doubt, without any action or requirement of consent by any Member, the Company shall update the books and records of the Company to remove a Member’s name therefrom once such Member no longer holds any Equity Securities, following which such Person shall cease to be a “Member” or have any rights or obligations under this Agreement.</w:t>
      </w:r>
    </w:p>
    <w:p>
      <w:pPr>
        <w:spacing w:after="0" w:line="18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Title to Company Assets</w:t>
      </w:r>
      <w:r>
        <w:rPr>
          <w:rFonts w:ascii="Times New Roman" w:cs="Times New Roman" w:eastAsia="Times New Roman" w:hAnsi="Times New Roman"/>
          <w:sz w:val="18"/>
          <w:szCs w:val="18"/>
          <w:color w:val="auto"/>
        </w:rPr>
        <w:t>. The Company assets shall be deemed to be owned by the Company as an entity, and no holder of Units, individually or collectively, shall have any ownership interest in such Company assets or any portion thereof. The Managing Member hereby declares and warrants that any Company assets for which legal title is held in its name or the name of any nominee shall be held in trust by the Managing Member or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8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Any notice provided for in this Agreement will be in writing and will be either personally delivered, or received by certified mail, return receipt requested, sent by reputable overnight courier service (charges prepaid) or electronic mail to the Company at the address set forth below and to any other recipient and to any holder of Units at such address as indicated by the Company’s records, or at such address or to the attention of such other person as the recipient party has specified by prior written notice to the sending party. Notices will be deemed to have been given hereunder when delivered personally or sent by electronic mail (provided confirmation of transmission is received), three days after deposit in the U.S. mail and one day after deposit with a reputable overnight courier service. The Company’s address is:</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auto"/>
        </w:rPr>
        <w:t>To the Company</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Rani Therapeutics, LLC</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2051 Ringwood Avenue</w:t>
      </w:r>
    </w:p>
    <w:p>
      <w:pPr>
        <w:ind w:left="1500"/>
        <w:spacing w:after="0" w:line="234" w:lineRule="auto"/>
        <w:rPr>
          <w:sz w:val="20"/>
          <w:szCs w:val="20"/>
          <w:color w:val="auto"/>
        </w:rPr>
      </w:pPr>
      <w:r>
        <w:rPr>
          <w:rFonts w:ascii="Times New Roman" w:cs="Times New Roman" w:eastAsia="Times New Roman" w:hAnsi="Times New Roman"/>
          <w:sz w:val="18"/>
          <w:szCs w:val="18"/>
          <w:color w:val="auto"/>
        </w:rPr>
        <w:t>San Jose, CA 95131</w:t>
      </w:r>
    </w:p>
    <w:p>
      <w:pPr>
        <w:ind w:left="1500"/>
        <w:spacing w:after="0" w:line="235" w:lineRule="auto"/>
        <w:rPr>
          <w:sz w:val="20"/>
          <w:szCs w:val="20"/>
          <w:color w:val="auto"/>
        </w:rPr>
      </w:pPr>
      <w:r>
        <w:rPr>
          <w:rFonts w:ascii="Times New Roman" w:cs="Times New Roman" w:eastAsia="Times New Roman" w:hAnsi="Times New Roman"/>
          <w:sz w:val="18"/>
          <w:szCs w:val="18"/>
          <w:color w:val="auto"/>
        </w:rPr>
        <w:t>Email Address: svai@ranitherapeutics.com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auto"/>
        </w:rPr>
        <w:t>To the Managing Member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2051 Ringwood Avenue</w:t>
      </w:r>
    </w:p>
    <w:p>
      <w:pPr>
        <w:ind w:left="1500"/>
        <w:spacing w:after="0" w:line="234" w:lineRule="auto"/>
        <w:rPr>
          <w:sz w:val="20"/>
          <w:szCs w:val="20"/>
          <w:color w:val="auto"/>
        </w:rPr>
      </w:pPr>
      <w:r>
        <w:rPr>
          <w:rFonts w:ascii="Times New Roman" w:cs="Times New Roman" w:eastAsia="Times New Roman" w:hAnsi="Times New Roman"/>
          <w:sz w:val="18"/>
          <w:szCs w:val="18"/>
          <w:color w:val="auto"/>
        </w:rPr>
        <w:t>San Jose, CA 95131</w:t>
      </w:r>
    </w:p>
    <w:p>
      <w:pPr>
        <w:ind w:left="1500"/>
        <w:spacing w:after="0" w:line="235" w:lineRule="auto"/>
        <w:rPr>
          <w:sz w:val="20"/>
          <w:szCs w:val="20"/>
          <w:color w:val="auto"/>
        </w:rPr>
      </w:pPr>
      <w:r>
        <w:rPr>
          <w:rFonts w:ascii="Times New Roman" w:cs="Times New Roman" w:eastAsia="Times New Roman" w:hAnsi="Times New Roman"/>
          <w:sz w:val="18"/>
          <w:szCs w:val="18"/>
          <w:color w:val="auto"/>
        </w:rPr>
        <w:t>Email Address: svai@ranitherapeutics.com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in each case, with a copy (which shall not constitute written notice) to:</w:t>
      </w:r>
    </w:p>
    <w:p>
      <w:pPr>
        <w:spacing w:after="0" w:line="19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Cooley LLP</w:t>
      </w:r>
    </w:p>
    <w:p>
      <w:pPr>
        <w:spacing w:after="0" w:line="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3175 Hanover Street</w:t>
      </w:r>
    </w:p>
    <w:p>
      <w:pPr>
        <w:ind w:left="1500"/>
        <w:spacing w:after="0" w:line="234" w:lineRule="auto"/>
        <w:rPr>
          <w:sz w:val="20"/>
          <w:szCs w:val="20"/>
          <w:color w:val="auto"/>
        </w:rPr>
      </w:pPr>
      <w:r>
        <w:rPr>
          <w:rFonts w:ascii="Times New Roman" w:cs="Times New Roman" w:eastAsia="Times New Roman" w:hAnsi="Times New Roman"/>
          <w:sz w:val="18"/>
          <w:szCs w:val="18"/>
          <w:color w:val="auto"/>
        </w:rPr>
        <w:t>Palo Alto, CA 94304-1130</w:t>
      </w:r>
    </w:p>
    <w:p>
      <w:pPr>
        <w:ind w:left="1500"/>
        <w:spacing w:after="0" w:line="235" w:lineRule="auto"/>
        <w:rPr>
          <w:sz w:val="20"/>
          <w:szCs w:val="20"/>
          <w:color w:val="auto"/>
        </w:rPr>
      </w:pPr>
      <w:r>
        <w:rPr>
          <w:rFonts w:ascii="Times New Roman" w:cs="Times New Roman" w:eastAsia="Times New Roman" w:hAnsi="Times New Roman"/>
          <w:sz w:val="18"/>
          <w:szCs w:val="18"/>
          <w:color w:val="auto"/>
        </w:rPr>
        <w:t>Email Address: jseidenfeld@cooley.com</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Josh Seidenfeld</w:t>
      </w:r>
    </w:p>
    <w:p>
      <w:pPr>
        <w:spacing w:after="0" w:line="178"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parties hereto and their heirs, executors, administrators, successors, legal representatives and permitted assigns.</w:t>
      </w:r>
    </w:p>
    <w:p>
      <w:pPr>
        <w:spacing w:after="0" w:line="16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Creditors</w:t>
      </w:r>
      <w:r>
        <w:rPr>
          <w:rFonts w:ascii="Times New Roman" w:cs="Times New Roman" w:eastAsia="Times New Roman" w:hAnsi="Times New Roman"/>
          <w:sz w:val="18"/>
          <w:szCs w:val="18"/>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4" w:name="page335"/>
    <w:bookmarkEnd w:id="334"/>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will be an original and all of which together shall constitute one and the same agreement binding on all the parties hereto. Counterparts may be delivered via facsimile, electronic mail (including pdf or any electronic signature complying with the U.S. federal ESIGN Act of 2000, the Uniform Electronic Transactions Act or other applicable law) or other transmission method and any counterpart so delivered shall be deemed to have been duly and validly delivered and be valid and effective for all purposes.</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Applicable Law; Waiver of Jury Trial</w:t>
      </w:r>
      <w:r>
        <w:rPr>
          <w:rFonts w:ascii="Times New Roman" w:cs="Times New Roman" w:eastAsia="Times New Roman" w:hAnsi="Times New Roman"/>
          <w:sz w:val="18"/>
          <w:szCs w:val="18"/>
          <w:color w:val="auto"/>
        </w:rPr>
        <w:t xml:space="preserve">. This Agreement shall be governed by, and construed in accordance with, the laws of the State of California, without giving effect to any choice of law or conflict of law rules or provisions (whether of the State of California or any other jurisdiction) that would cause the application of the laws of any jurisdiction other than the State of California. Any dispute relating hereto shall be heard in the state or federal courts of California, and the parties agree to exclusive jurisdiction and venue therein and waive, to the fullest extent permitted by law, any objection based on venue or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with respect to any action instituted therein. The parties hereto hereby consent to service being made through the notice procedures set forth in </w:t>
      </w:r>
      <w:r>
        <w:rPr>
          <w:rFonts w:ascii="Times New Roman" w:cs="Times New Roman" w:eastAsia="Times New Roman" w:hAnsi="Times New Roman"/>
          <w:sz w:val="18"/>
          <w:szCs w:val="18"/>
          <w:u w:val="single" w:color="auto"/>
          <w:color w:val="auto"/>
        </w:rPr>
        <w:t>Section 15.4</w:t>
      </w:r>
      <w:r>
        <w:rPr>
          <w:rFonts w:ascii="Times New Roman" w:cs="Times New Roman" w:eastAsia="Times New Roman" w:hAnsi="Times New Roman"/>
          <w:sz w:val="18"/>
          <w:szCs w:val="18"/>
          <w:color w:val="auto"/>
        </w:rPr>
        <w:t xml:space="preserve"> and irrevocably submit to the jurisdiction of the aforesaid courts. THE PARTIES HERETO HEREBY IRREVOCABLY WAIVE, TO THE FULLEST EXTENT PERMITTED BY LAW, ANY AND ALL RIGHT TO TRIAL BY JURY IN ANY LEGAL PROCEEDING ARISING OUT OF OR RELATED TO THIS AGREEMENT OR THE TRANSACTIONS CONTEMPLATED HEREBY.</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shall use commercially reasonable efforts to execute and deliver all documents, provide all information and take or refrain from taking such actions as may be necessary or appropriate to achieve the purposes of this Agreement.</w:t>
      </w:r>
    </w:p>
    <w:p>
      <w:pPr>
        <w:spacing w:after="0" w:line="16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Delivery by Facsimile</w:t>
      </w:r>
      <w:r>
        <w:rPr>
          <w:rFonts w:ascii="Times New Roman" w:cs="Times New Roman" w:eastAsia="Times New Roman" w:hAnsi="Times New Roman"/>
          <w:sz w:val="18"/>
          <w:szCs w:val="18"/>
          <w:color w:val="auto"/>
        </w:rPr>
        <w:t>. This Agreement and any signed agreement or instrument entered into in connection with this Agreement or contemplated hereby, and any amendments hereto or thereto, to the extent signed and delivered by means of a facsimile machine or electronic transmission (i.e., in portable document format),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of a contract and each such party forever waives any such defense.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Offset</w:t>
      </w:r>
      <w:r>
        <w:rPr>
          <w:rFonts w:ascii="Times New Roman" w:cs="Times New Roman" w:eastAsia="Times New Roman" w:hAnsi="Times New Roman"/>
          <w:sz w:val="18"/>
          <w:szCs w:val="18"/>
          <w:color w:val="auto"/>
        </w:rPr>
        <w:t>. Whenever the Company is to pay any sum to any holder of Units or any Affiliate or related person thereof, any undisputed amounts that such holder of Units or such Affiliate or related person owes to the Company (such lack of dispute to be evidenced by written confirmation of such by such holder of Units or related person thereof) may be deducted from that sum before payment.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5" w:name="page336"/>
    <w:bookmarkEnd w:id="335"/>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those documents expressly referred to herein (including the Exchange Agreements and the Tax Receivable Agreement) and other documents of even date herewith embody the complete agreement and understanding among the parties and supersede and preempt any prior understandings, agreements or representations by or among the parties, written or oral (including the Prior Agreement), which may have related to the subject matter hereof in any way.</w:t>
      </w:r>
    </w:p>
    <w:p>
      <w:pPr>
        <w:spacing w:after="0" w:line="18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Each holder of Units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seek to enforce such rights specifically (without posting a bond or other security), to recover damages by reason of any breach of any provision of this Agreement and to exercise all other rights granted by law.</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to the fullest extent permitted by law,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8" w:lineRule="exact"/>
        <w:rPr>
          <w:sz w:val="20"/>
          <w:szCs w:val="20"/>
          <w:color w:val="auto"/>
        </w:rPr>
      </w:pPr>
    </w:p>
    <w:p>
      <w:pPr>
        <w:jc w:val="both"/>
        <w:ind w:right="20" w:firstLine="749"/>
        <w:spacing w:after="0" w:line="245"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Each Member who is married severally represents that true and complete copies of this Agreement and all documents to be executed by such Member hereunder have been furnished to his or her spouse; represents and warrants to the Company and to the other Members that such spouse has read this Agreement and all related documents applicable to such Member, is familiar with each of their terms, and has agreed to be bound to the obligations of such Member hereunder and thereunder.</w:t>
      </w:r>
    </w:p>
    <w:p>
      <w:pPr>
        <w:spacing w:after="0" w:line="181" w:lineRule="exact"/>
        <w:rPr>
          <w:sz w:val="20"/>
          <w:szCs w:val="20"/>
          <w:color w:val="auto"/>
        </w:rPr>
      </w:pPr>
    </w:p>
    <w:p>
      <w:pPr>
        <w:ind w:left="4400"/>
        <w:spacing w:after="0"/>
        <w:tabs>
          <w:tab w:leader="none" w:pos="4980" w:val="left"/>
          <w:tab w:leader="none" w:pos="5560" w:val="left"/>
          <w:tab w:leader="none" w:pos="6140" w:val="left"/>
          <w:tab w:leader="none" w:pos="6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6" w:name="page337"/>
    <w:bookmarkEnd w:id="336"/>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RANI THERAPEUTICS, LLC</w:t>
      </w:r>
    </w:p>
    <w:p>
      <w:pPr>
        <w:spacing w:after="0" w:line="200" w:lineRule="exact"/>
        <w:rPr>
          <w:sz w:val="20"/>
          <w:szCs w:val="20"/>
          <w:color w:val="auto"/>
        </w:rPr>
      </w:pPr>
    </w:p>
    <w:p>
      <w:pPr>
        <w:spacing w:after="0" w:line="205" w:lineRule="exact"/>
        <w:rPr>
          <w:sz w:val="20"/>
          <w:szCs w:val="20"/>
          <w:color w:val="auto"/>
        </w:rPr>
      </w:pPr>
    </w:p>
    <w:tbl>
      <w:tblPr>
        <w:tblLayout w:type="fixed"/>
        <w:tblInd w:w="5640" w:type="dxa"/>
        <w:tblCellMar>
          <w:top w:w="0" w:type="dxa"/>
          <w:left w:w="0" w:type="dxa"/>
          <w:bottom w:w="0" w:type="dxa"/>
          <w:right w:w="0" w:type="dxa"/>
        </w:tblCellMar>
      </w:tblPr>
      <w:tr>
        <w:trPr>
          <w:trHeight w:val="2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Talat Imran</w:t>
            </w:r>
          </w:p>
        </w:tc>
      </w:tr>
      <w:tr>
        <w:trPr>
          <w:trHeight w:val="191"/>
        </w:trPr>
        <w:tc>
          <w:tcPr>
            <w:tcW w:w="56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3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r>
        <w:rPr>
          <w:rFonts w:ascii="Times New Roman" w:cs="Times New Roman" w:eastAsia="Times New Roman" w:hAnsi="Times New Roman"/>
          <w:sz w:val="18"/>
          <w:szCs w:val="18"/>
          <w:color w:val="auto"/>
        </w:rPr>
        <w:t>, including with respect to the</w:t>
      </w:r>
    </w:p>
    <w:p>
      <w:pPr>
        <w:ind w:left="5640"/>
        <w:spacing w:after="0" w:line="203" w:lineRule="auto"/>
        <w:rPr>
          <w:sz w:val="20"/>
          <w:szCs w:val="20"/>
          <w:color w:val="auto"/>
        </w:rPr>
      </w:pPr>
      <w:r>
        <w:rPr>
          <w:rFonts w:ascii="Times New Roman" w:cs="Times New Roman" w:eastAsia="Times New Roman" w:hAnsi="Times New Roman"/>
          <w:sz w:val="18"/>
          <w:szCs w:val="18"/>
          <w:color w:val="auto"/>
        </w:rPr>
        <w:t>Class B Voting Units anticipated to be acquired pursuant to the Exchange</w:t>
      </w:r>
    </w:p>
    <w:p>
      <w:pPr>
        <w:ind w:left="5640"/>
        <w:spacing w:after="0"/>
        <w:rPr>
          <w:sz w:val="20"/>
          <w:szCs w:val="20"/>
          <w:color w:val="auto"/>
        </w:rPr>
      </w:pPr>
      <w:r>
        <w:rPr>
          <w:rFonts w:ascii="Times New Roman" w:cs="Times New Roman" w:eastAsia="Times New Roman" w:hAnsi="Times New Roman"/>
          <w:sz w:val="18"/>
          <w:szCs w:val="18"/>
          <w:color w:val="auto"/>
        </w:rPr>
        <w:t>Agreements</w:t>
      </w:r>
    </w:p>
    <w:p>
      <w:pPr>
        <w:spacing w:after="0" w:line="381"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8890</wp:posOffset>
            </wp:positionV>
            <wp:extent cx="317182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Name: Talat Imran</w:t>
      </w:r>
    </w:p>
    <w:p>
      <w:pPr>
        <w:ind w:left="6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986155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7" w:name="page338"/>
    <w:bookmarkEnd w:id="337"/>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INCUBE LABS, LLC</w:t>
      </w:r>
    </w:p>
    <w:p>
      <w:pPr>
        <w:spacing w:after="0" w:line="200" w:lineRule="exact"/>
        <w:rPr>
          <w:sz w:val="20"/>
          <w:szCs w:val="20"/>
          <w:color w:val="auto"/>
        </w:rPr>
      </w:pP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Mir Imran</w:t>
      </w: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8" w:name="page339"/>
    <w:bookmarkEnd w:id="338"/>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INCUBE VENTURES II, 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Farquharson</w:t>
      </w:r>
    </w:p>
    <w:p>
      <w:pPr>
        <w:ind w:left="56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9" w:name="page340"/>
    <w:bookmarkEnd w:id="339"/>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MEMBERS:</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IV</w:t>
      </w:r>
    </w:p>
    <w:p>
      <w:pPr>
        <w:spacing w:after="0" w:line="200" w:lineRule="exact"/>
        <w:rPr>
          <w:sz w:val="20"/>
          <w:szCs w:val="20"/>
          <w:color w:val="auto"/>
        </w:rPr>
      </w:pP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 A. 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Stephan A. Stein</w:t>
      </w:r>
    </w:p>
    <w:p>
      <w:pPr>
        <w:ind w:left="6200"/>
        <w:spacing w:after="0"/>
        <w:rPr>
          <w:sz w:val="20"/>
          <w:szCs w:val="20"/>
          <w:color w:val="auto"/>
        </w:rPr>
      </w:pPr>
      <w:r>
        <w:rPr>
          <w:rFonts w:ascii="Times New Roman" w:cs="Times New Roman" w:eastAsia="Times New Roman" w:hAnsi="Times New Roman"/>
          <w:sz w:val="18"/>
          <w:szCs w:val="18"/>
          <w:color w:val="auto"/>
        </w:rPr>
        <w:t>Title: Member</w:t>
      </w:r>
    </w:p>
    <w:p>
      <w:pPr>
        <w:spacing w:after="0" w:line="1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BUTTONWOOD ALPHA QP FUND LLC – SERIES RANI III</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6200" w:type="dxa"/>
            <w:vAlign w:val="bottom"/>
          </w:tcPr>
          <w:p>
            <w:pPr>
              <w:spacing w:after="0"/>
              <w:rPr>
                <w:sz w:val="15"/>
                <w:szCs w:val="15"/>
                <w:color w:val="auto"/>
              </w:rPr>
            </w:pP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05"/>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BUTTONWOOD ALPHA FUND LLC</w:t>
            </w:r>
          </w:p>
        </w:tc>
      </w:tr>
      <w:tr>
        <w:trPr>
          <w:trHeight w:val="35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387"/>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6200" w:type="dxa"/>
            <w:vAlign w:val="bottom"/>
          </w:tcPr>
          <w:p>
            <w:pPr>
              <w:spacing w:after="0"/>
              <w:rPr>
                <w:sz w:val="15"/>
                <w:szCs w:val="15"/>
                <w:color w:val="auto"/>
              </w:rPr>
            </w:pP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405"/>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BUTTONWOOD ALPHA QP FUND LLC</w:t>
            </w:r>
          </w:p>
        </w:tc>
      </w:tr>
      <w:tr>
        <w:trPr>
          <w:trHeight w:val="351"/>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Buttonwood Select Opportunities Management Associates LLC, its</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387"/>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Stephan A. Stein</w:t>
            </w:r>
          </w:p>
        </w:tc>
      </w:tr>
      <w:tr>
        <w:trPr>
          <w:trHeight w:val="178"/>
        </w:trPr>
        <w:tc>
          <w:tcPr>
            <w:tcW w:w="6200" w:type="dxa"/>
            <w:vAlign w:val="bottom"/>
          </w:tcPr>
          <w:p>
            <w:pPr>
              <w:spacing w:after="0"/>
              <w:rPr>
                <w:sz w:val="15"/>
                <w:szCs w:val="15"/>
                <w:color w:val="auto"/>
              </w:rPr>
            </w:pPr>
          </w:p>
        </w:tc>
        <w:tc>
          <w:tcPr>
            <w:tcW w:w="50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 Stephan A. Stein</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547"/>
        </w:trPr>
        <w:tc>
          <w:tcPr>
            <w:tcW w:w="62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0" w:name="page341"/>
    <w:bookmarkEnd w:id="340"/>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ER INVESTMENT GROUP 1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Elie 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8890</wp:posOffset>
            </wp:positionV>
            <wp:extent cx="323151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8">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Elie Rieder</w:t>
      </w:r>
    </w:p>
    <w:p>
      <w:pPr>
        <w:ind w:left="61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1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ERS INVESTMENTS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Elie Rieder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8890</wp:posOffset>
            </wp:positionV>
            <wp:extent cx="323151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Elie Rieder</w:t>
      </w:r>
    </w:p>
    <w:p>
      <w:pPr>
        <w:ind w:left="61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1" w:name="page342"/>
    <w:bookmarkEnd w:id="341"/>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GV 2013, L.P.</w:t>
      </w:r>
    </w:p>
    <w:p>
      <w:pPr>
        <w:spacing w:after="0" w:line="20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GV 2013 GP, L.L.C.,</w:t>
      </w:r>
    </w:p>
    <w:p>
      <w:pPr>
        <w:spacing w:after="0" w:line="1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381"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Inga Goldbard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Inga Goldbard</w:t>
      </w:r>
    </w:p>
    <w:p>
      <w:pPr>
        <w:ind w:left="610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GV 2015, L.P.</w:t>
      </w:r>
    </w:p>
    <w:p>
      <w:pPr>
        <w:spacing w:after="0" w:line="20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GV 2015 GP, L.L.C.</w:t>
      </w:r>
    </w:p>
    <w:p>
      <w:pPr>
        <w:spacing w:after="0" w:line="1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381"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Inga Goldbard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Inga Goldbard</w:t>
      </w:r>
    </w:p>
    <w:p>
      <w:pPr>
        <w:ind w:left="610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GV 2017, L.P.</w:t>
      </w:r>
    </w:p>
    <w:p>
      <w:pPr>
        <w:spacing w:after="0" w:line="20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GV 2017 GP, L.P., its General Partner</w:t>
      </w:r>
    </w:p>
    <w:p>
      <w:pPr>
        <w:spacing w:after="0" w:line="16"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GV 2017 GP, L.L.C., its General Partner</w:t>
      </w:r>
    </w:p>
    <w:p>
      <w:pPr>
        <w:spacing w:after="0" w:line="381"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Inga Goldbard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Inga Goldbard</w:t>
      </w:r>
    </w:p>
    <w:p>
      <w:pPr>
        <w:ind w:left="610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2" w:name="page343"/>
    <w:bookmarkEnd w:id="342"/>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MEDIMMUNE,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E.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David E. White</w:t>
      </w:r>
    </w:p>
    <w:p>
      <w:pPr>
        <w:ind w:left="620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3" w:name="page344"/>
    <w:bookmarkEnd w:id="343"/>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NOVARTIS PHARMACEUTICALS CORPORATION</w:t>
      </w:r>
    </w:p>
    <w:p>
      <w:pPr>
        <w:spacing w:after="0" w:line="200" w:lineRule="exact"/>
        <w:rPr>
          <w:sz w:val="20"/>
          <w:szCs w:val="20"/>
          <w:color w:val="auto"/>
        </w:rPr>
      </w:pP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Ceulemans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Marc Ceulemans</w:t>
      </w:r>
    </w:p>
    <w:p>
      <w:pPr>
        <w:ind w:left="6200"/>
        <w:spacing w:after="0"/>
        <w:rPr>
          <w:sz w:val="20"/>
          <w:szCs w:val="20"/>
          <w:color w:val="auto"/>
        </w:rPr>
      </w:pPr>
      <w:r>
        <w:rPr>
          <w:rFonts w:ascii="Times New Roman" w:cs="Times New Roman" w:eastAsia="Times New Roman" w:hAnsi="Times New Roman"/>
          <w:sz w:val="18"/>
          <w:szCs w:val="18"/>
          <w:color w:val="auto"/>
        </w:rPr>
        <w:t>Title: Head Strategic Venture Fund &amp; Pharma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4" w:name="page345"/>
    <w:bookmarkEnd w:id="344"/>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RANI INVESTMENT CORP.</w:t>
      </w:r>
    </w:p>
    <w:p>
      <w:pPr>
        <w:spacing w:after="0" w:line="200" w:lineRule="exact"/>
        <w:rPr>
          <w:sz w:val="20"/>
          <w:szCs w:val="20"/>
          <w:color w:val="auto"/>
        </w:rPr>
      </w:pPr>
    </w:p>
    <w:p>
      <w:pPr>
        <w:spacing w:after="0" w:line="20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Andrew Farquharson</w:t>
      </w:r>
    </w:p>
    <w:p>
      <w:pPr>
        <w:ind w:left="61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5" w:name="page346"/>
    <w:bookmarkEnd w:id="345"/>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TAKEDA VENTURES, INC.</w:t>
      </w:r>
    </w:p>
    <w:p>
      <w:pPr>
        <w:spacing w:after="0" w:line="200" w:lineRule="exact"/>
        <w:rPr>
          <w:sz w:val="20"/>
          <w:szCs w:val="20"/>
          <w:color w:val="auto"/>
        </w:rPr>
      </w:pPr>
    </w:p>
    <w:p>
      <w:pPr>
        <w:spacing w:after="0" w:line="20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Michael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Michael Martin</w:t>
      </w:r>
    </w:p>
    <w:p>
      <w:pPr>
        <w:ind w:left="6100"/>
        <w:spacing w:after="0"/>
        <w:rPr>
          <w:sz w:val="20"/>
          <w:szCs w:val="20"/>
          <w:color w:val="auto"/>
        </w:rPr>
      </w:pPr>
      <w:r>
        <w:rPr>
          <w:rFonts w:ascii="Times New Roman" w:cs="Times New Roman" w:eastAsia="Times New Roman" w:hAnsi="Times New Roman"/>
          <w:sz w:val="18"/>
          <w:szCs w:val="18"/>
          <w:color w:val="auto"/>
        </w:rPr>
        <w:t>Title: President, Takeda Ventures,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6" w:name="page347"/>
    <w:bookmarkEnd w:id="346"/>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DAVID PYOTT LIVING TRUST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Pyott</w:t>
      </w:r>
    </w:p>
    <w:p>
      <w:pPr>
        <w:ind w:left="5640"/>
        <w:spacing w:after="0"/>
        <w:rPr>
          <w:sz w:val="20"/>
          <w:szCs w:val="20"/>
          <w:color w:val="auto"/>
        </w:rPr>
      </w:pPr>
      <w:r>
        <w:rPr>
          <w:rFonts w:ascii="Times New Roman" w:cs="Times New Roman" w:eastAsia="Times New Roman" w:hAnsi="Times New Roman"/>
          <w:sz w:val="18"/>
          <w:szCs w:val="18"/>
          <w:color w:val="auto"/>
        </w:rPr>
        <w:t>Title: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7" w:name="page348"/>
    <w:bookmarkEnd w:id="347"/>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NGELA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URCH</w:t>
      </w:r>
    </w:p>
    <w:p>
      <w:pPr>
        <w:spacing w:after="0" w:line="200" w:lineRule="exact"/>
        <w:rPr>
          <w:sz w:val="20"/>
          <w:szCs w:val="20"/>
          <w:color w:val="auto"/>
        </w:rPr>
      </w:pP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Angela Murch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8" w:name="page349"/>
    <w:bookmarkEnd w:id="348"/>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DENNIS AUSIELLO</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Dennis Ausiello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9" w:name="page350"/>
    <w:bookmarkEnd w:id="349"/>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ARTHUR CHANG</w:t>
      </w:r>
    </w:p>
    <w:p>
      <w:pPr>
        <w:spacing w:after="0" w:line="20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Arthur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9">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0" w:name="page351"/>
    <w:bookmarkEnd w:id="350"/>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WYE-CHI CHOK</w:t>
      </w:r>
    </w:p>
    <w:p>
      <w:pPr>
        <w:spacing w:after="0" w:line="20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Wye-Chi Chok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1">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1" w:name="page352"/>
    <w:bookmarkEnd w:id="351"/>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ARVINDER DHALLA</w:t>
      </w:r>
    </w:p>
    <w:p>
      <w:pPr>
        <w:spacing w:after="0" w:line="20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Arvinder Dhalla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3">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2" w:name="page353"/>
    <w:bookmarkEnd w:id="352"/>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ANDREW FARQUHARSON</w:t>
      </w:r>
    </w:p>
    <w:p>
      <w:pPr>
        <w:spacing w:after="0" w:line="202"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5">
                      <a:extLst>
                        <a:ext uri="{28A0092B-C50C-407E-A947-70E740481C1C}"/>
                      </a:extLst>
                    </a:blip>
                    <a:srcRect/>
                    <a:stretch>
                      <a:fillRect/>
                    </a:stretch>
                  </pic:blipFill>
                  <pic:spPr bwMode="auto">
                    <a:xfrm>
                      <a:off x="0" y="0"/>
                      <a:ext cx="32746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3" w:name="page354"/>
    <w:bookmarkEnd w:id="353"/>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MIR HASHIM</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 Hashim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7">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4" w:name="page355"/>
    <w:bookmarkEnd w:id="354"/>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AELYA IMRAN</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Aelya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9">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5" w:name="page356"/>
    <w:bookmarkEnd w:id="355"/>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SANAH IMRAN</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Sanah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6" w:name="page357"/>
    <w:bookmarkEnd w:id="356"/>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TALAT IMRAN</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7" w:name="page358"/>
    <w:bookmarkEnd w:id="357"/>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ABBAS KHORSAND</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Abbas Khorsand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8" w:name="page359"/>
    <w:bookmarkEnd w:id="358"/>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YUHUA LIU</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Yuhua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9" w:name="page360"/>
    <w:bookmarkEnd w:id="359"/>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ROSS MASON</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Ross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0" w:name="page361"/>
    <w:bookmarkEnd w:id="360"/>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STEPHANIE MCGRORY</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Stephanie McGrory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1" w:name="page362"/>
    <w:bookmarkEnd w:id="361"/>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MAULIK NANAVATY</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Maulik Nanavaty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2" w:name="page363"/>
    <w:bookmarkEnd w:id="362"/>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CHANG ONG</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Chang 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3" w:name="page364"/>
    <w:bookmarkEnd w:id="363"/>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CHRISTINE PHAN</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Christine 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4" w:name="page365"/>
    <w:bookmarkEnd w:id="364"/>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DAVID PYOTT</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Pyott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5" w:name="page366"/>
    <w:bookmarkEnd w:id="365"/>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SVAI SANFORD</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6" w:name="page367"/>
    <w:bookmarkEnd w:id="366"/>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ABIDA SYED</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Abida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7" w:name="page368"/>
    <w:bookmarkEnd w:id="367"/>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SOHAIL SYED</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Sohail Syed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8" w:name="page369"/>
    <w:bookmarkEnd w:id="368"/>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MOHSEN SHIRAZI</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Mohsen Shirazi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9" w:name="page370"/>
    <w:bookmarkEnd w:id="369"/>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ALPHA SUGARCOAT INVESTMENT LLC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Renee Li</w:t>
            </w:r>
          </w:p>
        </w:tc>
      </w:tr>
      <w:tr>
        <w:trPr>
          <w:trHeight w:val="203"/>
        </w:trPr>
        <w:tc>
          <w:tcPr>
            <w:tcW w:w="6160" w:type="dxa"/>
            <w:vAlign w:val="bottom"/>
          </w:tcPr>
          <w:p>
            <w:pPr>
              <w:ind w:left="564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ind w:left="240"/>
              <w:spacing w:after="0" w:line="202" w:lineRule="exact"/>
              <w:rPr>
                <w:sz w:val="20"/>
                <w:szCs w:val="20"/>
                <w:color w:val="auto"/>
              </w:rPr>
            </w:pPr>
            <w:r>
              <w:rPr>
                <w:rFonts w:ascii="Times New Roman" w:cs="Times New Roman" w:eastAsia="Times New Roman" w:hAnsi="Times New Roman"/>
                <w:sz w:val="18"/>
                <w:szCs w:val="18"/>
                <w:color w:val="auto"/>
              </w:rPr>
              <w:t>Renee Li</w:t>
            </w:r>
          </w:p>
        </w:tc>
      </w:tr>
      <w:tr>
        <w:trPr>
          <w:trHeight w:val="234"/>
        </w:trPr>
        <w:tc>
          <w:tcPr>
            <w:tcW w:w="61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49"/>
        </w:trPr>
        <w:tc>
          <w:tcPr>
            <w:tcW w:w="61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0" w:name="page371"/>
    <w:bookmarkEnd w:id="370"/>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BETSY GUTIERREZ</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Betsy Gutierrez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1" w:name="page372"/>
    <w:bookmarkEnd w:id="371"/>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RADHIKA KORUPOLU</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Radhika Korupolu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2" w:name="page373"/>
    <w:bookmarkEnd w:id="372"/>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AMINA IMRAN</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Amina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3" w:name="page374"/>
    <w:bookmarkEnd w:id="373"/>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GARY DANG</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4" w:name="page375"/>
    <w:bookmarkEnd w:id="374"/>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have executed this Fifth Amended and Restated Limited Liability Company Agreement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first written above.</w:t>
      </w:r>
    </w:p>
    <w:p>
      <w:pPr>
        <w:spacing w:after="0" w:line="1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MEMBER: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SHAYLA IMRAN</w:t>
      </w:r>
    </w:p>
    <w:p>
      <w:pPr>
        <w:spacing w:after="0" w:line="202"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Shayla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8890</wp:posOffset>
            </wp:positionV>
            <wp:extent cx="3206115"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7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ELECTION OF EXCHANGE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[svai@ranitherapeutics.com]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2051 Ringwood Avenue</w:t>
      </w:r>
    </w:p>
    <w:p>
      <w:pPr>
        <w:spacing w:after="0"/>
        <w:rPr>
          <w:sz w:val="20"/>
          <w:szCs w:val="20"/>
          <w:color w:val="auto"/>
        </w:rPr>
      </w:pPr>
      <w:r>
        <w:rPr>
          <w:rFonts w:ascii="Times New Roman" w:cs="Times New Roman" w:eastAsia="Times New Roman" w:hAnsi="Times New Roman"/>
          <w:sz w:val="18"/>
          <w:szCs w:val="18"/>
          <w:color w:val="auto"/>
        </w:rPr>
        <w:t>San Jose, CA 95131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[svai@ranitherapeutics.com]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Reference is hereby made to the Fifth Amended and Restated Limited Liability Company Agreement of Rani Therapeutics, LLC, a California limited liability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as of August 3, 2021 (as amended from time to time, the “</w:t>
      </w:r>
      <w:r>
        <w:rPr>
          <w:rFonts w:ascii="Times New Roman" w:cs="Times New Roman" w:eastAsia="Times New Roman" w:hAnsi="Times New Roman"/>
          <w:sz w:val="18"/>
          <w:szCs w:val="18"/>
          <w:b w:val="1"/>
          <w:bCs w:val="1"/>
          <w:color w:val="auto"/>
        </w:rPr>
        <w:t>LLC Agreement</w:t>
      </w:r>
      <w:r>
        <w:rPr>
          <w:rFonts w:ascii="Times New Roman" w:cs="Times New Roman" w:eastAsia="Times New Roman" w:hAnsi="Times New Roman"/>
          <w:sz w:val="18"/>
          <w:szCs w:val="18"/>
          <w:color w:val="auto"/>
        </w:rPr>
        <w:t>”), among Rani Therapeutics Holdings, Inc., a Delaware corporation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the Company, and the Members from time to time party thereto (each,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Capitalized terms used but not defined herein shall have the meanings given to them in the LLC Agreement.</w:t>
      </w:r>
    </w:p>
    <w:p>
      <w:pPr>
        <w:spacing w:after="0" w:line="18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Effective as of the Exchange Date as determined in accordance with the LLC Agreement, the undersigned Member hereby transfers and surrenders to the Company the number of Class A Common Units set forth below and an equal number of shares of Paired Voting Stock held by such Member in exchange for the issuance to the undersigned Member of that number of shares of Class A Common Stock equal to the number of Class A Common Units so exchanged (to be issued in its name as set forth below), or, at the sole election of the Managing Member, a Cash Exchange Payment to the account set forth below, in each case in accordance with the LLC Agreement. The undersigned hereby acknowledges that the Exchange of Class A Common Units shall include the cancellation of an equal number of outstanding shares of Paired Voting Stock held by the undersigned that have been surrendered in such Exchange.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Name of Undersigned Member: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641223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1">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137160</wp:posOffset>
            </wp:positionV>
            <wp:extent cx="641223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Class A Common Units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8890</wp:posOffset>
            </wp:positionV>
            <wp:extent cx="377190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Exchange Payment instructions:</w:t>
      </w:r>
    </w:p>
    <w:p>
      <w:pPr>
        <w:spacing w:after="0" w:line="21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the undersigned Member desires the shares of Class A Common Stock be settled through the facilities of The Depositary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please indicate the account of the DTC participant below.</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event PubCo elects to certificate the shares of Class A Common Stock issued to the Member, please indicate the following:</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Name for Certificate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8890</wp:posOffset>
            </wp:positionV>
            <wp:extent cx="4774565"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4">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 for Certificate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137160</wp:posOffset>
            </wp:positionV>
            <wp:extent cx="498919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5">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6" w:name="page377"/>
    <w:bookmarkEnd w:id="376"/>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no consent, approval, authorization, order, registration or qualification of any third party or with any court or governmental agency or body having jurisdiction over the undersigned, the Class A Common Units, the Paired Voting Stock or shares of Class A Common Stock subject to this Election of Exchange is required to be obtained by the undersigned for the transfer of such Class A Common Units, Paired Voting Stock or shares of Class A Common Stock to the Company (or PubCo, as applicable); (iv) the undersigned has complied with any qualifications or filings required under applicable securities laws; (v) the undersigned is the owner of the number of Class A Common Units and Paired Voting Stock the undersigned is electing to Exchange pursuant to this Exchange Notice, and that such Class A Common Units and Paired Voting Stock are not subject to any liens or restrictions on transfer (other than restrictions imposed by the Agreement, the charter and governing documents of PubCo and applicable Law); (vi) the undersigned is an accredited investor as such term is defined in Rule 501 of Regulation D under the Securities Act of 1933, as amended; (vii) the undersigned is either not currently in possession of material non-public information concerning PubCo or its securities or will not be in possession of such material non-public information at the time the shares of Class A common stock are sold in any public sale and (viii) the undersigned has consulted with the undersigned’s personal tax advisor regarding the tax consequences to the undersigned of this Election of Exchange and acknowledges that neither PubCo nor the Company is making any representations or warranties regarding the tax treatment of this Election of Exchange.</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undersigned hereby irrevocably constitutes and appoints any officer of PubCo, as applicable, as the attorney of the undersigned, with full power of substitution and resubstitution in the premises, solely to do any and all things and to take any and all actions necessary to effect the Exchange elected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7" w:name="page378"/>
    <w:bookmarkEnd w:id="377"/>
    <w:p>
      <w:pPr>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by authority duly given, has caused this Election of Exchange to be executed and delivered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undersigned or by its duly authorized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497205</wp:posOffset>
            </wp:positionV>
            <wp:extent cx="354901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8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266065</wp:posOffset>
            </wp:positionV>
            <wp:extent cx="354901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8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OF STANDARD OPTION GRANT PACKAGE]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Rani Therapeutics Holdings,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2021 Equity Incentive Plan (as may be amended and/or restated as of the Date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set forth below,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Optionholder an option to purchase the number of shares of the Common Stock set forth below (the</w:t>
      </w:r>
    </w:p>
    <w:p>
      <w:pPr>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The Option is subject to all of the terms and conditions as set forth in this Stock Option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in the Plan, the</w:t>
      </w:r>
    </w:p>
    <w:p>
      <w:pPr>
        <w:spacing w:after="0" w:line="235" w:lineRule="auto"/>
        <w:rPr>
          <w:sz w:val="20"/>
          <w:szCs w:val="20"/>
          <w:color w:val="auto"/>
        </w:rPr>
      </w:pPr>
      <w:r>
        <w:rPr>
          <w:rFonts w:ascii="Times New Roman" w:cs="Times New Roman" w:eastAsia="Times New Roman" w:hAnsi="Times New Roman"/>
          <w:sz w:val="18"/>
          <w:szCs w:val="18"/>
          <w:color w:val="auto"/>
        </w:rPr>
        <w:t>Option Agreement, and the Notice of Exercise, all of which are attached to this Grant Notice and incorporated into this Grant Notice in their entirety.</w:t>
      </w:r>
    </w:p>
    <w:p>
      <w:pPr>
        <w:spacing w:after="0" w:line="235" w:lineRule="auto"/>
        <w:rPr>
          <w:sz w:val="20"/>
          <w:szCs w:val="20"/>
          <w:color w:val="auto"/>
        </w:rPr>
      </w:pPr>
      <w:r>
        <w:rPr>
          <w:rFonts w:ascii="Times New Roman" w:cs="Times New Roman" w:eastAsia="Times New Roman" w:hAnsi="Times New Roman"/>
          <w:sz w:val="18"/>
          <w:szCs w:val="18"/>
          <w:color w:val="auto"/>
        </w:rPr>
        <w:t>Capitalized terms not explicitly defined in this Grant Notice but defined in the Plan or the Option Agreement shall have the meanings set forth in the Plan</w:t>
      </w:r>
    </w:p>
    <w:p>
      <w:pPr>
        <w:spacing w:after="0" w:line="235" w:lineRule="auto"/>
        <w:rPr>
          <w:sz w:val="20"/>
          <w:szCs w:val="20"/>
          <w:color w:val="auto"/>
        </w:rPr>
      </w:pPr>
      <w:r>
        <w:rPr>
          <w:rFonts w:ascii="Times New Roman" w:cs="Times New Roman" w:eastAsia="Times New Roman" w:hAnsi="Times New Roman"/>
          <w:sz w:val="18"/>
          <w:szCs w:val="18"/>
          <w:color w:val="auto"/>
        </w:rPr>
        <w:t>or the Option Agreement, as applicable. If the Company uses an electronic capitalization table system (such as Carta or Shareworks) and the fields below</w:t>
      </w:r>
    </w:p>
    <w:p>
      <w:pPr>
        <w:spacing w:after="0" w:line="235" w:lineRule="auto"/>
        <w:rPr>
          <w:sz w:val="20"/>
          <w:szCs w:val="20"/>
          <w:color w:val="auto"/>
        </w:rPr>
      </w:pPr>
      <w:r>
        <w:rPr>
          <w:rFonts w:ascii="Times New Roman" w:cs="Times New Roman" w:eastAsia="Times New Roman" w:hAnsi="Times New Roman"/>
          <w:sz w:val="18"/>
          <w:szCs w:val="18"/>
          <w:color w:val="auto"/>
        </w:rPr>
        <w:t>are blank or the information is otherwise provided in a different format electronically, the blank fields and other information (such as exercise schedule and</w:t>
      </w:r>
    </w:p>
    <w:p>
      <w:pPr>
        <w:spacing w:after="0"/>
        <w:rPr>
          <w:sz w:val="20"/>
          <w:szCs w:val="20"/>
          <w:color w:val="auto"/>
        </w:rPr>
      </w:pPr>
      <w:r>
        <w:rPr>
          <w:rFonts w:ascii="Times New Roman" w:cs="Times New Roman" w:eastAsia="Times New Roman" w:hAnsi="Times New Roman"/>
          <w:sz w:val="18"/>
          <w:szCs w:val="18"/>
          <w:color w:val="auto"/>
        </w:rPr>
        <w:t>type of grant) shall be deemed to come from the electronic capitalization system and is considered part of this Grant Notice.</w:t>
      </w:r>
    </w:p>
    <w:p>
      <w:pPr>
        <w:spacing w:after="0" w:line="3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8890</wp:posOffset>
            </wp:positionV>
            <wp:extent cx="403733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1">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wp:posOffset>
            </wp:positionV>
            <wp:extent cx="403733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2">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wp:posOffset>
            </wp:positionV>
            <wp:extent cx="403733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3">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wp:posOffset>
            </wp:positionV>
            <wp:extent cx="403733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4">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wp:posOffset>
            </wp:positionV>
            <wp:extent cx="403733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5">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wp:posOffset>
            </wp:positionV>
            <wp:extent cx="403733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6">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-1905</wp:posOffset>
            </wp:positionV>
            <wp:extent cx="403733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7">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Exercise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[Same as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4445</wp:posOffset>
            </wp:positionV>
            <wp:extent cx="403733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98">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40" w:space="720"/>
            <w:col w:w="6680"/>
          </w:cols>
          <w:pgMar w:left="320" w:top="360" w:right="3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color w:val="auto"/>
        </w:rPr>
        <w:t>Type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[Incentive Stock Option]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wp:posOffset>
            </wp:positionV>
            <wp:extent cx="403733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99">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840" w:space="720"/>
            <w:col w:w="6680"/>
          </w:cols>
          <w:pgMar w:left="320" w:top="360" w:right="339" w:bottom="1440" w:gutter="0" w:footer="0" w:header="0"/>
          <w:type w:val="continuous"/>
        </w:sectPr>
      </w:pPr>
    </w:p>
    <w:p>
      <w:pPr>
        <w:ind w:right="14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Vesting Schedule: </w:t>
      </w:r>
      <w:r>
        <w:rPr>
          <w:rFonts w:ascii="Times New Roman" w:cs="Times New Roman" w:eastAsia="Times New Roman" w:hAnsi="Times New Roman"/>
          <w:sz w:val="18"/>
          <w:szCs w:val="18"/>
          <w:color w:val="auto"/>
        </w:rPr>
        <w:t>[Twenty-five percent (25%) of the Shares subject to the Option will vest on the first anniversary of the Vesting Commencement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one forty-eighth (1/48th) of the Shares subject to the Option will vest each month thereafter on the same day of the month as the Vesting Commencement Date (and if there is no corresponding day, on the last day of the month); provided, that no Shares shall vest after the date Optionholder’s Continuous Service terminates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79" w:name="page380"/>
    <w:bookmarkEnd w:id="379"/>
    <w:p>
      <w:pPr>
        <w:ind w:right="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Optionholder’s signature below or by electronic acceptance or authentication in a form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Optionholder understands and agrees that the Option is governed by this Stock Option Grant Notice, and the provisions of the Plan and the Option Agreement and the Notice of Exercise, all of which are made a part of this document.</w:t>
      </w:r>
    </w:p>
    <w:p>
      <w:pPr>
        <w:spacing w:after="0" w:line="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By accepting this Option, Optionholder consents to receive this Grant Notice, the Option Agreement, the Plan, and any other Plan-related documents by electronic delivery and to participate in the Plan through an on-line or electronic system established and maintained by the Company or another third party designated by the Company. Optionholder represents that he or she has read and is familiar with the provisions of the Plan and the Option Agreement. Optionholder acknowledges and agrees that this Grant Notice and the Option Agreement may not be modified, amended or revised except in writing signed by Optionholder and a duly authorized officer of the Company.</w:t>
      </w:r>
    </w:p>
    <w:p>
      <w:pPr>
        <w:spacing w:after="0" w:line="7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Optionholder further acknowledges that in the event of any conflict between the provisions in this Grant Notice, the Option Agreement, the Notice of Exercise and the terms of the Plan, the terms of the Plan shall control. Optionholder further acknowledges that the Option Agreement sets forth the entire understanding between Optionholder and the Company regarding the acquisition of Common Stock and supersedes all prior oral and written agreements, promises and/or representations on that subject with the exception of other equity awards previously granted to Optionholder and any written employment agreement, offer letter, severance agreement, written severance plan or policy, or other written agreement between the Company and Optionholder in each case that specifies the terms that should govern this Option.</w:t>
      </w:r>
    </w:p>
    <w:p>
      <w:pPr>
        <w:spacing w:after="0" w:line="7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Optionholder further acknowledges that this Grant Notice has been prepared on behalf of the Company by Cooley LLP, counsel to the Company and that Cooley LLP does not represent, and is not acting on behalf of, Optionholder in any capacity. Optionholder has been provided with an opportunity to consult with Optionholder’s own counsel with respect to this Grant Notice.</w:t>
      </w:r>
    </w:p>
    <w:p>
      <w:pPr>
        <w:spacing w:after="0" w:line="69" w:lineRule="exact"/>
        <w:rPr>
          <w:sz w:val="20"/>
          <w:szCs w:val="20"/>
          <w:color w:val="auto"/>
        </w:rPr>
      </w:pPr>
    </w:p>
    <w:p>
      <w:pPr>
        <w:jc w:val="both"/>
        <w:ind w:right="180"/>
        <w:spacing w:after="0" w:line="245" w:lineRule="auto"/>
        <w:rPr>
          <w:sz w:val="20"/>
          <w:szCs w:val="20"/>
          <w:color w:val="auto"/>
        </w:rPr>
      </w:pPr>
      <w:r>
        <w:rPr>
          <w:rFonts w:ascii="Times New Roman" w:cs="Times New Roman" w:eastAsia="Times New Roman" w:hAnsi="Times New Roman"/>
          <w:sz w:val="18"/>
          <w:szCs w:val="18"/>
          <w:color w:val="auto"/>
        </w:rPr>
        <w:t>This Grant Notice may be executed in one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56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Optionholder:</w:t>
            </w:r>
          </w:p>
        </w:tc>
        <w:tc>
          <w:tcPr>
            <w:tcW w:w="0" w:type="dxa"/>
            <w:vAlign w:val="bottom"/>
          </w:tcPr>
          <w:p>
            <w:pPr>
              <w:spacing w:after="0"/>
              <w:rPr>
                <w:sz w:val="1"/>
                <w:szCs w:val="1"/>
                <w:color w:val="auto"/>
              </w:rPr>
            </w:pPr>
          </w:p>
        </w:tc>
      </w:tr>
      <w:tr>
        <w:trPr>
          <w:trHeight w:val="59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640" w:type="dxa"/>
            <w:vAlign w:val="bottom"/>
            <w:vMerge w:val="restart"/>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100" w:type="dxa"/>
            <w:vAlign w:val="bottom"/>
          </w:tcPr>
          <w:p>
            <w:pPr>
              <w:spacing w:after="0"/>
              <w:rPr>
                <w:sz w:val="19"/>
                <w:szCs w:val="19"/>
                <w:color w:val="auto"/>
              </w:rPr>
            </w:pPr>
          </w:p>
        </w:tc>
        <w:tc>
          <w:tcPr>
            <w:tcW w:w="39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(Signature)</w:t>
            </w:r>
          </w:p>
        </w:tc>
        <w:tc>
          <w:tcPr>
            <w:tcW w:w="1640" w:type="dxa"/>
            <w:vAlign w:val="bottom"/>
            <w:vMerge w:val="continue"/>
          </w:tcPr>
          <w:p>
            <w:pPr>
              <w:spacing w:after="0"/>
              <w:rPr>
                <w:sz w:val="19"/>
                <w:szCs w:val="19"/>
                <w:color w:val="auto"/>
              </w:rPr>
            </w:pPr>
          </w:p>
        </w:tc>
        <w:tc>
          <w:tcPr>
            <w:tcW w:w="39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4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Borders>
              <w:bottom w:val="single" w:sz="8" w:color="auto"/>
            </w:tcBorders>
          </w:tcPr>
          <w:p>
            <w:pPr>
              <w:spacing w:after="0"/>
              <w:rPr>
                <w:sz w:val="3"/>
                <w:szCs w:val="3"/>
                <w:color w:val="auto"/>
              </w:rPr>
            </w:pPr>
          </w:p>
        </w:tc>
        <w:tc>
          <w:tcPr>
            <w:tcW w:w="16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Date:</w:t>
            </w:r>
          </w:p>
        </w:tc>
        <w:tc>
          <w:tcPr>
            <w:tcW w:w="3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100" w:type="dxa"/>
            <w:vAlign w:val="bottom"/>
            <w:vMerge w:val="continue"/>
          </w:tcPr>
          <w:p>
            <w:pPr>
              <w:spacing w:after="0"/>
              <w:rPr>
                <w:sz w:val="18"/>
                <w:szCs w:val="18"/>
                <w:color w:val="auto"/>
              </w:rPr>
            </w:pPr>
          </w:p>
        </w:tc>
        <w:tc>
          <w:tcPr>
            <w:tcW w:w="39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10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1640" w:type="dxa"/>
            <w:vAlign w:val="bottom"/>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Attachments</w:t>
      </w:r>
      <w:r>
        <w:rPr>
          <w:rFonts w:ascii="Times New Roman" w:cs="Times New Roman" w:eastAsia="Times New Roman" w:hAnsi="Times New Roman"/>
          <w:sz w:val="18"/>
          <w:szCs w:val="18"/>
          <w:color w:val="auto"/>
        </w:rPr>
        <w:t>: Option Agreement, 2021 Equity Incentive Plan and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80" w:name="page381"/>
    <w:bookmarkEnd w:id="380"/>
    <w:p>
      <w:pPr>
        <w:jc w:val="center"/>
        <w:spacing w:after="0"/>
        <w:rPr>
          <w:sz w:val="20"/>
          <w:szCs w:val="20"/>
          <w:color w:val="auto"/>
        </w:rPr>
      </w:pPr>
      <w:r>
        <w:rPr>
          <w:rFonts w:ascii="Times New Roman" w:cs="Times New Roman" w:eastAsia="Times New Roman" w:hAnsi="Times New Roman"/>
          <w:sz w:val="18"/>
          <w:szCs w:val="18"/>
          <w:b w:val="1"/>
          <w:bCs w:val="1"/>
          <w:color w:val="auto"/>
        </w:rPr>
        <w:t>ATTACHMENT 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487045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81" w:name="page382"/>
    <w:bookmarkEnd w:id="381"/>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STOCK OPTION OR NONSTATUTORY STOCK OPTION)</w:t>
      </w:r>
    </w:p>
    <w:p>
      <w:pPr>
        <w:spacing w:after="0" w:line="18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xml:space="preserve">”) and this Option Agreement, </w:t>
      </w:r>
      <w:r>
        <w:rPr>
          <w:rFonts w:ascii="Times New Roman" w:cs="Times New Roman" w:eastAsia="Times New Roman" w:hAnsi="Times New Roman"/>
          <w:sz w:val="18"/>
          <w:szCs w:val="18"/>
          <w:b w:val="1"/>
          <w:bCs w:val="1"/>
          <w:color w:val="auto"/>
        </w:rPr>
        <w:t>Rani Therapeutics Holdings,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18"/>
          <w:szCs w:val="18"/>
          <w:b w:val="1"/>
          <w:bCs w:val="1"/>
          <w:i w:val="1"/>
          <w:iCs w:val="1"/>
          <w:color w:val="auto"/>
        </w:rPr>
        <w:t>Date of Grant</w:t>
      </w:r>
      <w:r>
        <w:rPr>
          <w:rFonts w:ascii="Times New Roman" w:cs="Times New Roman" w:eastAsia="Times New Roman" w:hAnsi="Times New Roman"/>
          <w:sz w:val="18"/>
          <w:szCs w:val="18"/>
          <w:color w:val="auto"/>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208" w:lineRule="exact"/>
        <w:rPr>
          <w:sz w:val="20"/>
          <w:szCs w:val="20"/>
          <w:color w:val="auto"/>
        </w:rPr>
      </w:pPr>
    </w:p>
    <w:p>
      <w:pPr>
        <w:ind w:left="1500" w:hanging="743"/>
        <w:spacing w:after="0"/>
        <w:tabs>
          <w:tab w:leader="none" w:pos="15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Your option will vest as provided in your Grant Notice. Vesting will cease upon the termination of your Continuous Service.</w:t>
      </w:r>
    </w:p>
    <w:p>
      <w:pPr>
        <w:spacing w:after="0" w:line="211" w:lineRule="exact"/>
        <w:rPr>
          <w:rFonts w:ascii="Times New Roman" w:cs="Times New Roman" w:eastAsia="Times New Roman" w:hAnsi="Times New Roman"/>
          <w:sz w:val="18"/>
          <w:szCs w:val="18"/>
          <w:b w:val="1"/>
          <w:bCs w:val="1"/>
          <w:color w:val="auto"/>
        </w:rPr>
      </w:pPr>
    </w:p>
    <w:p>
      <w:pPr>
        <w:ind w:firstLine="757"/>
        <w:spacing w:after="0" w:line="271" w:lineRule="auto"/>
        <w:tabs>
          <w:tab w:leader="none" w:pos="149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and Exercise Price</w:t>
      </w:r>
      <w:r>
        <w:rPr>
          <w:rFonts w:ascii="Times New Roman" w:cs="Times New Roman" w:eastAsia="Times New Roman" w:hAnsi="Times New Roman"/>
          <w:sz w:val="18"/>
          <w:szCs w:val="18"/>
          <w:color w:val="auto"/>
        </w:rPr>
        <w:t>. The number of shares of Common Stock subject to your option and your exercise price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in your Grant Notice will be adjusted for Capitalization Adjustments.</w:t>
      </w:r>
    </w:p>
    <w:p>
      <w:pPr>
        <w:spacing w:after="0" w:line="153" w:lineRule="exact"/>
        <w:rPr>
          <w:rFonts w:ascii="Times New Roman" w:cs="Times New Roman" w:eastAsia="Times New Roman" w:hAnsi="Times New Roman"/>
          <w:sz w:val="18"/>
          <w:szCs w:val="18"/>
          <w:b w:val="1"/>
          <w:bCs w:val="1"/>
          <w:color w:val="auto"/>
        </w:rPr>
      </w:pPr>
    </w:p>
    <w:p>
      <w:pPr>
        <w:jc w:val="both"/>
        <w:ind w:firstLine="757"/>
        <w:spacing w:after="0" w:line="242" w:lineRule="auto"/>
        <w:tabs>
          <w:tab w:leader="none" w:pos="149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Restriction for Non-Exempt Employees</w:t>
      </w:r>
      <w:r>
        <w:rPr>
          <w:rFonts w:ascii="Times New Roman" w:cs="Times New Roman" w:eastAsia="Times New Roman" w:hAnsi="Times New Roman"/>
          <w:sz w:val="18"/>
          <w:szCs w:val="18"/>
          <w:color w:val="auto"/>
        </w:rPr>
        <w:t>. If you are an Employee eligible for overtime compensation under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(that is, a “</w:t>
      </w:r>
      <w:r>
        <w:rPr>
          <w:rFonts w:ascii="Times New Roman" w:cs="Times New Roman" w:eastAsia="Times New Roman" w:hAnsi="Times New Roman"/>
          <w:sz w:val="18"/>
          <w:szCs w:val="18"/>
          <w:b w:val="1"/>
          <w:bCs w:val="1"/>
          <w:i w:val="1"/>
          <w:iCs w:val="1"/>
          <w:color w:val="auto"/>
        </w:rPr>
        <w:t>Non-Exempt Employee</w:t>
      </w:r>
      <w:r>
        <w:rPr>
          <w:rFonts w:ascii="Times New Roman" w:cs="Times New Roman" w:eastAsia="Times New Roman" w:hAnsi="Times New Roman"/>
          <w:sz w:val="18"/>
          <w:szCs w:val="18"/>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78"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prior to Vesting (“Early Exercise”)</w:t>
      </w:r>
      <w:r>
        <w:rPr>
          <w:rFonts w:ascii="Times New Roman" w:cs="Times New Roman" w:eastAsia="Times New Roman" w:hAnsi="Times New Roman"/>
          <w:sz w:val="18"/>
          <w:szCs w:val="18"/>
          <w:color w:val="auto"/>
        </w:rPr>
        <w:t>. If permitted in your Grant Notice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“Exercise Schedule” indicates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175" w:lineRule="exact"/>
        <w:rPr>
          <w:rFonts w:ascii="Times New Roman" w:cs="Times New Roman" w:eastAsia="Times New Roman" w:hAnsi="Times New Roman"/>
          <w:sz w:val="18"/>
          <w:szCs w:val="18"/>
          <w:b w:val="1"/>
          <w:bCs w:val="1"/>
          <w:color w:val="auto"/>
        </w:rPr>
      </w:pPr>
    </w:p>
    <w:p>
      <w:pPr>
        <w:ind w:firstLine="1505"/>
        <w:spacing w:after="0" w:line="266" w:lineRule="auto"/>
        <w:tabs>
          <w:tab w:leader="none" w:pos="2995"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partial exercise of your option will be deemed to cover first vested shares of Common Stock and then the earliest vesting installment of unvested shares of Common Stock;</w:t>
      </w:r>
    </w:p>
    <w:p>
      <w:pPr>
        <w:spacing w:after="0" w:line="162" w:lineRule="exact"/>
        <w:rPr>
          <w:rFonts w:ascii="Times New Roman" w:cs="Times New Roman" w:eastAsia="Times New Roman" w:hAnsi="Times New Roman"/>
          <w:sz w:val="18"/>
          <w:szCs w:val="18"/>
          <w:b w:val="1"/>
          <w:bCs w:val="1"/>
          <w:color w:val="auto"/>
        </w:rPr>
      </w:pPr>
    </w:p>
    <w:p>
      <w:pPr>
        <w:ind w:firstLine="1505"/>
        <w:spacing w:after="0" w:line="266" w:lineRule="auto"/>
        <w:tabs>
          <w:tab w:leader="none" w:pos="2995"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162" w:lineRule="exact"/>
        <w:rPr>
          <w:rFonts w:ascii="Times New Roman" w:cs="Times New Roman" w:eastAsia="Times New Roman" w:hAnsi="Times New Roman"/>
          <w:sz w:val="18"/>
          <w:szCs w:val="18"/>
          <w:b w:val="1"/>
          <w:bCs w:val="1"/>
          <w:color w:val="auto"/>
        </w:rPr>
      </w:pPr>
    </w:p>
    <w:p>
      <w:pPr>
        <w:ind w:firstLine="1505"/>
        <w:spacing w:after="0" w:line="266" w:lineRule="auto"/>
        <w:tabs>
          <w:tab w:leader="none" w:pos="2995"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enter into the Company’s form of Early Exercise Stock Purchase Agreement with a vesting schedule that will result in the same vesting as if no early exercise had occurred; and</w:t>
      </w:r>
    </w:p>
    <w:p>
      <w:pPr>
        <w:spacing w:after="0" w:line="162" w:lineRule="exact"/>
        <w:rPr>
          <w:rFonts w:ascii="Times New Roman" w:cs="Times New Roman" w:eastAsia="Times New Roman" w:hAnsi="Times New Roman"/>
          <w:sz w:val="18"/>
          <w:szCs w:val="18"/>
          <w:b w:val="1"/>
          <w:bCs w:val="1"/>
          <w:color w:val="auto"/>
        </w:rPr>
      </w:pPr>
    </w:p>
    <w:p>
      <w:pPr>
        <w:jc w:val="both"/>
        <w:ind w:firstLine="1505"/>
        <w:spacing w:after="0" w:line="245" w:lineRule="auto"/>
        <w:tabs>
          <w:tab w:leader="none" w:pos="2995" w:val="left"/>
        </w:tabs>
        <w:numPr>
          <w:ilvl w:val="1"/>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76" w:lineRule="exact"/>
        <w:rPr>
          <w:rFonts w:ascii="Times New Roman" w:cs="Times New Roman" w:eastAsia="Times New Roman" w:hAnsi="Times New Roman"/>
          <w:sz w:val="18"/>
          <w:szCs w:val="18"/>
          <w:b w:val="1"/>
          <w:bCs w:val="1"/>
          <w:color w:val="auto"/>
        </w:rPr>
      </w:pPr>
    </w:p>
    <w:p>
      <w:pPr>
        <w:ind w:firstLine="757"/>
        <w:spacing w:after="0" w:line="271" w:lineRule="auto"/>
        <w:tabs>
          <w:tab w:leader="none" w:pos="149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r>
        <w:rPr>
          <w:rFonts w:ascii="Times New Roman" w:cs="Times New Roman" w:eastAsia="Times New Roman" w:hAnsi="Times New Roman"/>
          <w:sz w:val="18"/>
          <w:szCs w:val="18"/>
          <w:color w:val="auto"/>
        </w:rPr>
        <w:t>. You must pay the full amount of the exercise price for the shares you wish to exercise. The permitted methods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payment are as follows: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2" w:name="page383"/>
    <w:bookmarkEnd w:id="382"/>
    <w:p>
      <w:pPr>
        <w:ind w:left="1500"/>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by cash, check, bank draft, electronic funds transfer or money order payable to the Company;</w:t>
      </w:r>
    </w:p>
    <w:p>
      <w:pPr>
        <w:spacing w:after="0" w:line="216" w:lineRule="exact"/>
        <w:rPr>
          <w:sz w:val="20"/>
          <w:szCs w:val="20"/>
          <w:color w:val="auto"/>
        </w:rPr>
      </w:pPr>
    </w:p>
    <w:p>
      <w:pPr>
        <w:jc w:val="both"/>
        <w:ind w:firstLine="1505"/>
        <w:spacing w:after="0" w:line="242" w:lineRule="auto"/>
        <w:tabs>
          <w:tab w:leader="none" w:pos="2995"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84" w:lineRule="exact"/>
        <w:rPr>
          <w:rFonts w:ascii="Times New Roman" w:cs="Times New Roman" w:eastAsia="Times New Roman" w:hAnsi="Times New Roman"/>
          <w:sz w:val="18"/>
          <w:szCs w:val="18"/>
          <w:b w:val="1"/>
          <w:bCs w:val="1"/>
          <w:color w:val="auto"/>
        </w:rPr>
      </w:pPr>
    </w:p>
    <w:p>
      <w:pPr>
        <w:jc w:val="both"/>
        <w:ind w:firstLine="1505"/>
        <w:spacing w:after="0" w:line="241" w:lineRule="auto"/>
        <w:tabs>
          <w:tab w:leader="none" w:pos="2995"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3" w:lineRule="exact"/>
        <w:rPr>
          <w:rFonts w:ascii="Times New Roman" w:cs="Times New Roman" w:eastAsia="Times New Roman" w:hAnsi="Times New Roman"/>
          <w:sz w:val="18"/>
          <w:szCs w:val="18"/>
          <w:b w:val="1"/>
          <w:bCs w:val="1"/>
          <w:color w:val="auto"/>
        </w:rPr>
      </w:pPr>
    </w:p>
    <w:p>
      <w:pPr>
        <w:jc w:val="both"/>
        <w:ind w:firstLine="1505"/>
        <w:spacing w:after="0" w:line="239" w:lineRule="auto"/>
        <w:tabs>
          <w:tab w:leader="none" w:pos="2995"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Board consent at the time of exercise, and provided that the Option is a Nonstatutory Stock Option, by a “net exercise” arrangement pursuant to which the Company will reduce the number of shares of Common Stock issued upon exercise of the Option by the largest whole number of shares with a Fair Market Value that does not exceed the aggregate exercise price plus, to the extent permitted by the Company and/or Board at the time of exercise, the aggregate withholding obligations in respect of the Option exercise; provided, further that you must pay any remaining balance of the aggregate exercise price not satisfied by the “net exercise” in cash or other permitted form of payment. Shares of Common Stock will no longer be subject to the Option and will not be exercisable thereafter to the extent that (A) shares issuable upon exercise are used to pay the exercise price pursuant to the “net exercise,” (B) shares are delivered to you as a result of such exercise, and (C) shares are withheld to satisfy tax withholding obligations;</w:t>
      </w:r>
    </w:p>
    <w:p>
      <w:pPr>
        <w:spacing w:after="0" w:line="187" w:lineRule="exact"/>
        <w:rPr>
          <w:rFonts w:ascii="Times New Roman" w:cs="Times New Roman" w:eastAsia="Times New Roman" w:hAnsi="Times New Roman"/>
          <w:sz w:val="18"/>
          <w:szCs w:val="18"/>
          <w:b w:val="1"/>
          <w:bCs w:val="1"/>
          <w:color w:val="auto"/>
        </w:rPr>
      </w:pPr>
    </w:p>
    <w:p>
      <w:pPr>
        <w:jc w:val="both"/>
        <w:ind w:firstLine="1505"/>
        <w:spacing w:after="0" w:line="245" w:lineRule="auto"/>
        <w:tabs>
          <w:tab w:leader="none" w:pos="2995"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consent of the Company and/or Board at the time of exercise, according to a deferred payment or similar arrangement with you; provided, however, that interest will compound at least annually and will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80"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w:t>
      </w:r>
    </w:p>
    <w:p>
      <w:pPr>
        <w:spacing w:after="0" w:line="207"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Whole Shares</w:t>
      </w:r>
      <w:r>
        <w:rPr>
          <w:rFonts w:ascii="Times New Roman" w:cs="Times New Roman" w:eastAsia="Times New Roman" w:hAnsi="Times New Roman"/>
          <w:sz w:val="18"/>
          <w:szCs w:val="18"/>
          <w:color w:val="auto"/>
        </w:rPr>
        <w:t>. You may exercise your option only for whole shares of Common Stock.</w:t>
      </w:r>
    </w:p>
    <w:p>
      <w:pPr>
        <w:spacing w:after="0" w:line="211" w:lineRule="exact"/>
        <w:rPr>
          <w:rFonts w:ascii="Times New Roman" w:cs="Times New Roman" w:eastAsia="Times New Roman" w:hAnsi="Times New Roman"/>
          <w:sz w:val="18"/>
          <w:szCs w:val="18"/>
          <w:b w:val="1"/>
          <w:bCs w:val="1"/>
          <w:color w:val="auto"/>
        </w:rPr>
      </w:pPr>
    </w:p>
    <w:p>
      <w:pPr>
        <w:jc w:val="both"/>
        <w:ind w:firstLine="757"/>
        <w:spacing w:after="0" w:line="243" w:lineRule="auto"/>
        <w:tabs>
          <w:tab w:leader="none" w:pos="149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Securities Law Compliance</w:t>
      </w:r>
      <w:r>
        <w:rPr>
          <w:rFonts w:ascii="Times New Roman" w:cs="Times New Roman" w:eastAsia="Times New Roman" w:hAnsi="Times New Roman"/>
          <w:sz w:val="18"/>
          <w:szCs w:val="18"/>
          <w:color w:val="auto"/>
        </w:rPr>
        <w:t>. In no event may you exercise your option unless the shares of Common Stock issuable upon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1.401(k)-1(d)(3), if applicable).</w:t>
      </w:r>
    </w:p>
    <w:p>
      <w:pPr>
        <w:spacing w:after="0" w:line="180" w:lineRule="exact"/>
        <w:rPr>
          <w:rFonts w:ascii="Times New Roman" w:cs="Times New Roman" w:eastAsia="Times New Roman" w:hAnsi="Times New Roman"/>
          <w:sz w:val="18"/>
          <w:szCs w:val="18"/>
          <w:b w:val="1"/>
          <w:bCs w:val="1"/>
          <w:color w:val="auto"/>
        </w:rPr>
      </w:pPr>
    </w:p>
    <w:p>
      <w:pPr>
        <w:ind w:firstLine="757"/>
        <w:spacing w:after="0" w:line="271" w:lineRule="auto"/>
        <w:tabs>
          <w:tab w:leader="none" w:pos="1498"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You may not exercise your option before the Date of Grant or after the expiration of the option’s term.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Grant Notice, the term of your option expires, subject to the provisions of Section 5(h) of the Plan, upon the earliest of the following:</w:t>
      </w:r>
    </w:p>
    <w:p>
      <w:pPr>
        <w:spacing w:after="0" w:line="157"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11" w:lineRule="exact"/>
        <w:rPr>
          <w:rFonts w:ascii="Times New Roman" w:cs="Times New Roman" w:eastAsia="Times New Roman" w:hAnsi="Times New Roman"/>
          <w:sz w:val="18"/>
          <w:szCs w:val="18"/>
          <w:b w:val="1"/>
          <w:bCs w:val="1"/>
          <w:color w:val="auto"/>
        </w:rPr>
      </w:pPr>
    </w:p>
    <w:p>
      <w:pPr>
        <w:ind w:firstLine="1505"/>
        <w:spacing w:after="0" w:line="266" w:lineRule="auto"/>
        <w:tabs>
          <w:tab w:leader="none" w:pos="2995" w:val="left"/>
        </w:tabs>
        <w:numPr>
          <w:ilvl w:val="1"/>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three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3" w:name="page384"/>
    <w:bookmarkEnd w:id="383"/>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(i) you are a Non-Exempt Employee, (ii) your Continuous Service terminates within six months after the Date of Grant, and (iii) you have vested in a portion of your option at the time of your termination of Continuous Service, your option will not expire until the earlier of (x) the later of (A) the date that is seven months after the Date of Grant, and (B) the date that is three months after the termination of your Continuous Service, and (y) the Expiration Date;</w:t>
      </w:r>
    </w:p>
    <w:p>
      <w:pPr>
        <w:sectPr>
          <w:pgSz w:w="11900" w:h="16838" w:orient="portrait"/>
          <w:cols w:equalWidth="0" w:num="1">
            <w:col w:w="11240"/>
          </w:cols>
          <w:pgMar w:left="320" w:top="364" w:right="339" w:bottom="1440" w:gutter="0" w:footer="0" w:header="0"/>
        </w:sectPr>
      </w:pPr>
    </w:p>
    <w:p>
      <w:pPr>
        <w:spacing w:after="0" w:line="180" w:lineRule="exact"/>
        <w:rPr>
          <w:sz w:val="20"/>
          <w:szCs w:val="20"/>
          <w:color w:val="auto"/>
        </w:rPr>
      </w:pPr>
    </w:p>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20"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8"/>
          <w:szCs w:val="18"/>
          <w:color w:val="auto"/>
        </w:rPr>
        <w:t>in Section 8(d)) below;</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months after the termination of your Continuous Service due to your Disability (except as otherwise provided</w:t>
      </w:r>
    </w:p>
    <w:p>
      <w:pPr>
        <w:spacing w:after="0" w:line="414" w:lineRule="exact"/>
        <w:rPr>
          <w:sz w:val="20"/>
          <w:szCs w:val="20"/>
          <w:color w:val="auto"/>
        </w:rPr>
      </w:pPr>
    </w:p>
    <w:p>
      <w:pPr>
        <w:sectPr>
          <w:pgSz w:w="11900" w:h="16838" w:orient="portrait"/>
          <w:cols w:equalWidth="0" w:num="2">
            <w:col w:w="2280" w:space="720"/>
            <w:col w:w="8240"/>
          </w:cols>
          <w:pgMar w:left="320" w:top="364" w:right="339" w:bottom="1440" w:gutter="0" w:footer="0" w:header="0"/>
          <w:type w:val="continuous"/>
        </w:sectPr>
      </w:pPr>
    </w:p>
    <w:p>
      <w:pPr>
        <w:ind w:firstLine="1505"/>
        <w:spacing w:after="0" w:line="266" w:lineRule="auto"/>
        <w:tabs>
          <w:tab w:leader="none" w:pos="2995"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either during your Continuous Service or within three (3) months after your Continuous Service terminates for any reason other than Cause;</w:t>
      </w:r>
    </w:p>
    <w:p>
      <w:pPr>
        <w:spacing w:after="0" w:line="162"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1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80" w:lineRule="exact"/>
        <w:rPr>
          <w:sz w:val="20"/>
          <w:szCs w:val="20"/>
          <w:color w:val="auto"/>
        </w:rPr>
      </w:pPr>
    </w:p>
    <w:p>
      <w:pPr>
        <w:ind w:left="1500" w:hanging="743"/>
        <w:spacing w:after="0"/>
        <w:tabs>
          <w:tab w:leader="none" w:pos="150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505"/>
        <w:spacing w:after="0" w:line="242" w:lineRule="auto"/>
        <w:tabs>
          <w:tab w:leader="none" w:pos="2995" w:val="left"/>
        </w:tabs>
        <w:numPr>
          <w:ilvl w:val="2"/>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If required by the Company, your exercise may be made contingent on your execution of any additional documents specified by the Company (including, without limitation, any voting agreement or other agreement between the Company and some or all of its stockholders).</w:t>
      </w:r>
    </w:p>
    <w:p>
      <w:pPr>
        <w:spacing w:after="0" w:line="184" w:lineRule="exact"/>
        <w:rPr>
          <w:rFonts w:ascii="Times New Roman" w:cs="Times New Roman" w:eastAsia="Times New Roman" w:hAnsi="Times New Roman"/>
          <w:sz w:val="18"/>
          <w:szCs w:val="18"/>
          <w:b w:val="1"/>
          <w:bCs w:val="1"/>
          <w:color w:val="auto"/>
        </w:rPr>
      </w:pPr>
    </w:p>
    <w:p>
      <w:pPr>
        <w:jc w:val="both"/>
        <w:ind w:firstLine="1505"/>
        <w:spacing w:after="0" w:line="246" w:lineRule="auto"/>
        <w:tabs>
          <w:tab w:leader="none" w:pos="2995" w:val="left"/>
        </w:tabs>
        <w:numPr>
          <w:ilvl w:val="2"/>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w:t>
      </w:r>
    </w:p>
    <w:p>
      <w:pPr>
        <w:ind w:left="220" w:hanging="212"/>
        <w:spacing w:after="0" w:line="234" w:lineRule="auto"/>
        <w:tabs>
          <w:tab w:leader="none" w:pos="2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your option, (ii) the lapse of any substantial risk of forfeiture to which the shares of Common Stock are subject at the time of exercise, or</w:t>
      </w:r>
    </w:p>
    <w:p>
      <w:pPr>
        <w:ind w:left="320" w:hanging="312"/>
        <w:spacing w:after="0"/>
        <w:tabs>
          <w:tab w:leader="none" w:pos="3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shares of Common Stock acquired upon such exercise.</w:t>
      </w:r>
    </w:p>
    <w:p>
      <w:pPr>
        <w:spacing w:after="0" w:line="191"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2"/>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76" w:lineRule="exact"/>
        <w:rPr>
          <w:rFonts w:ascii="Times New Roman" w:cs="Times New Roman" w:eastAsia="Times New Roman" w:hAnsi="Times New Roman"/>
          <w:sz w:val="18"/>
          <w:szCs w:val="18"/>
          <w:b w:val="1"/>
          <w:bCs w:val="1"/>
          <w:color w:val="auto"/>
        </w:rPr>
      </w:pPr>
    </w:p>
    <w:p>
      <w:pPr>
        <w:jc w:val="both"/>
        <w:ind w:firstLine="1505"/>
        <w:spacing w:after="0" w:line="241" w:lineRule="auto"/>
        <w:tabs>
          <w:tab w:leader="none" w:pos="2995" w:val="left"/>
        </w:tabs>
        <w:numPr>
          <w:ilvl w:val="2"/>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6917055</wp:posOffset>
            </wp:positionH>
            <wp:positionV relativeFrom="paragraph">
              <wp:posOffset>-325120</wp:posOffset>
            </wp:positionV>
            <wp:extent cx="3683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5">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84" w:name="page385"/>
    <w:bookmarkEnd w:id="384"/>
    <w:p>
      <w:pPr>
        <w:jc w:val="both"/>
        <w:spacing w:after="0" w:line="237" w:lineRule="auto"/>
        <w:rPr>
          <w:sz w:val="20"/>
          <w:szCs w:val="20"/>
          <w:color w:val="auto"/>
        </w:rPr>
      </w:pPr>
      <w:r>
        <w:rPr>
          <w:rFonts w:ascii="Times New Roman" w:cs="Times New Roman" w:eastAsia="Times New Roman" w:hAnsi="Times New Roman"/>
          <w:sz w:val="18"/>
          <w:szCs w:val="18"/>
          <w:color w:val="auto"/>
        </w:rPr>
        <w:t>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 You further agree that the obligations contained in this Section 9(d) shall also, if so determined by the Company’s Board of Directors, apply if and when the Company’s shares of Common Stock become publicly traded on a national securities exchange, including without limitation pursuant to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Times New Roman" w:cs="Times New Roman" w:eastAsia="Times New Roman" w:hAnsi="Times New Roman"/>
          <w:sz w:val="18"/>
          <w:szCs w:val="18"/>
          <w:b w:val="1"/>
          <w:bCs w:val="1"/>
          <w:i w:val="1"/>
          <w:iCs w:val="1"/>
          <w:color w:val="auto"/>
        </w:rPr>
        <w:t>Direct Listing</w:t>
      </w:r>
      <w:r>
        <w:rPr>
          <w:rFonts w:ascii="Times New Roman" w:cs="Times New Roman" w:eastAsia="Times New Roman" w:hAnsi="Times New Roman"/>
          <w:sz w:val="18"/>
          <w:szCs w:val="18"/>
          <w:color w:val="auto"/>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spacing w:after="0" w:line="189" w:lineRule="exact"/>
        <w:rPr>
          <w:sz w:val="20"/>
          <w:szCs w:val="20"/>
          <w:color w:val="auto"/>
        </w:rPr>
      </w:pPr>
    </w:p>
    <w:p>
      <w:pPr>
        <w:ind w:firstLine="757"/>
        <w:spacing w:after="0" w:line="271" w:lineRule="auto"/>
        <w:tabs>
          <w:tab w:leader="none" w:pos="1498"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otherwise provided in this Section 10, your option is not transferable, except by will or by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 and is exercisable during your life only by you.</w:t>
      </w:r>
    </w:p>
    <w:p>
      <w:pPr>
        <w:spacing w:after="0" w:line="153" w:lineRule="exact"/>
        <w:rPr>
          <w:rFonts w:ascii="Times New Roman" w:cs="Times New Roman" w:eastAsia="Times New Roman" w:hAnsi="Times New Roman"/>
          <w:sz w:val="18"/>
          <w:szCs w:val="18"/>
          <w:b w:val="1"/>
          <w:bCs w:val="1"/>
          <w:color w:val="auto"/>
        </w:rPr>
      </w:pPr>
    </w:p>
    <w:p>
      <w:pPr>
        <w:jc w:val="both"/>
        <w:ind w:firstLine="1505"/>
        <w:spacing w:after="0" w:line="252" w:lineRule="auto"/>
        <w:tabs>
          <w:tab w:leader="none" w:pos="2995"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Trusts</w:t>
      </w:r>
      <w:r>
        <w:rPr>
          <w:rFonts w:ascii="Times New Roman" w:cs="Times New Roman" w:eastAsia="Times New Roman" w:hAnsi="Times New Roman"/>
          <w:sz w:val="18"/>
          <w:szCs w:val="18"/>
          <w:color w:val="auto"/>
        </w:rPr>
        <w:t>. Upon receiving written permission from the Board or its duly authorized designee, you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your option to a 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71" w:lineRule="exact"/>
        <w:rPr>
          <w:rFonts w:ascii="Times New Roman" w:cs="Times New Roman" w:eastAsia="Times New Roman" w:hAnsi="Times New Roman"/>
          <w:sz w:val="18"/>
          <w:szCs w:val="18"/>
          <w:b w:val="1"/>
          <w:bCs w:val="1"/>
          <w:color w:val="auto"/>
        </w:rPr>
      </w:pPr>
    </w:p>
    <w:p>
      <w:pPr>
        <w:jc w:val="both"/>
        <w:ind w:firstLine="1505"/>
        <w:spacing w:after="0"/>
        <w:tabs>
          <w:tab w:leader="none" w:pos="2995"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Upon receiving written permission from the Board or its duly authorized designee,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provided that you 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84" w:lineRule="exact"/>
        <w:rPr>
          <w:rFonts w:ascii="Times New Roman" w:cs="Times New Roman" w:eastAsia="Times New Roman" w:hAnsi="Times New Roman"/>
          <w:sz w:val="18"/>
          <w:szCs w:val="18"/>
          <w:b w:val="1"/>
          <w:bCs w:val="1"/>
          <w:color w:val="auto"/>
        </w:rPr>
      </w:pPr>
    </w:p>
    <w:p>
      <w:pPr>
        <w:jc w:val="both"/>
        <w:ind w:firstLine="1505"/>
        <w:spacing w:after="0" w:line="243" w:lineRule="auto"/>
        <w:tabs>
          <w:tab w:leader="none" w:pos="2995"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Upon receiving written permission from the Board or its duly authorized designee,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80" w:lineRule="exact"/>
        <w:rPr>
          <w:rFonts w:ascii="Times New Roman" w:cs="Times New Roman" w:eastAsia="Times New Roman" w:hAnsi="Times New Roman"/>
          <w:sz w:val="18"/>
          <w:szCs w:val="18"/>
          <w:b w:val="1"/>
          <w:bCs w:val="1"/>
          <w:color w:val="auto"/>
        </w:rPr>
      </w:pPr>
    </w:p>
    <w:p>
      <w:pPr>
        <w:jc w:val="both"/>
        <w:ind w:firstLine="757"/>
        <w:spacing w:after="0" w:line="243" w:lineRule="auto"/>
        <w:tabs>
          <w:tab w:leader="none" w:pos="1498"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Shares of Common Stock that you acquire upon exercise of your option are subject to any 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may be described in the Company’s bylaws in effect at such time the Company elects to exercise its right;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is no right of first refusal described in the Company’s bylaws at such time, the right of first refusal described below will apply. The Company’s right of first refusal will expire on the first date upon which any security of the Company is listed (or approved for listing) upon notice of issuance on a national securities exchange or quotation system (the “</w:t>
      </w:r>
      <w:r>
        <w:rPr>
          <w:rFonts w:ascii="Times New Roman" w:cs="Times New Roman" w:eastAsia="Times New Roman" w:hAnsi="Times New Roman"/>
          <w:sz w:val="18"/>
          <w:szCs w:val="18"/>
          <w:b w:val="1"/>
          <w:bCs w:val="1"/>
          <w:i w:val="1"/>
          <w:iCs w:val="1"/>
          <w:color w:val="auto"/>
        </w:rPr>
        <w:t>Listing Date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right="20" w:firstLine="1505"/>
        <w:spacing w:after="0" w:line="266" w:lineRule="auto"/>
        <w:tabs>
          <w:tab w:leader="none" w:pos="2995"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Listing Date, you may not validly Transfer (as defined below) any shares of Common Stock acquired upon exercise of your option, or any interest in such shares, unless such Transfer is made in compliance with the following provisions: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5" w:name="page386"/>
    <w:bookmarkEnd w:id="385"/>
    <w:p>
      <w:pPr>
        <w:jc w:val="both"/>
        <w:ind w:firstLine="2246"/>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17"/>
          <w:szCs w:val="17"/>
          <w:color w:val="auto"/>
        </w:rPr>
        <w:t>Before there can be a valid Transfer of any shares of Common Stock or any interest therein,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the record holder of the shares of Common Stock to be transferred (the “</w:t>
      </w:r>
      <w:r>
        <w:rPr>
          <w:rFonts w:ascii="Times New Roman" w:cs="Times New Roman" w:eastAsia="Times New Roman" w:hAnsi="Times New Roman"/>
          <w:sz w:val="17"/>
          <w:szCs w:val="17"/>
          <w:b w:val="1"/>
          <w:bCs w:val="1"/>
          <w:i w:val="1"/>
          <w:iCs w:val="1"/>
          <w:color w:val="auto"/>
        </w:rPr>
        <w:t>Offered Shares</w:t>
      </w:r>
      <w:r>
        <w:rPr>
          <w:rFonts w:ascii="Times New Roman" w:cs="Times New Roman" w:eastAsia="Times New Roman" w:hAnsi="Times New Roman"/>
          <w:sz w:val="17"/>
          <w:szCs w:val="17"/>
          <w:color w:val="auto"/>
        </w:rPr>
        <w:t>”) will give written notice (by registered or certified mail) to the Company. Such notice will specify the identity of the proposed transferee, the cash price offered for the Offered Shares by the proposed transferee (or, if the proposed Transfer is one in which the holder will not receive cash, such as an involuntary transfer, gift, donation or pledge, the holder will state that no purchase price is being proposed), and the other terms and conditions of the proposed Transfer. The date such notice is mailed will be hereinafter referred to as the “</w:t>
      </w:r>
      <w:r>
        <w:rPr>
          <w:rFonts w:ascii="Times New Roman" w:cs="Times New Roman" w:eastAsia="Times New Roman" w:hAnsi="Times New Roman"/>
          <w:sz w:val="17"/>
          <w:szCs w:val="17"/>
          <w:b w:val="1"/>
          <w:bCs w:val="1"/>
          <w:i w:val="1"/>
          <w:iCs w:val="1"/>
          <w:color w:val="auto"/>
        </w:rPr>
        <w:t>Notice Date</w:t>
      </w:r>
      <w:r>
        <w:rPr>
          <w:rFonts w:ascii="Times New Roman" w:cs="Times New Roman" w:eastAsia="Times New Roman" w:hAnsi="Times New Roman"/>
          <w:sz w:val="17"/>
          <w:szCs w:val="17"/>
          <w:color w:val="auto"/>
        </w:rPr>
        <w:t>” and the record holder of the Offered Shares will be hereinafter referred to as the “</w:t>
      </w:r>
      <w:r>
        <w:rPr>
          <w:rFonts w:ascii="Times New Roman" w:cs="Times New Roman" w:eastAsia="Times New Roman" w:hAnsi="Times New Roman"/>
          <w:sz w:val="17"/>
          <w:szCs w:val="17"/>
          <w:b w:val="1"/>
          <w:bCs w:val="1"/>
          <w:i w:val="1"/>
          <w:iCs w:val="1"/>
          <w:color w:val="auto"/>
        </w:rPr>
        <w:t>Offeror</w:t>
      </w:r>
      <w:r>
        <w:rPr>
          <w:rFonts w:ascii="Times New Roman" w:cs="Times New Roman" w:eastAsia="Times New Roman" w:hAnsi="Times New Roman"/>
          <w:sz w:val="17"/>
          <w:szCs w:val="17"/>
          <w:color w:val="auto"/>
        </w:rPr>
        <w:t>.” If, from time to time, there is any stock dividend, stock split or other change in the character or amount of any of the outstanding Common Stock which is subject to the provisions of your option, then in such event any and all new, substituted or additional securities to which you are entitled by reason of your ownership of the shares of Common Stock acquired upon exercise of your option will be immediately subject to the Company’s Right of First Refusal (as defined below) with the same force and effect as the shares subject to the Right of First Refusal immediately before such event.</w:t>
      </w:r>
    </w:p>
    <w:p>
      <w:pPr>
        <w:spacing w:after="0" w:line="374"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17"/>
          <w:szCs w:val="17"/>
          <w:color w:val="auto"/>
        </w:rPr>
        <w:t>For a period of 30 calendar days after the Notice Date, or such longer period as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required to avoid the classification of your option as a liability for financial accounting purposes, the Company will have the option to purchase all (but not less than all) of the Offered Shares at the purchase price and on the terms set forth in Section 11(a)(iii) (the Company’s “</w:t>
      </w:r>
      <w:r>
        <w:rPr>
          <w:rFonts w:ascii="Times New Roman" w:cs="Times New Roman" w:eastAsia="Times New Roman" w:hAnsi="Times New Roman"/>
          <w:sz w:val="17"/>
          <w:szCs w:val="17"/>
          <w:b w:val="1"/>
          <w:bCs w:val="1"/>
          <w:i w:val="1"/>
          <w:iCs w:val="1"/>
          <w:color w:val="auto"/>
        </w:rPr>
        <w:t>Right of First Refusal</w:t>
      </w:r>
      <w:r>
        <w:rPr>
          <w:rFonts w:ascii="Times New Roman" w:cs="Times New Roman" w:eastAsia="Times New Roman" w:hAnsi="Times New Roman"/>
          <w:sz w:val="17"/>
          <w:szCs w:val="17"/>
          <w:color w:val="auto"/>
        </w:rPr>
        <w:t>”). In the event that the proposed Transfer is one involving no payment of a purchase price, the purchase price will be deemed to be the Fair Market Value of the Offered Shares as determined in good faith by the Board in its discretion. The Company may exercise its Right of First Refusal by mailing (by registered or certified mail) written notice of exercise of its Right of First Refusal to the Offeror prior to the end of said 30 days (including any extension required to avoid classification of the option as a liability for financial accounting purposes).</w:t>
      </w:r>
    </w:p>
    <w:p>
      <w:pPr>
        <w:spacing w:after="0" w:line="377" w:lineRule="exact"/>
        <w:rPr>
          <w:sz w:val="20"/>
          <w:szCs w:val="20"/>
          <w:color w:val="auto"/>
        </w:rPr>
      </w:pPr>
    </w:p>
    <w:p>
      <w:pPr>
        <w:jc w:val="both"/>
        <w:ind w:firstLine="2246"/>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(iii) </w:t>
      </w:r>
      <w:r>
        <w:rPr>
          <w:rFonts w:ascii="Times New Roman" w:cs="Times New Roman" w:eastAsia="Times New Roman" w:hAnsi="Times New Roman"/>
          <w:sz w:val="17"/>
          <w:szCs w:val="17"/>
          <w:color w:val="auto"/>
        </w:rPr>
        <w:t>The price at which the Company may purchase the Offered Shares pursuant to the exercise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its Right of First Refusal will be the cash price offered for the Offered Shares by the proposed transferee (as set forth in the notice required under Section 11(a)(i)), or the Fair Market Value as determined by the Board in the event no purchase price is involved. To the extent consideration other than cash is offered by the proposed transferee, the Company will not be required to pay any additional amounts to the Offeror other than the cash price offered (or the Fair Market Value, if applicable). The Company’s notice of exercise of its Right of First Refusal will be accompanied by full payment for the Offered Shares and, upon such payment by the Company, the Company will acquire full right, title and interest to all of the Offered Shares.</w:t>
      </w:r>
    </w:p>
    <w:p>
      <w:pPr>
        <w:spacing w:after="0" w:line="159" w:lineRule="exact"/>
        <w:rPr>
          <w:sz w:val="20"/>
          <w:szCs w:val="20"/>
          <w:color w:val="auto"/>
        </w:rPr>
      </w:pPr>
    </w:p>
    <w:p>
      <w:pPr>
        <w:jc w:val="both"/>
        <w:ind w:firstLine="2246"/>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(iv) </w:t>
      </w:r>
      <w:r>
        <w:rPr>
          <w:rFonts w:ascii="Times New Roman" w:cs="Times New Roman" w:eastAsia="Times New Roman" w:hAnsi="Times New Roman"/>
          <w:sz w:val="17"/>
          <w:szCs w:val="17"/>
          <w:color w:val="auto"/>
        </w:rPr>
        <w:t>If, and only if, the option given pursuant to Section 11(a)(ii) is not exercised, the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 xml:space="preserve">proposed in the notice given pursuant to Section 11(a)(i) may take place;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such Transfer must, in all respects, be exactly as proposed in said notice except that such Transfer may not take place either before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calendar day after the expiration of the 30 day option exercise period or after the ninetieth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calendar day after the expiration of the 30 day option exercise period, and if such Transfer has not taken place prior to said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day, such Transfer may not take place without once again complying with this Section 11(a). The option exercise periods in this Section 11(a)(iv) will be adjusted to include any extension required to avoid the classification of your option as a liability for financial accounting purposes.</w:t>
      </w:r>
    </w:p>
    <w:p>
      <w:pPr>
        <w:spacing w:after="0" w:line="182" w:lineRule="exact"/>
        <w:rPr>
          <w:sz w:val="20"/>
          <w:szCs w:val="20"/>
          <w:color w:val="auto"/>
        </w:rPr>
      </w:pPr>
    </w:p>
    <w:p>
      <w:pPr>
        <w:jc w:val="both"/>
        <w:ind w:firstLine="1505"/>
        <w:spacing w:after="0"/>
        <w:tabs>
          <w:tab w:leader="none" w:pos="2995"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used in this Section 11, the term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means any sale, encumbrance, pledge, gift or other form of disposition or transfer of shares of Common Stock or any legal or equitable interest therein;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term Transfer does not include a transfer of such shares or interests by will or intestacy to your Immediate Family (as defined below). In such case, the transferee or other recipient will receive and hold the shares of Common Stock so transferred subject to the provisions of this Section, and there will be no further transfer of such shares except in accordance with the terms of this Section 11. As used herein, the term “</w:t>
      </w:r>
      <w:r>
        <w:rPr>
          <w:rFonts w:ascii="Times New Roman" w:cs="Times New Roman" w:eastAsia="Times New Roman" w:hAnsi="Times New Roman"/>
          <w:sz w:val="18"/>
          <w:szCs w:val="18"/>
          <w:b w:val="1"/>
          <w:bCs w:val="1"/>
          <w:i w:val="1"/>
          <w:iCs w:val="1"/>
          <w:color w:val="auto"/>
        </w:rPr>
        <w:t>Immediate Family</w:t>
      </w:r>
      <w:r>
        <w:rPr>
          <w:rFonts w:ascii="Times New Roman" w:cs="Times New Roman" w:eastAsia="Times New Roman" w:hAnsi="Times New Roman"/>
          <w:sz w:val="18"/>
          <w:szCs w:val="18"/>
          <w:color w:val="auto"/>
        </w:rPr>
        <w:t>” will mean your spouse, the lineal descendant or antecedent, father, mother, brother or sister, child, adopted child, grandchild or adopted grandchild of you or your spouse, or the spouse of any child, adopted child, grandchild or adopted grandchild of you or your spouse.</w:t>
      </w:r>
    </w:p>
    <w:p>
      <w:pPr>
        <w:spacing w:after="0" w:line="188" w:lineRule="exact"/>
        <w:rPr>
          <w:rFonts w:ascii="Times New Roman" w:cs="Times New Roman" w:eastAsia="Times New Roman" w:hAnsi="Times New Roman"/>
          <w:sz w:val="18"/>
          <w:szCs w:val="18"/>
          <w:b w:val="1"/>
          <w:bCs w:val="1"/>
          <w:color w:val="auto"/>
        </w:rPr>
      </w:pPr>
    </w:p>
    <w:p>
      <w:pPr>
        <w:jc w:val="both"/>
        <w:ind w:firstLine="1505"/>
        <w:spacing w:after="0" w:line="250" w:lineRule="auto"/>
        <w:tabs>
          <w:tab w:leader="none" w:pos="2995"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shares of Common Stock purchased on exercise of your option will be transferred on the Company’s books nor will the Company recognize any such Transfer of any such shares or any interest therein unless and until all applicable provisions of this Section 11 have been complied with in all respects. The certificates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86" w:name="page387"/>
    <w:bookmarkEnd w:id="386"/>
    <w:p>
      <w:pPr>
        <w:spacing w:after="0" w:line="266" w:lineRule="auto"/>
        <w:rPr>
          <w:sz w:val="20"/>
          <w:szCs w:val="20"/>
          <w:color w:val="auto"/>
        </w:rPr>
      </w:pPr>
      <w:r>
        <w:rPr>
          <w:rFonts w:ascii="Times New Roman" w:cs="Times New Roman" w:eastAsia="Times New Roman" w:hAnsi="Times New Roman"/>
          <w:sz w:val="18"/>
          <w:szCs w:val="18"/>
          <w:color w:val="auto"/>
        </w:rPr>
        <w:t>of stock evidencing shares of Common Stock purchased on exercise of your option will bear an appropriate legend referring to the transfer restrictions imposed by this Section 11.</w:t>
      </w:r>
    </w:p>
    <w:p>
      <w:pPr>
        <w:spacing w:after="0" w:line="162" w:lineRule="exact"/>
        <w:rPr>
          <w:sz w:val="20"/>
          <w:szCs w:val="20"/>
          <w:color w:val="auto"/>
        </w:rPr>
      </w:pPr>
    </w:p>
    <w:p>
      <w:pPr>
        <w:jc w:val="both"/>
        <w:ind w:firstLine="1505"/>
        <w:spacing w:after="0" w:line="238" w:lineRule="auto"/>
        <w:tabs>
          <w:tab w:leader="none" w:pos="2995"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that the shares subject to the Company’s Right of First Refusal will be available for repurchase by the Company, the Company may require you to deposit the certificates evidencing the shares that you purchase upon exercise of your option with an escrow agent designated by the Company under the terms and conditions of an escrow agreement approved by the Company. If the Company does not require such deposit as a condition of exercise of your option, the Company reserves the right at any time to require you to so deposit the certificates in escrow. As soon as practicable after the expiration of the Company’s Right of First Refusal, the agent will deliver to you the shares and any other property no longer subject to such restriction. In the event the shares and any other property held in escrow are subject to the Company’s exercise of its Right of First Refusal, the notices required to be given to you will be given to the escrow agent, and any payment required to be given to you will be given to the escrow agent. Within 30 days after payment by the Company for the Offered Shares, the escrow agent will deliver the Offered Shares that the Company has repurchased to the Company and will deliver the payment received from the Company to you.</w:t>
      </w:r>
    </w:p>
    <w:p>
      <w:pPr>
        <w:spacing w:after="0" w:line="187"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498"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not a Service Contract</w:t>
      </w:r>
      <w:r>
        <w:rPr>
          <w:rFonts w:ascii="Times New Roman" w:cs="Times New Roman" w:eastAsia="Times New Roman" w:hAnsi="Times New Roman"/>
          <w:sz w:val="18"/>
          <w:szCs w:val="18"/>
          <w:color w:val="auto"/>
        </w:rPr>
        <w:t>. Your option is not an employment or service contract, and nothing in your option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77"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505"/>
        <w:spacing w:after="0" w:line="242" w:lineRule="auto"/>
        <w:tabs>
          <w:tab w:leader="none" w:pos="2995"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4" w:lineRule="exact"/>
        <w:rPr>
          <w:rFonts w:ascii="Times New Roman" w:cs="Times New Roman" w:eastAsia="Times New Roman" w:hAnsi="Times New Roman"/>
          <w:sz w:val="18"/>
          <w:szCs w:val="18"/>
          <w:b w:val="1"/>
          <w:bCs w:val="1"/>
          <w:color w:val="auto"/>
        </w:rPr>
      </w:pPr>
    </w:p>
    <w:p>
      <w:pPr>
        <w:jc w:val="both"/>
        <w:ind w:firstLine="1505"/>
        <w:spacing w:after="0" w:line="238" w:lineRule="auto"/>
        <w:tabs>
          <w:tab w:leader="none" w:pos="2995"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will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will be withheld solely from fully vested shares of Common Stock determined as of the date of exercise of your option that are otherwise issuable to you upon such exercise. Any adverse consequences to you arising in connection with such share withholding procedure will be your sole responsibility.</w:t>
      </w:r>
    </w:p>
    <w:p>
      <w:pPr>
        <w:spacing w:after="0" w:line="185" w:lineRule="exact"/>
        <w:rPr>
          <w:rFonts w:ascii="Times New Roman" w:cs="Times New Roman" w:eastAsia="Times New Roman" w:hAnsi="Times New Roman"/>
          <w:sz w:val="18"/>
          <w:szCs w:val="18"/>
          <w:b w:val="1"/>
          <w:bCs w:val="1"/>
          <w:color w:val="auto"/>
        </w:rPr>
      </w:pPr>
    </w:p>
    <w:p>
      <w:pPr>
        <w:jc w:val="both"/>
        <w:ind w:firstLine="1505"/>
        <w:spacing w:after="0" w:line="245" w:lineRule="auto"/>
        <w:tabs>
          <w:tab w:leader="none" w:pos="2995"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You hereby agree that the Company does not have a duty to design or administer the Plan or its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programs in a manner that minimizes your tax liabilities. You will not make any claim against the Company, or any of its Officers, Directors, Employees or Affiliates related to tax liabilities arising from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7" w:name="page388"/>
    <w:bookmarkEnd w:id="387"/>
    <w:p>
      <w:pPr>
        <w:jc w:val="both"/>
        <w:spacing w:after="0"/>
        <w:rPr>
          <w:sz w:val="20"/>
          <w:szCs w:val="20"/>
          <w:color w:val="auto"/>
        </w:rPr>
      </w:pPr>
      <w:r>
        <w:rPr>
          <w:rFonts w:ascii="Times New Roman" w:cs="Times New Roman" w:eastAsia="Times New Roman" w:hAnsi="Times New Roman"/>
          <w:sz w:val="18"/>
          <w:szCs w:val="18"/>
          <w:color w:val="auto"/>
        </w:rPr>
        <w:t>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1" w:lineRule="exact"/>
        <w:rPr>
          <w:sz w:val="20"/>
          <w:szCs w:val="20"/>
          <w:color w:val="auto"/>
        </w:rPr>
      </w:pPr>
    </w:p>
    <w:p>
      <w:pPr>
        <w:jc w:val="both"/>
        <w:ind w:firstLine="757"/>
        <w:spacing w:after="0" w:line="242" w:lineRule="auto"/>
        <w:tabs>
          <w:tab w:leader="none" w:pos="1498"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notices provided for in your option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78"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Plan Document</w:t>
      </w:r>
      <w:r>
        <w:rPr>
          <w:rFonts w:ascii="Times New Roman" w:cs="Times New Roman" w:eastAsia="Times New Roman" w:hAnsi="Times New Roman"/>
          <w:sz w:val="18"/>
          <w:szCs w:val="18"/>
          <w:color w:val="auto"/>
        </w:rPr>
        <w:t>. Your option is subject to all the provisions of the Plan, the provisions of which are hereby made a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8" w:name="page389"/>
    <w:bookmarkEnd w:id="3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624205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89" w:name="page390"/>
    <w:bookmarkEnd w:id="3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III</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365760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90" w:name="page391"/>
    <w:bookmarkEnd w:id="390"/>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188"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 xml:space="preserve">This constitutes notice to </w:t>
      </w:r>
      <w:r>
        <w:rPr>
          <w:rFonts w:ascii="Times New Roman" w:cs="Times New Roman" w:eastAsia="Times New Roman" w:hAnsi="Times New Roman"/>
          <w:sz w:val="18"/>
          <w:szCs w:val="18"/>
          <w:b w:val="1"/>
          <w:bCs w:val="1"/>
          <w:color w:val="auto"/>
        </w:rPr>
        <w:t>Rani Therapeutics Holdings,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my stock option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the price set forth below. Use of certain payment methods is subject to Company and/or Board consent and certain additional requirements set forth in the Option Agreement and the Plan. If the Company uses an electronic capitalization table system (such as Carta or Shareworks) and the fields below are blank, the blank fields shall be deemed to come from the electronic capitalization system and is considered part of this Notice of Exercise.</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Option Information</w:t>
      </w:r>
    </w:p>
    <w:p>
      <w:pPr>
        <w:spacing w:after="0" w:line="173" w:lineRule="exact"/>
        <w:rPr>
          <w:sz w:val="20"/>
          <w:szCs w:val="20"/>
          <w:color w:val="auto"/>
        </w:rPr>
      </w:pPr>
    </w:p>
    <w:p>
      <w:pPr>
        <w:ind w:left="100"/>
        <w:spacing w:after="0" w:line="207" w:lineRule="exact"/>
        <w:tabs>
          <w:tab w:leader="none" w:pos="7420" w:val="left"/>
          <w:tab w:leader="none" w:pos="8600" w:val="left"/>
        </w:tabs>
        <w:rPr>
          <w:sz w:val="20"/>
          <w:szCs w:val="20"/>
          <w:color w:val="auto"/>
        </w:rPr>
      </w:pPr>
      <w:r>
        <w:rPr>
          <w:rFonts w:ascii="Times New Roman" w:cs="Times New Roman" w:eastAsia="Times New Roman" w:hAnsi="Times New Roman"/>
          <w:sz w:val="18"/>
          <w:szCs w:val="18"/>
          <w:color w:val="auto"/>
        </w:rPr>
        <w:t>Type of option (check one):</w:t>
      </w:r>
      <w:r>
        <w:rPr>
          <w:sz w:val="20"/>
          <w:szCs w:val="20"/>
          <w:color w:val="auto"/>
        </w:rPr>
        <w:tab/>
      </w: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Nonstatutory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27305</wp:posOffset>
            </wp:positionV>
            <wp:extent cx="306070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3">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Stock option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-12065</wp:posOffset>
            </wp:positionV>
            <wp:extent cx="306070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4">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060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5">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color w:val="auto"/>
        </w:rPr>
        <w:t>Certificates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0607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6">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15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Exercise Information</w:t>
      </w:r>
    </w:p>
    <w:p>
      <w:pPr>
        <w:spacing w:after="0" w:line="2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0</wp:posOffset>
            </wp:positionV>
            <wp:extent cx="306070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7">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06070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18">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06070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19">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Regulation T Program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06070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0">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Value of _________ Shares delivered with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060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1">
                      <a:extLst>
                        <a:ext uri="{28A0092B-C50C-407E-A947-70E740481C1C}"/>
                      </a:extLst>
                    </a:blip>
                    <a:srcRect/>
                    <a:stretch>
                      <a:fillRect/>
                    </a:stretch>
                  </pic:blipFill>
                  <pic:spPr bwMode="auto">
                    <a:xfrm>
                      <a:off x="0" y="0"/>
                      <a:ext cx="3060700" cy="889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Value of _________ Shares pursuant to net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06070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2">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Rani Therapeutics Holdings, Inc. 2021 Equity Incentive Plan, (ii) to provide for the payment by me to you (in the manner designated by you) of your withholding obligation, if any, relating to the exercise of this 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 I further agree that this Notice of Exercise may be delivered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w:t>
      </w:r>
    </w:p>
    <w:p>
      <w:pPr>
        <w:spacing w:after="0" w:line="18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 hereby make the following certifications and representations with respect to the number of Shares listed above, which are being acquired by me for my own account upon exercise of the option as set forth above:</w:t>
      </w:r>
    </w:p>
    <w:p>
      <w:pPr>
        <w:spacing w:after="0" w:line="15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I acknowledge that the Shares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62" w:lineRule="exact"/>
        <w:rPr>
          <w:sz w:val="20"/>
          <w:szCs w:val="20"/>
          <w:color w:val="auto"/>
        </w:rPr>
      </w:pPr>
    </w:p>
    <w:p>
      <w:pPr>
        <w:jc w:val="both"/>
        <w:ind w:firstLine="749"/>
        <w:spacing w:after="0" w:line="226" w:lineRule="auto"/>
        <w:rPr>
          <w:sz w:val="20"/>
          <w:szCs w:val="20"/>
          <w:color w:val="auto"/>
        </w:rPr>
      </w:pPr>
      <w:r>
        <w:rPr>
          <w:rFonts w:ascii="Times New Roman" w:cs="Times New Roman" w:eastAsia="Times New Roman" w:hAnsi="Times New Roman"/>
          <w:sz w:val="18"/>
          <w:szCs w:val="18"/>
          <w:color w:val="auto"/>
        </w:rPr>
        <w:t>I further acknowledge and agree that, except for such information as required to be delivered to me by the Company pursuant to the option or the Plan (if any), I will have no right to receive any information from the Company by virtue of the grant of the option or the purchase of shares of Common Stock through exercise of the option, ownership of such shares of Common Stock, or as a result of my being a holder of record of stock of the Company. Without limiting the foregoing, to the fullest extent permitted by law, I hereby waive all inspection rights under Section 220 of the Delaware General Corporation Law and all such similar information and/or inspection rights that may be provided under the law of any jurisdiction, or any federal, state or foreign regulation, that are, or may become, applicable to the Company or the Company’s capital stock (the “</w:t>
      </w:r>
      <w:r>
        <w:rPr>
          <w:rFonts w:ascii="Times New Roman" w:cs="Times New Roman" w:eastAsia="Times New Roman" w:hAnsi="Times New Roman"/>
          <w:sz w:val="18"/>
          <w:szCs w:val="18"/>
          <w:b w:val="1"/>
          <w:bCs w:val="1"/>
          <w:i w:val="1"/>
          <w:iCs w:val="1"/>
          <w:color w:val="auto"/>
        </w:rPr>
        <w:t>Inspection Rights</w:t>
      </w:r>
      <w:r>
        <w:rPr>
          <w:rFonts w:ascii="Times New Roman" w:cs="Times New Roman" w:eastAsia="Times New Roman" w:hAnsi="Times New Roman"/>
          <w:sz w:val="18"/>
          <w:szCs w:val="18"/>
          <w:color w:val="auto"/>
        </w:rPr>
        <w:t>”). I hereby covenant and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1" w:name="page392"/>
    <w:bookmarkEnd w:id="391"/>
    <w:p>
      <w:pPr>
        <w:jc w:val="both"/>
        <w:spacing w:after="0" w:line="250" w:lineRule="auto"/>
        <w:rPr>
          <w:sz w:val="20"/>
          <w:szCs w:val="20"/>
          <w:color w:val="auto"/>
        </w:rPr>
      </w:pPr>
      <w:r>
        <w:rPr>
          <w:rFonts w:ascii="Times New Roman" w:cs="Times New Roman" w:eastAsia="Times New Roman" w:hAnsi="Times New Roman"/>
          <w:sz w:val="18"/>
          <w:szCs w:val="18"/>
          <w:color w:val="auto"/>
        </w:rPr>
        <w:t>never to directly or indirectly commence, voluntarily aid in any way, prosecute, assign, transfer, or cause to be commenced any claim, action, cause of action, or other proceeding to pursue or exercise the Inspection Rights.</w:t>
      </w:r>
    </w:p>
    <w:p>
      <w:pPr>
        <w:spacing w:after="0" w:line="16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18"/>
          <w:szCs w:val="18"/>
          <w:color w:val="auto"/>
        </w:rPr>
        <w:t>I further acknowledge that I will not be able to resell the Shares for at least 90 days after the stock of the Company becomes publicly traded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18"/>
          <w:szCs w:val="18"/>
          <w:color w:val="auto"/>
        </w:rPr>
        <w:t>I further acknowledge that all certificates representing any of the Shares subject to the provisions of the option will have endorsed thereon appropriate legends reflecting the foregoing limitations, as well as any legends reflecting restrictions pursuant to the Company’s Certificate of Incorporation, Bylaws and/or applicable securities laws.</w:t>
      </w:r>
    </w:p>
    <w:p>
      <w:pPr>
        <w:spacing w:after="0" w:line="172" w:lineRule="exact"/>
        <w:rPr>
          <w:sz w:val="20"/>
          <w:szCs w:val="20"/>
          <w:color w:val="auto"/>
        </w:rPr>
      </w:pPr>
    </w:p>
    <w:p>
      <w:pPr>
        <w:jc w:val="both"/>
        <w:ind w:firstLine="749"/>
        <w:spacing w:after="0" w:line="192" w:lineRule="exact"/>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180 days following the effective date of a registration statement of the Company filed under the Securities Act (or such longer period as the underwriters or the Company will request to facilitate compliance with applicable FINRA rules)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 instructions with respect to securities subject to the foregoing restrictions until the end of such period. I further agree that the obligations contained in this paragraph shall also, if so determined by the Company’s Board of Directors, apply if and when the Company’s shares of Common Stock become publicly traded on a national securities exchange, including without limitation pursuant to the Company’s initial listing of its Common Stock on a national securities exchange by means of a registration statement on Form S-1 under the Securities Act (or any successor registration form under the Securities Act subsequently adopted by the Securities and Exchange Commission) filed by the Company with the Securities and Exchange Commission that registers shares of existing capital stock of the Company for resale (a “</w:t>
      </w:r>
      <w:r>
        <w:rPr>
          <w:rFonts w:ascii="Times New Roman" w:cs="Times New Roman" w:eastAsia="Times New Roman" w:hAnsi="Times New Roman"/>
          <w:sz w:val="18"/>
          <w:szCs w:val="18"/>
          <w:b w:val="1"/>
          <w:bCs w:val="1"/>
          <w:i w:val="1"/>
          <w:iCs w:val="1"/>
          <w:color w:val="auto"/>
        </w:rPr>
        <w:t>Direct Listing</w:t>
      </w:r>
      <w:r>
        <w:rPr>
          <w:rFonts w:ascii="Times New Roman" w:cs="Times New Roman" w:eastAsia="Times New Roman" w:hAnsi="Times New Roman"/>
          <w:sz w:val="18"/>
          <w:szCs w:val="18"/>
          <w:color w:val="auto"/>
        </w:rPr>
        <w:t>”), provided that all holders of at least 5% of the Company’s outstanding Common Stock (after giving effect to the conversion into Common Stock of any outstanding Preferred Stock of the Company) are subject to substantially similar obligations with respect to such Direct Listing.</w:t>
      </w:r>
    </w:p>
    <w:p>
      <w:pPr>
        <w:spacing w:after="0" w:line="200" w:lineRule="exact"/>
        <w:rPr>
          <w:sz w:val="20"/>
          <w:szCs w:val="20"/>
          <w:color w:val="auto"/>
        </w:rPr>
      </w:pPr>
    </w:p>
    <w:p>
      <w:pPr>
        <w:spacing w:after="0" w:line="22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8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-127635</wp:posOffset>
            </wp:positionV>
            <wp:extent cx="256286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54"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-127635</wp:posOffset>
            </wp:positionV>
            <wp:extent cx="256286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5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Address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8890</wp:posOffset>
            </wp:positionV>
            <wp:extent cx="258000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6">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137160</wp:posOffset>
            </wp:positionV>
            <wp:extent cx="256286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8890</wp:posOffset>
            </wp:positionV>
            <wp:extent cx="256286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28">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22"/>
          <w:szCs w:val="22"/>
          <w:i w:val="1"/>
          <w:iCs w:val="1"/>
          <w:color w:val="auto"/>
        </w:rPr>
        <w:t>Non-Employee Director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NON-EMPLOYEE DIRECTOR OPTION GRANT PACKAGE]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200" w:lineRule="exact"/>
        <w:rPr>
          <w:sz w:val="20"/>
          <w:szCs w:val="20"/>
          <w:color w:val="auto"/>
        </w:rPr>
      </w:pPr>
    </w:p>
    <w:p>
      <w:pPr>
        <w:spacing w:after="0" w:line="2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Rani Therapeutics Holdings,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8890</wp:posOffset>
            </wp:positionV>
            <wp:extent cx="220281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220281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220281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220281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220281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220281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ectPr>
          <w:pgSz w:w="11900" w:h="16838" w:orient="portrait"/>
          <w:cols w:equalWidth="0" w:num="2">
            <w:col w:w="2800" w:space="720"/>
            <w:col w:w="7720"/>
          </w:cols>
          <w:pgMar w:left="320" w:top="108" w:right="339" w:bottom="1440" w:gutter="0" w:footer="0" w:header="0"/>
          <w:type w:val="continuous"/>
        </w:sectPr>
      </w:pP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Exercise and Vesting Schedule: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940"/>
        <w:spacing w:after="0" w:line="226" w:lineRule="auto"/>
        <w:rPr>
          <w:sz w:val="20"/>
          <w:szCs w:val="20"/>
          <w:color w:val="auto"/>
        </w:rPr>
      </w:pPr>
      <w:r>
        <w:rPr>
          <w:rFonts w:ascii="Times New Roman" w:cs="Times New Roman" w:eastAsia="Times New Roman" w:hAnsi="Times New Roman"/>
          <w:sz w:val="18"/>
          <w:szCs w:val="18"/>
          <w:color w:val="auto"/>
        </w:rPr>
        <w:t>Subject to the Optionholder’s Continuous Service through each applicable vesting date, the Option will vest as follows, subject to the potential vesting acceleration described in Section 2 of the Stock Option Agreement:</w:t>
      </w:r>
    </w:p>
    <w:p>
      <w:pPr>
        <w:spacing w:after="0" w:line="138" w:lineRule="exact"/>
        <w:rPr>
          <w:sz w:val="20"/>
          <w:szCs w:val="20"/>
          <w:color w:val="auto"/>
        </w:rPr>
      </w:pPr>
    </w:p>
    <w:p>
      <w:pPr>
        <w:sectPr>
          <w:pgSz w:w="11900" w:h="16838" w:orient="portrait"/>
          <w:cols w:equalWidth="0" w:num="2">
            <w:col w:w="2800" w:space="720"/>
            <w:col w:w="7720"/>
          </w:cols>
          <w:pgMar w:left="320" w:top="108" w:right="339" w:bottom="1440" w:gutter="0" w:footer="0" w:header="0"/>
          <w:type w:val="continuous"/>
        </w:sectPr>
      </w:pPr>
    </w:p>
    <w:p>
      <w:pPr>
        <w:ind w:left="3520" w:right="1080"/>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][One-third (1/3</w:t>
      </w:r>
      <w:r>
        <w:rPr>
          <w:rFonts w:ascii="Times New Roman" w:cs="Times New Roman" w:eastAsia="Times New Roman" w:hAnsi="Times New Roman"/>
          <w:sz w:val="12"/>
          <w:szCs w:val="12"/>
          <w:color w:val="auto"/>
        </w:rPr>
        <w:t>rd</w:t>
      </w:r>
      <w:r>
        <w:rPr>
          <w:rFonts w:ascii="Times New Roman" w:cs="Times New Roman" w:eastAsia="Times New Roman" w:hAnsi="Times New Roman"/>
          <w:sz w:val="18"/>
          <w:szCs w:val="18"/>
          <w:color w:val="auto"/>
        </w:rPr>
        <w:t>) of the shares subject to the Option shall vest and become exercisable on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anniversary of the Date of Grant and one thirty-sixth (1/36</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of the shares subject to the Option shall vest and become exercisable each month thereafter on the same day of the month as the Date of Grant (and if there is no corresponding day, on the last day of the month), such that the Option shall be fully vested and exercisable on the third (3</w:t>
      </w:r>
      <w:r>
        <w:rPr>
          <w:rFonts w:ascii="Times New Roman" w:cs="Times New Roman" w:eastAsia="Times New Roman" w:hAnsi="Times New Roman"/>
          <w:sz w:val="12"/>
          <w:szCs w:val="12"/>
          <w:color w:val="auto"/>
        </w:rPr>
        <w:t>rd</w:t>
      </w:r>
      <w:r>
        <w:rPr>
          <w:rFonts w:ascii="Times New Roman" w:cs="Times New Roman" w:eastAsia="Times New Roman" w:hAnsi="Times New Roman"/>
          <w:sz w:val="18"/>
          <w:szCs w:val="18"/>
          <w:color w:val="auto"/>
        </w:rPr>
        <w:t>) anniversary of the Date of Grant.]</w:t>
      </w:r>
    </w:p>
    <w:p>
      <w:pPr>
        <w:spacing w:after="0" w:line="159" w:lineRule="exact"/>
        <w:rPr>
          <w:sz w:val="20"/>
          <w:szCs w:val="20"/>
          <w:color w:val="auto"/>
        </w:rPr>
      </w:pPr>
    </w:p>
    <w:p>
      <w:pPr>
        <w:ind w:left="3520" w:right="920"/>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][The shares subject to the Option shall vest and become exercisable upon the earlier to occur of (i) the first (1</w:t>
      </w:r>
      <w:r>
        <w:rPr>
          <w:rFonts w:ascii="Times New Roman" w:cs="Times New Roman" w:eastAsia="Times New Roman" w:hAnsi="Times New Roman"/>
          <w:sz w:val="12"/>
          <w:szCs w:val="12"/>
          <w:color w:val="auto"/>
        </w:rPr>
        <w:t>st</w:t>
      </w:r>
      <w:r>
        <w:rPr>
          <w:rFonts w:ascii="Times New Roman" w:cs="Times New Roman" w:eastAsia="Times New Roman" w:hAnsi="Times New Roman"/>
          <w:sz w:val="18"/>
          <w:szCs w:val="18"/>
          <w:color w:val="auto"/>
        </w:rPr>
        <w:t>) anniversary of the Date of Grant and (ii) the date of the next annual meeting of the stockholders of the Company.]</w:t>
      </w:r>
    </w:p>
    <w:p>
      <w:pPr>
        <w:sectPr>
          <w:pgSz w:w="11900" w:h="16838" w:orient="portrait"/>
          <w:cols w:equalWidth="0" w:num="1">
            <w:col w:w="11240"/>
          </w:cols>
          <w:pgMar w:left="320" w:top="108" w:right="339" w:bottom="1440" w:gutter="0" w:footer="0" w:header="0"/>
          <w:type w:val="continuous"/>
        </w:sectPr>
      </w:pPr>
    </w:p>
    <w:p>
      <w:pPr>
        <w:spacing w:after="0" w:line="1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158" w:lineRule="exact"/>
        <w:rPr>
          <w:sz w:val="20"/>
          <w:szCs w:val="20"/>
          <w:color w:val="auto"/>
        </w:rPr>
      </w:pPr>
    </w:p>
    <w:p>
      <w:pPr>
        <w:jc w:val="both"/>
        <w:ind w:left="1500" w:hanging="369"/>
        <w:spacing w:after="0" w:line="245" w:lineRule="auto"/>
        <w:tabs>
          <w:tab w:leader="none" w:pos="15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180"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93" w:name="page394"/>
    <w:bookmarkEnd w:id="393"/>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4" w:lineRule="exact"/>
        <w:rPr>
          <w:sz w:val="20"/>
          <w:szCs w:val="20"/>
          <w:color w:val="auto"/>
        </w:rPr>
      </w:pPr>
    </w:p>
    <w:p>
      <w:pPr>
        <w:jc w:val="both"/>
        <w:ind w:left="1500" w:hanging="369"/>
        <w:spacing w:after="0" w:line="250" w:lineRule="auto"/>
        <w:tabs>
          <w:tab w:leader="none" w:pos="15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76" w:lineRule="exact"/>
        <w:rPr>
          <w:rFonts w:ascii="Times New Roman" w:cs="Times New Roman" w:eastAsia="Times New Roman" w:hAnsi="Times New Roman"/>
          <w:sz w:val="18"/>
          <w:szCs w:val="18"/>
          <w:color w:val="auto"/>
        </w:rPr>
      </w:pPr>
    </w:p>
    <w:p>
      <w:pPr>
        <w:jc w:val="both"/>
        <w:ind w:left="1500" w:hanging="369"/>
        <w:spacing w:after="0" w:line="245" w:lineRule="auto"/>
        <w:tabs>
          <w:tab w:leader="none" w:pos="15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80"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5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Optionholder:</w:t>
            </w:r>
          </w:p>
        </w:tc>
      </w:tr>
      <w:tr>
        <w:trPr>
          <w:trHeight w:val="36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960" w:type="dxa"/>
            <w:vAlign w:val="bottom"/>
          </w:tcPr>
          <w:p>
            <w:pPr>
              <w:spacing w:after="0"/>
              <w:rPr>
                <w:sz w:val="19"/>
                <w:szCs w:val="19"/>
                <w:color w:val="auto"/>
              </w:rPr>
            </w:pPr>
          </w:p>
        </w:tc>
        <w:tc>
          <w:tcPr>
            <w:tcW w:w="352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Signature</w:t>
            </w:r>
          </w:p>
        </w:tc>
        <w:tc>
          <w:tcPr>
            <w:tcW w:w="1560" w:type="dxa"/>
            <w:vAlign w:val="bottom"/>
          </w:tcPr>
          <w:p>
            <w:pPr>
              <w:spacing w:after="0"/>
              <w:rPr>
                <w:sz w:val="19"/>
                <w:szCs w:val="19"/>
                <w:color w:val="auto"/>
              </w:rPr>
            </w:pPr>
          </w:p>
        </w:tc>
        <w:tc>
          <w:tcPr>
            <w:tcW w:w="350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Signature</w:t>
            </w:r>
          </w:p>
        </w:tc>
      </w:tr>
      <w:tr>
        <w:trPr>
          <w:trHeight w:val="38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Date:</w:t>
            </w:r>
          </w:p>
        </w:tc>
      </w:tr>
      <w:tr>
        <w:trPr>
          <w:trHeight w:val="20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20" w:type="dxa"/>
            <w:vAlign w:val="bottom"/>
            <w:tcBorders>
              <w:top w:val="single" w:sz="8" w:color="auto"/>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TTACHMENTS</w:t>
      </w:r>
      <w:r>
        <w:rPr>
          <w:rFonts w:ascii="Times New Roman" w:cs="Times New Roman" w:eastAsia="Times New Roman" w:hAnsi="Times New Roman"/>
          <w:sz w:val="18"/>
          <w:szCs w:val="18"/>
          <w:color w:val="auto"/>
        </w:rPr>
        <w:t>: Option Agreement, 2021 Equity Incentive Plan, Notice of Exercise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1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22"/>
          <w:szCs w:val="22"/>
          <w:i w:val="1"/>
          <w:iCs w:val="1"/>
          <w:color w:val="auto"/>
        </w:rPr>
        <w:t>Non-Employee Director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w:t>
      </w:r>
    </w:p>
    <w:p>
      <w:pPr>
        <w:spacing w:after="0" w:line="18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208" w:lineRule="exact"/>
        <w:rPr>
          <w:sz w:val="20"/>
          <w:szCs w:val="20"/>
          <w:color w:val="auto"/>
        </w:rPr>
      </w:pPr>
    </w:p>
    <w:p>
      <w:pPr>
        <w:ind w:left="1500" w:hanging="743"/>
        <w:spacing w:after="0"/>
        <w:tabs>
          <w:tab w:leader="none" w:pos="150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w:t>
      </w:r>
      <w:r>
        <w:rPr>
          <w:rFonts w:ascii="Times New Roman" w:cs="Times New Roman" w:eastAsia="Times New Roman" w:hAnsi="Times New Roman"/>
          <w:sz w:val="18"/>
          <w:szCs w:val="18"/>
          <w:color w:val="auto"/>
        </w:rPr>
        <w:t>. Your Option is subject to all the provisions of the Plan, including but not limited to the provisions in:</w:t>
      </w:r>
    </w:p>
    <w:p>
      <w:pPr>
        <w:spacing w:after="0" w:line="215"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your Option;</w:t>
      </w:r>
    </w:p>
    <w:p>
      <w:pPr>
        <w:spacing w:after="0" w:line="19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of the Option; and</w:t>
      </w:r>
    </w:p>
    <w:p>
      <w:pPr>
        <w:spacing w:after="0" w:line="19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58" w:lineRule="exact"/>
        <w:rPr>
          <w:sz w:val="20"/>
          <w:szCs w:val="20"/>
          <w:color w:val="auto"/>
        </w:rPr>
      </w:pPr>
    </w:p>
    <w:p>
      <w:pPr>
        <w:ind w:left="1500" w:hanging="743"/>
        <w:spacing w:after="0"/>
        <w:tabs>
          <w:tab w:leader="none" w:pos="1500" w:val="left"/>
        </w:tabs>
        <w:numPr>
          <w:ilvl w:val="1"/>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505"/>
        <w:spacing w:after="0" w:line="245" w:lineRule="auto"/>
        <w:tabs>
          <w:tab w:leader="none" w:pos="2995" w:val="left"/>
        </w:tabs>
        <w:numPr>
          <w:ilvl w:val="2"/>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w:t>
      </w:r>
    </w:p>
    <w:p>
      <w:pPr>
        <w:spacing w:after="0" w:line="180" w:lineRule="exact"/>
        <w:rPr>
          <w:rFonts w:ascii="Times New Roman" w:cs="Times New Roman" w:eastAsia="Times New Roman" w:hAnsi="Times New Roman"/>
          <w:sz w:val="18"/>
          <w:szCs w:val="18"/>
          <w:b w:val="1"/>
          <w:bCs w:val="1"/>
          <w:color w:val="auto"/>
        </w:rPr>
      </w:pPr>
    </w:p>
    <w:p>
      <w:pPr>
        <w:jc w:val="both"/>
        <w:ind w:firstLine="1505"/>
        <w:spacing w:after="0" w:line="246" w:lineRule="auto"/>
        <w:tabs>
          <w:tab w:leader="none" w:pos="2995" w:val="left"/>
        </w:tabs>
        <w:numPr>
          <w:ilvl w:val="2"/>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 (i) constitute a “parachute payment” within the meaning of Section 280G of the Code, and</w:t>
      </w:r>
    </w:p>
    <w:p>
      <w:pPr>
        <w:jc w:val="both"/>
        <w:ind w:firstLine="8"/>
        <w:spacing w:after="0" w:line="236" w:lineRule="auto"/>
        <w:tabs>
          <w:tab w:leader="none" w:pos="26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any such 280G Payment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Section 409A of the Code that would not otherwise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325120</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6" w:name="page397"/>
    <w:bookmarkEnd w:id="396"/>
    <w:p>
      <w:pPr>
        <w:ind w:left="9520"/>
        <w:spacing w:after="0"/>
        <w:rPr>
          <w:sz w:val="20"/>
          <w:szCs w:val="20"/>
          <w:color w:val="auto"/>
        </w:rPr>
      </w:pPr>
      <w:r>
        <w:rPr>
          <w:rFonts w:ascii="Times New Roman" w:cs="Times New Roman" w:eastAsia="Times New Roman" w:hAnsi="Times New Roman"/>
          <w:sz w:val="17"/>
          <w:szCs w:val="17"/>
          <w:i w:val="1"/>
          <w:iCs w:val="1"/>
          <w:color w:val="auto"/>
        </w:rPr>
        <w:t>Non-Employee Director</w:t>
      </w:r>
    </w:p>
    <w:p>
      <w:pPr>
        <w:spacing w:after="0" w:line="22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18"/>
          <w:szCs w:val="18"/>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8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w:t>
      </w:r>
    </w:p>
    <w:p>
      <w:pPr>
        <w:spacing w:after="0" w:line="181" w:lineRule="exact"/>
        <w:rPr>
          <w:sz w:val="20"/>
          <w:szCs w:val="20"/>
          <w:color w:val="auto"/>
        </w:rPr>
      </w:pPr>
    </w:p>
    <w:p>
      <w:pPr>
        <w:ind w:left="1500" w:hanging="743"/>
        <w:spacing w:after="0"/>
        <w:tabs>
          <w:tab w:leader="none" w:pos="150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XERCISE</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505"/>
        <w:spacing w:after="0" w:line="245" w:lineRule="auto"/>
        <w:tabs>
          <w:tab w:leader="none" w:pos="2995"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180"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ectPr>
          <w:pgSz w:w="11900" w:h="16838" w:orient="portrait"/>
          <w:cols w:equalWidth="0" w:num="1">
            <w:col w:w="11240"/>
          </w:cols>
          <w:pgMar w:left="320" w:top="119" w:right="339" w:bottom="1440" w:gutter="0" w:footer="0" w:header="0"/>
        </w:sectPr>
      </w:pPr>
    </w:p>
    <w:p>
      <w:pPr>
        <w:spacing w:after="0" w:line="203"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9"/>
          <w:szCs w:val="19"/>
          <w:b w:val="1"/>
          <w:bCs w:val="1"/>
          <w:color w:val="auto"/>
        </w:rPr>
        <w:t>(i)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check, bank draft or money order;</w:t>
      </w:r>
    </w:p>
    <w:p>
      <w:pPr>
        <w:spacing w:after="0" w:line="200" w:lineRule="exact"/>
        <w:rPr>
          <w:sz w:val="20"/>
          <w:szCs w:val="20"/>
          <w:color w:val="auto"/>
        </w:rPr>
      </w:pPr>
    </w:p>
    <w:p>
      <w:pPr>
        <w:sectPr>
          <w:pgSz w:w="11900" w:h="16838" w:orient="portrait"/>
          <w:cols w:equalWidth="0" w:num="2">
            <w:col w:w="3780" w:space="720"/>
            <w:col w:w="6740"/>
          </w:cols>
          <w:pgMar w:left="320" w:top="119" w:right="339" w:bottom="1440" w:gutter="0" w:footer="0" w:header="0"/>
          <w:type w:val="continuous"/>
        </w:sectPr>
      </w:pPr>
    </w:p>
    <w:p>
      <w:pPr>
        <w:spacing w:after="0" w:line="3" w:lineRule="exact"/>
        <w:rPr>
          <w:sz w:val="20"/>
          <w:szCs w:val="20"/>
          <w:color w:val="auto"/>
        </w:rPr>
      </w:pPr>
    </w:p>
    <w:p>
      <w:pPr>
        <w:ind w:firstLine="2246"/>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(ii) </w:t>
      </w:r>
      <w:r>
        <w:rPr>
          <w:rFonts w:ascii="Times New Roman" w:cs="Times New Roman" w:eastAsia="Times New Roman" w:hAnsi="Times New Roman"/>
          <w:sz w:val="17"/>
          <w:szCs w:val="17"/>
          <w:color w:val="auto"/>
        </w:rPr>
        <w:t>subject to Company and/or Committee consent at the time of exercise, pursuant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“cashless exercise” program as further described in Section 4(c)(ii) of the Plan if at the time of exercise the Common Stock is publicly traded;</w:t>
      </w:r>
    </w:p>
    <w:p>
      <w:pPr>
        <w:spacing w:after="0" w:line="138" w:lineRule="exact"/>
        <w:rPr>
          <w:sz w:val="20"/>
          <w:szCs w:val="20"/>
          <w:color w:val="auto"/>
        </w:rPr>
      </w:pPr>
    </w:p>
    <w:p>
      <w:pPr>
        <w:ind w:firstLine="2246"/>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(iii) </w:t>
      </w:r>
      <w:r>
        <w:rPr>
          <w:rFonts w:ascii="Times New Roman" w:cs="Times New Roman" w:eastAsia="Times New Roman" w:hAnsi="Times New Roman"/>
          <w:sz w:val="17"/>
          <w:szCs w:val="17"/>
          <w:color w:val="auto"/>
        </w:rPr>
        <w:t>subject to Company and/or Committee consent at the time of exercise, by delivery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color w:val="auto"/>
        </w:rPr>
        <w:t>previously owned shares of Common Stock as further described in Section 4(c)(iii) of the Plan; or</w:t>
      </w:r>
    </w:p>
    <w:p>
      <w:pPr>
        <w:spacing w:after="0" w:line="138"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18"/>
          <w:szCs w:val="18"/>
          <w:color w:val="auto"/>
        </w:rPr>
        <w:t>subject to Company and/or Committee consent at the time of exercise, if the Option is a</w:t>
      </w:r>
    </w:p>
    <w:p>
      <w:pPr>
        <w:sectPr>
          <w:pgSz w:w="11900" w:h="16838" w:orient="portrait"/>
          <w:cols w:equalWidth="0" w:num="1">
            <w:col w:w="11240"/>
          </w:cols>
          <w:pgMar w:left="320" w:top="119"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Nonstatutory Stock Option, by a “net exercise” arrangement as further described in Section 4(c)(iv) of the Plan.</w:t>
      </w:r>
    </w:p>
    <w:p>
      <w:pPr>
        <w:spacing w:after="0" w:line="180" w:lineRule="exact"/>
        <w:rPr>
          <w:sz w:val="20"/>
          <w:szCs w:val="20"/>
          <w:color w:val="auto"/>
        </w:rPr>
      </w:pPr>
    </w:p>
    <w:p>
      <w:pPr>
        <w:ind w:right="20" w:firstLine="757"/>
        <w:spacing w:after="0" w:line="271" w:lineRule="auto"/>
        <w:tabs>
          <w:tab w:leader="none" w:pos="1498"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w:t>
      </w:r>
      <w:r>
        <w:rPr>
          <w:rFonts w:ascii="Times New Roman" w:cs="Times New Roman" w:eastAsia="Times New Roman" w:hAnsi="Times New Roman"/>
          <w:sz w:val="18"/>
          <w:szCs w:val="18"/>
          <w:color w:val="auto"/>
        </w:rPr>
        <w:t>. You may not exercise your Option before the commencement of its term or after its term expires. The term of your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commences on the Date of Grant and expires upon the earliest of the following: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97" w:name="page398"/>
    <w:bookmarkEnd w:id="397"/>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0"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immediately upon the termination of your Continuous Service for Cause;</w:t>
      </w:r>
    </w:p>
    <w:p>
      <w:pPr>
        <w:spacing w:after="0" w:line="216" w:lineRule="exact"/>
        <w:rPr>
          <w:sz w:val="20"/>
          <w:szCs w:val="20"/>
          <w:color w:val="auto"/>
        </w:rPr>
      </w:pPr>
    </w:p>
    <w:p>
      <w:pPr>
        <w:ind w:left="3000" w:hanging="1495"/>
        <w:spacing w:after="0"/>
        <w:tabs>
          <w:tab w:leader="none" w:pos="300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w:t>
      </w:r>
    </w:p>
    <w:p>
      <w:pPr>
        <w:spacing w:after="0" w:line="21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connection with a Corporate Transaction,</w:t>
      </w:r>
    </w:p>
    <w:p>
      <w:pPr>
        <w:spacing w:after="0" w:line="19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1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above, the term of your Option shall not expire until the earlier of (i) 12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77" w:lineRule="exact"/>
        <w:rPr>
          <w:sz w:val="20"/>
          <w:szCs w:val="20"/>
          <w:color w:val="auto"/>
        </w:rPr>
      </w:pPr>
    </w:p>
    <w:p>
      <w:pPr>
        <w:jc w:val="both"/>
        <w:ind w:firstLine="757"/>
        <w:spacing w:after="0" w:line="238" w:lineRule="auto"/>
        <w:tabs>
          <w:tab w:leader="none" w:pos="149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color w:val="auto"/>
        </w:rPr>
        <w:t>. As further provided in Section 8 of the Plan: (a) you may not exercise your Option unless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8" w:lineRule="exact"/>
        <w:rPr>
          <w:rFonts w:ascii="Times New Roman" w:cs="Times New Roman" w:eastAsia="Times New Roman" w:hAnsi="Times New Roman"/>
          <w:sz w:val="18"/>
          <w:szCs w:val="18"/>
          <w:b w:val="1"/>
          <w:bCs w:val="1"/>
          <w:color w:val="auto"/>
        </w:rPr>
      </w:pPr>
    </w:p>
    <w:p>
      <w:pPr>
        <w:ind w:firstLine="757"/>
        <w:spacing w:after="0" w:line="271" w:lineRule="auto"/>
        <w:tabs>
          <w:tab w:leader="none" w:pos="149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RANSFERABILITY</w:t>
      </w:r>
      <w:r>
        <w:rPr>
          <w:rFonts w:ascii="Times New Roman" w:cs="Times New Roman" w:eastAsia="Times New Roman" w:hAnsi="Times New Roman"/>
          <w:sz w:val="18"/>
          <w:szCs w:val="18"/>
          <w:color w:val="auto"/>
        </w:rPr>
        <w:t>. 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153"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w:t>
      </w:r>
      <w:r>
        <w:rPr>
          <w:rFonts w:ascii="Times New Roman" w:cs="Times New Roman" w:eastAsia="Times New Roman" w:hAnsi="Times New Roman"/>
          <w:sz w:val="18"/>
          <w:szCs w:val="18"/>
          <w:color w:val="auto"/>
        </w:rPr>
        <w:t>. Your Option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1" w:lineRule="exact"/>
        <w:rPr>
          <w:rFonts w:ascii="Times New Roman" w:cs="Times New Roman" w:eastAsia="Times New Roman" w:hAnsi="Times New Roman"/>
          <w:sz w:val="18"/>
          <w:szCs w:val="18"/>
          <w:b w:val="1"/>
          <w:bCs w:val="1"/>
          <w:color w:val="auto"/>
        </w:rPr>
      </w:pPr>
    </w:p>
    <w:p>
      <w:pPr>
        <w:jc w:val="both"/>
        <w:ind w:firstLine="757"/>
        <w:spacing w:after="0" w:line="239" w:lineRule="auto"/>
        <w:tabs>
          <w:tab w:leader="none" w:pos="149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AXES</w:t>
      </w:r>
      <w:r>
        <w:rPr>
          <w:rFonts w:ascii="Times New Roman" w:cs="Times New Roman" w:eastAsia="Times New Roman" w:hAnsi="Times New Roman"/>
          <w:sz w:val="18"/>
          <w:szCs w:val="18"/>
          <w:color w:val="auto"/>
        </w:rPr>
        <w:t>. As a condition to accepting the Option, you hereby (a) agree to not make any claim against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87"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invalidate any portion of this Option Agreement or the Plan not declared to be unlawful or invalid. Any Section of this Option Agreement (or part of such</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8" w:name="page399"/>
    <w:bookmarkEnd w:id="398"/>
    <w:p>
      <w:pPr>
        <w:ind w:left="9520"/>
        <w:spacing w:after="0"/>
        <w:rPr>
          <w:sz w:val="20"/>
          <w:szCs w:val="20"/>
          <w:color w:val="auto"/>
        </w:rPr>
      </w:pPr>
      <w:r>
        <w:rPr>
          <w:rFonts w:ascii="Times New Roman" w:cs="Times New Roman" w:eastAsia="Times New Roman" w:hAnsi="Times New Roman"/>
          <w:sz w:val="17"/>
          <w:szCs w:val="17"/>
          <w:i w:val="1"/>
          <w:iCs w:val="1"/>
          <w:color w:val="auto"/>
        </w:rPr>
        <w:t>Non-Employee Director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Section) so declared to be unlawful or invalid will, if possible, be construed in a manner which will give effect to the terms of such Section or part of a Section to the fullest extent possible while remaining lawful and valid.</w:t>
      </w:r>
    </w:p>
    <w:p>
      <w:pPr>
        <w:spacing w:after="0" w:line="158" w:lineRule="exact"/>
        <w:rPr>
          <w:sz w:val="20"/>
          <w:szCs w:val="20"/>
          <w:color w:val="auto"/>
        </w:rPr>
      </w:pPr>
    </w:p>
    <w:p>
      <w:pPr>
        <w:ind w:firstLine="757"/>
        <w:spacing w:after="0" w:line="271" w:lineRule="auto"/>
        <w:tabs>
          <w:tab w:leader="none" w:pos="1498"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OCUMENTS</w:t>
      </w:r>
      <w:r>
        <w:rPr>
          <w:rFonts w:ascii="Times New Roman" w:cs="Times New Roman" w:eastAsia="Times New Roman" w:hAnsi="Times New Roman"/>
          <w:sz w:val="18"/>
          <w:szCs w:val="18"/>
          <w:color w:val="auto"/>
        </w:rPr>
        <w:t>. You hereby acknowledge receipt of or the right to receive a document providing the information required by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428(b)(1) promulgated under the Securities Act, which includes the Prospectus. In addition, you acknowledge receipt of the Company’s Trading Policy.</w:t>
      </w:r>
    </w:p>
    <w:p>
      <w:pPr>
        <w:spacing w:after="0" w:line="153" w:lineRule="exact"/>
        <w:rPr>
          <w:rFonts w:ascii="Times New Roman" w:cs="Times New Roman" w:eastAsia="Times New Roman" w:hAnsi="Times New Roman"/>
          <w:sz w:val="18"/>
          <w:szCs w:val="18"/>
          <w:b w:val="1"/>
          <w:bCs w:val="1"/>
          <w:color w:val="auto"/>
        </w:rPr>
      </w:pPr>
    </w:p>
    <w:p>
      <w:pPr>
        <w:ind w:firstLine="757"/>
        <w:spacing w:after="0" w:line="271" w:lineRule="auto"/>
        <w:tabs>
          <w:tab w:leader="none" w:pos="1498"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2"/>
          <w:szCs w:val="12"/>
          <w:b w:val="1"/>
          <w:bCs w:val="1"/>
          <w:color w:val="auto"/>
        </w:rPr>
        <w:t>UESTIONS</w:t>
      </w:r>
      <w:r>
        <w:rPr>
          <w:rFonts w:ascii="Times New Roman" w:cs="Times New Roman" w:eastAsia="Times New Roman" w:hAnsi="Times New Roman"/>
          <w:sz w:val="18"/>
          <w:szCs w:val="18"/>
          <w:color w:val="auto"/>
        </w:rPr>
        <w:t>. If you have questions regarding these or any other terms and conditions applicable to your Option, including a summary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federal income tax consequences please see the Prospectus.</w:t>
      </w:r>
    </w:p>
    <w:p>
      <w:pPr>
        <w:spacing w:after="0" w:line="200" w:lineRule="exact"/>
        <w:rPr>
          <w:rFonts w:ascii="Times New Roman" w:cs="Times New Roman" w:eastAsia="Times New Roman" w:hAnsi="Times New Roman"/>
          <w:sz w:val="18"/>
          <w:szCs w:val="18"/>
          <w:b w:val="1"/>
          <w:bCs w:val="1"/>
          <w:color w:val="auto"/>
        </w:rPr>
      </w:pPr>
    </w:p>
    <w:p>
      <w:pPr>
        <w:spacing w:after="0" w:line="376" w:lineRule="exact"/>
        <w:rPr>
          <w:rFonts w:ascii="Times New Roman" w:cs="Times New Roman" w:eastAsia="Times New Roman" w:hAnsi="Times New Roman"/>
          <w:sz w:val="18"/>
          <w:szCs w:val="18"/>
          <w:b w:val="1"/>
          <w:bCs w:val="1"/>
          <w:color w:val="auto"/>
        </w:rPr>
      </w:pPr>
    </w:p>
    <w:p>
      <w:pPr>
        <w:ind w:left="5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9" w:name="page400"/>
    <w:bookmarkEnd w:id="399"/>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1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01" w:name="page402"/>
    <w:bookmarkEnd w:id="401"/>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XERCISE</w:t>
      </w:r>
    </w:p>
    <w:p>
      <w:pPr>
        <w:sectPr>
          <w:pgSz w:w="11900" w:h="16838" w:orient="portrait"/>
          <w:cols w:equalWidth="0" w:num="1">
            <w:col w:w="11240"/>
          </w:cols>
          <w:pgMar w:left="320" w:top="119" w:right="339" w:bottom="1440" w:gutter="0" w:footer="0" w:header="0"/>
        </w:sectPr>
      </w:pP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ind w:left="20"/>
        <w:spacing w:after="0" w:line="226" w:lineRule="auto"/>
        <w:rPr>
          <w:sz w:val="20"/>
          <w:szCs w:val="20"/>
          <w:color w:val="auto"/>
        </w:rPr>
      </w:pPr>
      <w:r>
        <w:rPr>
          <w:rFonts w:ascii="Times New Roman" w:cs="Times New Roman" w:eastAsia="Times New Roman" w:hAnsi="Times New Roman"/>
          <w:sz w:val="18"/>
          <w:szCs w:val="18"/>
          <w:color w:val="auto"/>
        </w:rPr>
        <w:t>2051 R</w:t>
      </w:r>
      <w:r>
        <w:rPr>
          <w:rFonts w:ascii="Times New Roman" w:cs="Times New Roman" w:eastAsia="Times New Roman" w:hAnsi="Times New Roman"/>
          <w:sz w:val="12"/>
          <w:szCs w:val="12"/>
          <w:color w:val="auto"/>
        </w:rPr>
        <w:t>INGWOOD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VENUE</w:t>
      </w:r>
    </w:p>
    <w:p>
      <w:pPr>
        <w:ind w:left="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AN</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OSE</w:t>
      </w:r>
      <w:r>
        <w:rPr>
          <w:rFonts w:ascii="Times New Roman" w:cs="Times New Roman" w:eastAsia="Times New Roman" w:hAnsi="Times New Roman"/>
          <w:sz w:val="18"/>
          <w:szCs w:val="18"/>
          <w:color w:val="auto"/>
        </w:rPr>
        <w:t>, CA 95131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1144270</wp:posOffset>
            </wp:positionH>
            <wp:positionV relativeFrom="paragraph">
              <wp:posOffset>17145</wp:posOffset>
            </wp:positionV>
            <wp:extent cx="226314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5">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5140" w:space="720"/>
            <w:col w:w="5380"/>
          </w:cols>
          <w:pgMar w:left="320" w:top="119" w:right="339" w:bottom="1440" w:gutter="0" w:footer="0" w:header="0"/>
          <w:type w:val="continuous"/>
        </w:sectPr>
      </w:pPr>
    </w:p>
    <w:p>
      <w:pPr>
        <w:spacing w:after="0" w:line="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This constitutes notice to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ectPr>
          <w:pgSz w:w="11900" w:h="16838" w:orient="portrait"/>
          <w:cols w:equalWidth="0" w:num="1">
            <w:col w:w="11240"/>
          </w:cols>
          <w:pgMar w:left="320" w:top="119" w:right="339" w:bottom="1440" w:gutter="0" w:footer="0" w:header="0"/>
          <w:type w:val="continuous"/>
        </w:sectPr>
      </w:pPr>
    </w:p>
    <w:p>
      <w:pPr>
        <w:spacing w:after="0" w:line="1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Nonstatutory</w:t>
      </w:r>
    </w:p>
    <w:p>
      <w:pPr>
        <w:spacing w:after="0" w:line="200" w:lineRule="exact"/>
        <w:rPr>
          <w:sz w:val="20"/>
          <w:szCs w:val="20"/>
          <w:color w:val="auto"/>
        </w:rPr>
      </w:pPr>
    </w:p>
    <w:p>
      <w:pPr>
        <w:sectPr>
          <w:pgSz w:w="11900" w:h="16838" w:orient="portrait"/>
          <w:cols w:equalWidth="0" w:num="2">
            <w:col w:w="6020" w:space="720"/>
            <w:col w:w="4500"/>
          </w:cols>
          <w:pgMar w:left="320" w:top="119" w:right="339" w:bottom="1440" w:gutter="0" w:footer="0" w:header="0"/>
          <w:type w:val="continuous"/>
        </w:sectPr>
      </w:pPr>
    </w:p>
    <w:p>
      <w:pPr>
        <w:spacing w:after="0" w:line="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Date of Grant:</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Certificates to be issued in name of:</w:t>
      </w:r>
    </w:p>
    <w:p>
      <w:pPr>
        <w:sectPr>
          <w:pgSz w:w="11900" w:h="16838" w:orient="portrait"/>
          <w:cols w:equalWidth="0" w:num="1">
            <w:col w:w="11240"/>
          </w:cols>
          <w:pgMar w:left="320" w:top="119" w:right="339" w:bottom="1440" w:gutter="0" w:footer="0" w:header="0"/>
          <w:type w:val="continuous"/>
        </w:sectPr>
      </w:pP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Total exercise price: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6020" w:space="720"/>
            <w:col w:w="4500"/>
          </w:cols>
          <w:pgMar w:left="320" w:top="119" w:right="339" w:bottom="1440" w:gutter="0" w:footer="0" w:header="0"/>
          <w:type w:val="continuous"/>
        </w:sectPr>
      </w:pPr>
    </w:p>
    <w:p>
      <w:pPr>
        <w:spacing w:after="0" w:line="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6020" w:space="720"/>
            <w:col w:w="4500"/>
          </w:cols>
          <w:pgMar w:left="320" w:top="119" w:right="339" w:bottom="1440" w:gutter="0" w:footer="0" w:header="0"/>
          <w:type w:val="continuous"/>
        </w:sectPr>
      </w:pPr>
    </w:p>
    <w:p>
      <w:pPr>
        <w:spacing w:after="0" w:line="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Value of _______________ Shares delivered herewith: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6020" w:space="720"/>
            <w:col w:w="4500"/>
          </w:cols>
          <w:pgMar w:left="320" w:top="119" w:right="339" w:bottom="1440" w:gutter="0" w:footer="0" w:header="0"/>
          <w:type w:val="continuous"/>
        </w:sectPr>
      </w:pPr>
    </w:p>
    <w:p>
      <w:pPr>
        <w:spacing w:after="0" w:line="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Regulation T Program (cashless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6020" w:space="720"/>
            <w:col w:w="4500"/>
          </w:cols>
          <w:pgMar w:left="320" w:top="119" w:right="339" w:bottom="1440" w:gutter="0" w:footer="0" w:header="0"/>
          <w:type w:val="continuous"/>
        </w:sectPr>
      </w:pPr>
    </w:p>
    <w:p>
      <w:pPr>
        <w:spacing w:after="0" w:line="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Value of _______________ Shares pursuant to net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00" w:lineRule="exact"/>
        <w:rPr>
          <w:sz w:val="20"/>
          <w:szCs w:val="20"/>
          <w:color w:val="auto"/>
        </w:rPr>
      </w:pPr>
    </w:p>
    <w:p>
      <w:pPr>
        <w:sectPr>
          <w:pgSz w:w="11900" w:h="16838" w:orient="portrait"/>
          <w:cols w:equalWidth="0" w:num="2">
            <w:col w:w="6020" w:space="720"/>
            <w:col w:w="4500"/>
          </w:cols>
          <w:pgMar w:left="320" w:top="119"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and (ii) to satisfy the tax withholding obligations, if any, relating to the exercise of this Option as set forth in the Stock Option Agreement.</w:t>
      </w:r>
    </w:p>
    <w:p>
      <w:pPr>
        <w:spacing w:after="0" w:line="1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257175</wp:posOffset>
            </wp:positionV>
            <wp:extent cx="354901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6">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Unit Grant Package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RESTRICTED STOCK UNIT GRANT PACKAGE]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1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 below in consideration of your services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Your RSU Award is subject to all of the terms and conditions as set forth herein and in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8890</wp:posOffset>
            </wp:positionV>
            <wp:extent cx="330898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4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-1905</wp:posOffset>
            </wp:positionV>
            <wp:extent cx="330898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4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-1905</wp:posOffset>
            </wp:positionV>
            <wp:extent cx="330898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-1905</wp:posOffset>
            </wp:positionV>
            <wp:extent cx="330898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Vesting Schedule: </w:t>
      </w:r>
      <w:r>
        <w:rPr>
          <w:rFonts w:ascii="Times New Roman" w:cs="Times New Roman" w:eastAsia="Times New Roman" w:hAnsi="Times New Roman"/>
          <w:sz w:val="18"/>
          <w:szCs w:val="18"/>
          <w:color w:val="auto"/>
        </w:rPr>
        <w:t>[__________________________________________________________________]. Notwithstanding the foregoing, vesting shall</w:t>
      </w:r>
    </w:p>
    <w:p>
      <w:pPr>
        <w:spacing w:after="0" w:line="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terminate upon the Participant’s termination of Continuous Service.</w:t>
      </w:r>
    </w:p>
    <w:p>
      <w:pPr>
        <w:spacing w:after="0" w:line="200" w:lineRule="exact"/>
        <w:rPr>
          <w:sz w:val="20"/>
          <w:szCs w:val="20"/>
          <w:color w:val="auto"/>
        </w:rPr>
      </w:pPr>
    </w:p>
    <w:p>
      <w:pPr>
        <w:spacing w:after="0" w:line="285" w:lineRule="exact"/>
        <w:rPr>
          <w:sz w:val="20"/>
          <w:szCs w:val="20"/>
          <w:color w:val="auto"/>
        </w:rPr>
      </w:pPr>
    </w:p>
    <w:p>
      <w:pPr>
        <w:ind w:left="1800" w:right="520" w:hanging="1871"/>
        <w:spacing w:after="0" w:line="266" w:lineRule="auto"/>
        <w:tabs>
          <w:tab w:leader="none" w:pos="178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for each restricted stock unit which vests at the time set forth in Section 5 of the Agreement.</w:t>
      </w:r>
    </w:p>
    <w:p>
      <w:pPr>
        <w:spacing w:after="0" w:line="365"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46" w:lineRule="exact"/>
        <w:rPr>
          <w:sz w:val="20"/>
          <w:szCs w:val="20"/>
          <w:color w:val="auto"/>
        </w:rPr>
      </w:pPr>
    </w:p>
    <w:p>
      <w:pPr>
        <w:jc w:val="both"/>
        <w:ind w:left="760" w:hanging="378"/>
        <w:spacing w:after="0" w:line="244"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ind w:left="760" w:hanging="378"/>
        <w:spacing w:after="0" w:line="234"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38" w:lineRule="auto"/>
        <w:tabs>
          <w:tab w:leader="none" w:pos="7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Unit Grant Package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0"/>
                <w:szCs w:val="20"/>
                <w:color w:val="auto"/>
              </w:rPr>
            </w:pPr>
          </w:p>
        </w:tc>
        <w:tc>
          <w:tcPr>
            <w:tcW w:w="534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ARTICIPANT</w:t>
            </w: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20"/>
                <w:szCs w:val="20"/>
                <w:color w:val="auto"/>
              </w:rPr>
            </w:pPr>
          </w:p>
        </w:tc>
      </w:tr>
      <w:tr>
        <w:trPr>
          <w:trHeight w:val="340"/>
        </w:trPr>
        <w:tc>
          <w:tcPr>
            <w:tcW w:w="4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8"/>
        </w:trPr>
        <w:tc>
          <w:tcPr>
            <w:tcW w:w="1240" w:type="dxa"/>
            <w:vAlign w:val="bottom"/>
          </w:tcPr>
          <w:p>
            <w:pPr>
              <w:spacing w:after="0"/>
              <w:rPr>
                <w:sz w:val="19"/>
                <w:szCs w:val="19"/>
                <w:color w:val="auto"/>
              </w:rPr>
            </w:pPr>
          </w:p>
        </w:tc>
        <w:tc>
          <w:tcPr>
            <w:tcW w:w="30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Signature</w:t>
            </w:r>
          </w:p>
        </w:tc>
        <w:tc>
          <w:tcPr>
            <w:tcW w:w="4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Signature</w:t>
            </w:r>
          </w:p>
        </w:tc>
        <w:tc>
          <w:tcPr>
            <w:tcW w:w="1240" w:type="dxa"/>
            <w:vAlign w:val="bottom"/>
          </w:tcPr>
          <w:p>
            <w:pPr>
              <w:spacing w:after="0"/>
              <w:rPr>
                <w:sz w:val="19"/>
                <w:szCs w:val="19"/>
                <w:color w:val="auto"/>
              </w:rPr>
            </w:pPr>
          </w:p>
        </w:tc>
      </w:tr>
      <w:tr>
        <w:trPr>
          <w:trHeight w:val="387"/>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3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356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412"/>
        </w:trPr>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6"/>
        </w:trPr>
        <w:tc>
          <w:tcPr>
            <w:tcW w:w="1240" w:type="dxa"/>
            <w:vAlign w:val="bottom"/>
          </w:tcPr>
          <w:p>
            <w:pPr>
              <w:spacing w:after="0"/>
              <w:rPr>
                <w:sz w:val="24"/>
                <w:szCs w:val="24"/>
                <w:color w:val="auto"/>
              </w:rPr>
            </w:pPr>
          </w:p>
        </w:tc>
        <w:tc>
          <w:tcPr>
            <w:tcW w:w="30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TTACHMENTS</w:t>
            </w:r>
            <w:r>
              <w:rPr>
                <w:rFonts w:ascii="Times New Roman" w:cs="Times New Roman" w:eastAsia="Times New Roman" w:hAnsi="Times New Roman"/>
                <w:sz w:val="18"/>
                <w:szCs w:val="18"/>
                <w:b w:val="1"/>
                <w:bCs w:val="1"/>
                <w:color w:val="auto"/>
              </w:rPr>
              <w:t>:</w:t>
            </w:r>
          </w:p>
        </w:tc>
        <w:tc>
          <w:tcPr>
            <w:tcW w:w="57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RSU Award Agreement, 2021 Equity Incentive Plan</w:t>
            </w:r>
          </w:p>
        </w:tc>
        <w:tc>
          <w:tcPr>
            <w:tcW w:w="1240" w:type="dxa"/>
            <w:vAlign w:val="bottom"/>
          </w:tcPr>
          <w:p>
            <w:pPr>
              <w:spacing w:after="0"/>
              <w:rPr>
                <w:sz w:val="24"/>
                <w:szCs w:val="24"/>
                <w:color w:val="auto"/>
              </w:rPr>
            </w:pPr>
          </w:p>
        </w:tc>
      </w:tr>
      <w:tr>
        <w:trPr>
          <w:trHeight w:val="830"/>
        </w:trPr>
        <w:tc>
          <w:tcPr>
            <w:tcW w:w="12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4" w:name="page405"/>
    <w:bookmarkEnd w:id="404"/>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RSU AWARD AGREEMENT</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As reflected by your Restricted Stock Unit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RSU Award under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 in the Grant Notice or Plan, as applicable.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208" w:lineRule="exact"/>
        <w:rPr>
          <w:sz w:val="20"/>
          <w:szCs w:val="20"/>
          <w:color w:val="auto"/>
        </w:rPr>
      </w:pPr>
    </w:p>
    <w:p>
      <w:pPr>
        <w:ind w:left="1500" w:hanging="743"/>
        <w:spacing w:after="0"/>
        <w:tabs>
          <w:tab w:leader="none" w:pos="150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119" w:right="339" w:bottom="1440" w:gutter="0" w:footer="0" w:header="0"/>
        </w:sectPr>
      </w:pPr>
    </w:p>
    <w:p>
      <w:pPr>
        <w:spacing w:after="0" w:line="18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on your RSU Award;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w:t>
      </w:r>
    </w:p>
    <w:p>
      <w:pPr>
        <w:spacing w:after="0" w:line="410" w:lineRule="exact"/>
        <w:rPr>
          <w:sz w:val="20"/>
          <w:szCs w:val="20"/>
          <w:color w:val="auto"/>
        </w:rPr>
      </w:pPr>
    </w:p>
    <w:p>
      <w:pPr>
        <w:sectPr>
          <w:pgSz w:w="11900" w:h="16838" w:orient="portrait"/>
          <w:cols w:equalWidth="0" w:num="2">
            <w:col w:w="2420" w:space="580"/>
            <w:col w:w="8240"/>
          </w:cols>
          <w:pgMar w:left="320" w:top="119" w:right="339" w:bottom="1440" w:gutter="0" w:footer="0" w:header="0"/>
          <w:type w:val="continuous"/>
        </w:sectPr>
      </w:pPr>
    </w:p>
    <w:p>
      <w:pPr>
        <w:spacing w:after="0" w:line="3" w:lineRule="exact"/>
        <w:rPr>
          <w:sz w:val="20"/>
          <w:szCs w:val="20"/>
          <w:color w:val="auto"/>
        </w:rPr>
      </w:pPr>
    </w:p>
    <w:p>
      <w:pPr>
        <w:ind w:firstLine="1505"/>
        <w:spacing w:after="0" w:line="266" w:lineRule="auto"/>
        <w:tabs>
          <w:tab w:leader="none" w:pos="2995"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 RSU Award; and</w:t>
      </w:r>
    </w:p>
    <w:p>
      <w:pPr>
        <w:spacing w:after="0" w:line="162"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8(c) of the Plan regarding the tax consequences of your RSU Award.</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3" w:lineRule="exact"/>
        <w:rPr>
          <w:sz w:val="20"/>
          <w:szCs w:val="20"/>
          <w:color w:val="auto"/>
        </w:rPr>
      </w:pPr>
    </w:p>
    <w:p>
      <w:pPr>
        <w:jc w:val="both"/>
        <w:ind w:firstLine="757"/>
        <w:spacing w:after="0" w:line="242" w:lineRule="auto"/>
        <w:tabs>
          <w:tab w:leader="none" w:pos="1498"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RANT OF THE</w:t>
      </w:r>
      <w:r>
        <w:rPr>
          <w:rFonts w:ascii="Times New Roman" w:cs="Times New Roman" w:eastAsia="Times New Roman" w:hAnsi="Times New Roman"/>
          <w:sz w:val="18"/>
          <w:szCs w:val="18"/>
          <w:b w:val="1"/>
          <w:bCs w:val="1"/>
          <w:color w:val="auto"/>
        </w:rPr>
        <w:t xml:space="preserve"> RSU A</w:t>
      </w:r>
      <w:r>
        <w:rPr>
          <w:rFonts w:ascii="Times New Roman" w:cs="Times New Roman" w:eastAsia="Times New Roman" w:hAnsi="Times New Roman"/>
          <w:sz w:val="12"/>
          <w:szCs w:val="12"/>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78" w:lineRule="exact"/>
        <w:rPr>
          <w:rFonts w:ascii="Times New Roman" w:cs="Times New Roman" w:eastAsia="Times New Roman" w:hAnsi="Times New Roman"/>
          <w:sz w:val="18"/>
          <w:szCs w:val="18"/>
          <w:b w:val="1"/>
          <w:bCs w:val="1"/>
          <w:color w:val="auto"/>
        </w:rPr>
      </w:pPr>
    </w:p>
    <w:p>
      <w:pPr>
        <w:jc w:val="both"/>
        <w:ind w:right="20" w:firstLine="757"/>
        <w:spacing w:after="0" w:line="252" w:lineRule="auto"/>
        <w:tabs>
          <w:tab w:leader="none" w:pos="1498"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your RSU Award with respect to any cash dividend, stock dividend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w:t>
      </w:r>
    </w:p>
    <w:p>
      <w:pPr>
        <w:spacing w:after="0" w:line="171" w:lineRule="exact"/>
        <w:rPr>
          <w:rFonts w:ascii="Times New Roman" w:cs="Times New Roman" w:eastAsia="Times New Roman" w:hAnsi="Times New Roman"/>
          <w:sz w:val="18"/>
          <w:szCs w:val="18"/>
          <w:b w:val="1"/>
          <w:bCs w:val="1"/>
          <w:color w:val="auto"/>
        </w:rPr>
      </w:pPr>
    </w:p>
    <w:p>
      <w:pPr>
        <w:jc w:val="both"/>
        <w:ind w:firstLine="757"/>
        <w:spacing w:after="0"/>
        <w:tabs>
          <w:tab w:leader="none" w:pos="1498"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you hereby authorize withholding from payroll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84"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SSUANCE</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5" w:name="page406"/>
    <w:bookmarkEnd w:id="405"/>
    <w:p>
      <w:pPr>
        <w:ind w:left="8940"/>
        <w:spacing w:after="0"/>
        <w:rPr>
          <w:sz w:val="20"/>
          <w:szCs w:val="20"/>
          <w:color w:val="auto"/>
        </w:rPr>
      </w:pPr>
      <w:r>
        <w:rPr>
          <w:rFonts w:ascii="Times New Roman" w:cs="Times New Roman" w:eastAsia="Times New Roman" w:hAnsi="Times New Roman"/>
          <w:sz w:val="17"/>
          <w:szCs w:val="17"/>
          <w:i w:val="1"/>
          <w:iCs w:val="1"/>
          <w:color w:val="auto"/>
        </w:rPr>
        <w:t>Restricted Stock Grant Package</w:t>
      </w:r>
    </w:p>
    <w:p>
      <w:pPr>
        <w:spacing w:after="0" w:line="221"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The issuance of shares in respect of the Restricted Stock Units is intended to comply with Treasury Regulations</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000" w:hanging="1495"/>
        <w:spacing w:after="0"/>
        <w:tabs>
          <w:tab w:leader="none" w:pos="300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Original Issuance Date falls on a date that is not a business day, delivery shall instead occur on the next</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business day. In addition, if:</w:t>
      </w:r>
    </w:p>
    <w:p>
      <w:pPr>
        <w:spacing w:after="0" w:line="178" w:lineRule="exact"/>
        <w:rPr>
          <w:sz w:val="20"/>
          <w:szCs w:val="20"/>
          <w:color w:val="auto"/>
        </w:rPr>
      </w:pPr>
    </w:p>
    <w:p>
      <w:pPr>
        <w:jc w:val="both"/>
        <w:ind w:firstLine="2246"/>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17"/>
          <w:szCs w:val="17"/>
          <w:color w:val="auto"/>
        </w:rPr>
        <w:t>the Original Issuance Date does not occur (1) during an “open window period” applicable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7"/>
          <w:szCs w:val="17"/>
          <w:b w:val="1"/>
          <w:bCs w:val="1"/>
          <w:i w:val="1"/>
          <w:iCs w:val="1"/>
          <w:color w:val="auto"/>
        </w:rPr>
        <w:t>10b5-1 Arrangement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w:t>
      </w:r>
    </w:p>
    <w:p>
      <w:pPr>
        <w:spacing w:after="0" w:line="381" w:lineRule="exact"/>
        <w:rPr>
          <w:sz w:val="20"/>
          <w:szCs w:val="20"/>
          <w:color w:val="auto"/>
        </w:rPr>
      </w:pPr>
    </w:p>
    <w:p>
      <w:pPr>
        <w:jc w:val="both"/>
        <w:ind w:firstLine="2246"/>
        <w:spacing w:after="0" w:line="260" w:lineRule="auto"/>
        <w:rPr>
          <w:sz w:val="20"/>
          <w:szCs w:val="20"/>
          <w:color w:val="auto"/>
        </w:rPr>
      </w:pPr>
      <w:r>
        <w:rPr>
          <w:rFonts w:ascii="Times New Roman" w:cs="Times New Roman" w:eastAsia="Times New Roman" w:hAnsi="Times New Roman"/>
          <w:sz w:val="22"/>
          <w:szCs w:val="22"/>
          <w:b w:val="1"/>
          <w:bCs w:val="1"/>
          <w:color w:val="auto"/>
        </w:rPr>
        <w:t xml:space="preserve">(ii) </w:t>
      </w:r>
      <w:r>
        <w:rPr>
          <w:rFonts w:ascii="Times New Roman" w:cs="Times New Roman" w:eastAsia="Times New Roman" w:hAnsi="Times New Roman"/>
          <w:sz w:val="17"/>
          <w:szCs w:val="17"/>
          <w:color w:val="auto"/>
        </w:rPr>
        <w:t>either (1) a Withholding Obligation does not apply, or (2) the Company decides, prior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7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80"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12" w:lineRule="exact"/>
        <w:rPr>
          <w:sz w:val="20"/>
          <w:szCs w:val="20"/>
          <w:color w:val="auto"/>
        </w:rPr>
      </w:pPr>
    </w:p>
    <w:p>
      <w:pPr>
        <w:ind w:firstLine="757"/>
        <w:spacing w:after="0" w:line="271" w:lineRule="auto"/>
        <w:tabs>
          <w:tab w:leader="none" w:pos="1498"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w:t>
      </w:r>
    </w:p>
    <w:p>
      <w:pPr>
        <w:spacing w:after="0" w:line="153"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1"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498"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7"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498"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ind w:firstLine="757"/>
        <w:spacing w:after="0" w:line="271" w:lineRule="auto"/>
        <w:tabs>
          <w:tab w:leader="none" w:pos="1498"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428(b)(1) promulgated under the Securities Act, which includes the Prospectus. In addition, you acknowledge receipt of the Company’s Trading Policy.</w:t>
      </w:r>
    </w:p>
    <w:p>
      <w:pPr>
        <w:spacing w:after="0" w:line="153" w:lineRule="exact"/>
        <w:rPr>
          <w:rFonts w:ascii="Times New Roman" w:cs="Times New Roman" w:eastAsia="Times New Roman" w:hAnsi="Times New Roman"/>
          <w:sz w:val="18"/>
          <w:szCs w:val="18"/>
          <w:b w:val="1"/>
          <w:bCs w:val="1"/>
          <w:color w:val="auto"/>
        </w:rPr>
      </w:pPr>
    </w:p>
    <w:p>
      <w:pPr>
        <w:ind w:firstLine="757"/>
        <w:spacing w:after="0" w:line="271" w:lineRule="auto"/>
        <w:tabs>
          <w:tab w:leader="none" w:pos="1498"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2"/>
          <w:szCs w:val="12"/>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summary of the 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RESTRICTED STOCK GRANT PACKAGE]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OTICE</w:t>
      </w:r>
    </w:p>
    <w:p>
      <w:pPr>
        <w:spacing w:after="0" w:line="200" w:lineRule="exact"/>
        <w:rPr>
          <w:sz w:val="20"/>
          <w:szCs w:val="20"/>
          <w:color w:val="auto"/>
        </w:rPr>
      </w:pPr>
    </w:p>
    <w:p>
      <w:pPr>
        <w:spacing w:after="0" w:line="22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awards to Participant the number of shares of the Company’s Common Stock set forth below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This Award is subject to all of the terms and conditions as set forth herein and in the Restricted Stock Agreement, the Plan, the form of Assignment Separate from Certificate and the form of Joint Escrow Instructions, all of which are attached hereto and incorporated herein in their entirety. Capitalized terms not explicitly defined herein but defined in the Plan or the Restricted Stock Agreement shall have the meanings set forth in the Plan or the Restricted Stock Agreement, as applicable.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8890</wp:posOffset>
            </wp:positionV>
            <wp:extent cx="330898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5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-1905</wp:posOffset>
            </wp:positionV>
            <wp:extent cx="330898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5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-1905</wp:posOffset>
            </wp:positionV>
            <wp:extent cx="330898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Number of Shares Subject to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-1905</wp:posOffset>
            </wp:positionV>
            <wp:extent cx="330898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83" w:lineRule="exact"/>
        <w:rPr>
          <w:sz w:val="20"/>
          <w:szCs w:val="20"/>
          <w:color w:val="auto"/>
        </w:rPr>
      </w:pPr>
    </w:p>
    <w:p>
      <w:pPr>
        <w:ind w:left="1960" w:right="80" w:hanging="1946"/>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[Twenty-five percent (25%) of the shares of Common Stock subject to this Award shall vest on the first anniversary of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Commencement Date, and one thirty-sixth (1/36th) of the shares of Common Stock subject to this Award shall vest each month thereafter on the same day of the month as the Vesting Commencement Date (and if there is no corresponding day, on the last day of the month); provided that no shares of Common Stock shall vest after the date Participant’s Continuous Service terminates for any reason (whether voluntarily or involuntarily, including by reason of death or disability, and whether for cause or without cause). In the event of a Change in Control, 100% of the shares of Common Stock subject to this Award shall vest concurrently with the effectiveness of such Change in Control.]</w:t>
      </w:r>
    </w:p>
    <w:p>
      <w:pPr>
        <w:spacing w:after="0" w:line="27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3" w:lineRule="exact"/>
        <w:rPr>
          <w:sz w:val="20"/>
          <w:szCs w:val="20"/>
          <w:color w:val="auto"/>
        </w:rPr>
      </w:pPr>
    </w:p>
    <w:p>
      <w:pPr>
        <w:jc w:val="both"/>
        <w:ind w:left="760" w:hanging="378"/>
        <w:spacing w:after="0" w:line="237"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Award is governed by the provisions of the Plan and this Restricted Stock Grant Notice and the Restricted Stock Agreement and other attachments to this Restricted Stock Grant Notice, all of which are made a part of this document (together, the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Unless otherwise provided in the Plan, this Award Agreement may not be modified, amended or revised except in a writing signed by you and a duly authorized officer of the Company.</w:t>
      </w:r>
    </w:p>
    <w:p>
      <w:pPr>
        <w:spacing w:after="0" w:line="9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You consent to receive this Award Agreement, the Prospectus and any other Plan-related documents by electronic delivery and to participate in the Plan through an on-line or electronic system established and maintained by the Company or another third party designated by the Company.</w:t>
      </w:r>
    </w:p>
    <w:p>
      <w:pPr>
        <w:spacing w:after="0" w:line="9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You have read and are familiar with the provisions of the Plan, the Award Agreement and the Prospectus. In the event of any conflict between the provisions in this Award Agreement or the Prospectus and the terms of the Plan, the terms of the Plan shall control.</w:t>
      </w:r>
    </w:p>
    <w:p>
      <w:pPr>
        <w:spacing w:after="0" w:line="91" w:lineRule="exact"/>
        <w:rPr>
          <w:rFonts w:ascii="Times New Roman" w:cs="Times New Roman" w:eastAsia="Times New Roman" w:hAnsi="Times New Roman"/>
          <w:sz w:val="20"/>
          <w:szCs w:val="20"/>
          <w:color w:val="auto"/>
        </w:rPr>
      </w:pPr>
    </w:p>
    <w:p>
      <w:pPr>
        <w:jc w:val="both"/>
        <w:ind w:left="760" w:hanging="378"/>
        <w:spacing w:after="0" w:line="237" w:lineRule="auto"/>
        <w:tabs>
          <w:tab w:leader="none" w:pos="76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Plan and this Award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271145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8" w:name="page409"/>
    <w:bookmarkEnd w:id="408"/>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27" w:lineRule="exact"/>
        <w:rPr>
          <w:sz w:val="20"/>
          <w:szCs w:val="20"/>
          <w:color w:val="auto"/>
        </w:rPr>
      </w:pPr>
    </w:p>
    <w:p>
      <w:pPr>
        <w:jc w:val="both"/>
        <w:ind w:left="760" w:hanging="378"/>
        <w:spacing w:after="0" w:line="238" w:lineRule="auto"/>
        <w:tabs>
          <w:tab w:leader="none" w:pos="76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tc>
        <w:tc>
          <w:tcPr>
            <w:tcW w:w="566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ARTICIPANT</w:t>
            </w:r>
            <w:r>
              <w:rPr>
                <w:rFonts w:ascii="Times New Roman" w:cs="Times New Roman" w:eastAsia="Times New Roman" w:hAnsi="Times New Roman"/>
                <w:sz w:val="18"/>
                <w:szCs w:val="18"/>
                <w:b w:val="1"/>
                <w:bCs w:val="1"/>
                <w:color w:val="auto"/>
              </w:rPr>
              <w:t>:</w:t>
            </w:r>
          </w:p>
        </w:tc>
      </w:tr>
      <w:tr>
        <w:trPr>
          <w:trHeight w:val="40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228"/>
        </w:trPr>
        <w:tc>
          <w:tcPr>
            <w:tcW w:w="1220" w:type="dxa"/>
            <w:vAlign w:val="bottom"/>
          </w:tcPr>
          <w:p>
            <w:pPr>
              <w:spacing w:after="0"/>
              <w:rPr>
                <w:sz w:val="19"/>
                <w:szCs w:val="19"/>
                <w:color w:val="auto"/>
              </w:rPr>
            </w:pPr>
          </w:p>
        </w:tc>
        <w:tc>
          <w:tcPr>
            <w:tcW w:w="414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Signature</w:t>
            </w:r>
          </w:p>
        </w:tc>
        <w:tc>
          <w:tcPr>
            <w:tcW w:w="6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96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Signature</w:t>
            </w:r>
          </w:p>
        </w:tc>
      </w:tr>
      <w:tr>
        <w:trPr>
          <w:trHeight w:val="38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Borders>
              <w:bottom w:val="single" w:sz="8" w:color="auto"/>
            </w:tcBorders>
          </w:tcPr>
          <w:p>
            <w:pPr>
              <w:spacing w:after="0"/>
              <w:rPr>
                <w:sz w:val="24"/>
                <w:szCs w:val="24"/>
                <w:color w:val="auto"/>
              </w:rPr>
            </w:pPr>
          </w:p>
        </w:tc>
        <w:tc>
          <w:tcPr>
            <w:tcW w:w="17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3960" w:type="dxa"/>
            <w:vAlign w:val="bottom"/>
            <w:tcBorders>
              <w:bottom w:val="single" w:sz="8" w:color="auto"/>
            </w:tcBorders>
          </w:tcPr>
          <w:p>
            <w:pPr>
              <w:spacing w:after="0"/>
              <w:rPr>
                <w:sz w:val="24"/>
                <w:szCs w:val="24"/>
                <w:color w:val="auto"/>
              </w:rPr>
            </w:pPr>
          </w:p>
        </w:tc>
      </w:tr>
      <w:tr>
        <w:trPr>
          <w:trHeight w:val="41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1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ind w:left="1440" w:right="440" w:hanging="1777"/>
        <w:spacing w:after="0" w:line="266" w:lineRule="auto"/>
        <w:tabs>
          <w:tab w:leader="none" w:pos="1420" w:val="left"/>
        </w:tabs>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Restricted Stock Agreement, 2021 Equity Incentive Plan, form of Assignment Separate from Certificate and form of Joint Escrow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9" w:name="page410"/>
    <w:bookmarkEnd w:id="409"/>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349885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ESTRICTED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00" w:lineRule="exact"/>
        <w:rPr>
          <w:sz w:val="20"/>
          <w:szCs w:val="20"/>
          <w:color w:val="auto"/>
        </w:rPr>
      </w:pPr>
    </w:p>
    <w:p>
      <w:pPr>
        <w:spacing w:after="0" w:line="228"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Pursuant to the Restricted Stock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Restricted Stock Agreement (collectively,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and in consideration of your past services, Rani Therapeutics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Restricted Stock Award under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shares of Common Stock subject to the Award as indicated in the Grant Notice. Capitalized terms not explicitly defined in this Restricted Stock Agreement but defined in the Grant Notice or the Plan shall have the meanings set forth in the Grant Notice or Plan, as applicable. The terms of your Restricted Stock Award as specified in the Grant Notice and this Restricted Stock Agreement, including attachments thereto, constitute your Award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general terms and conditions applicable to your Award are as follows:</w:t>
      </w:r>
    </w:p>
    <w:p>
      <w:pPr>
        <w:spacing w:after="0" w:line="208" w:lineRule="exact"/>
        <w:rPr>
          <w:sz w:val="20"/>
          <w:szCs w:val="20"/>
          <w:color w:val="auto"/>
        </w:rPr>
      </w:pPr>
    </w:p>
    <w:p>
      <w:pPr>
        <w:ind w:left="1500" w:hanging="743"/>
        <w:spacing w:after="0"/>
        <w:tabs>
          <w:tab w:leader="none" w:pos="150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Award is subject to all the provisions of the Plan, including but not limited to the provisions in:</w:t>
      </w:r>
    </w:p>
    <w:p>
      <w:pPr>
        <w:spacing w:after="0" w:line="215"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your Award;</w:t>
      </w:r>
    </w:p>
    <w:p>
      <w:pPr>
        <w:spacing w:after="0" w:line="19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of the Award; and</w:t>
      </w:r>
    </w:p>
    <w:p>
      <w:pPr>
        <w:spacing w:after="0" w:line="191"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Award.</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Your Award is further subject to all interpretations, amendments, rules and regulations, which may from time to time be promulgated and adopted pursuant to the Plan. In the event of any conflict between the Award Agreement and the provisions of the Plan, the provisions of the Plan shall control.</w:t>
      </w:r>
    </w:p>
    <w:p>
      <w:pPr>
        <w:spacing w:after="0" w:line="158" w:lineRule="exact"/>
        <w:rPr>
          <w:sz w:val="20"/>
          <w:szCs w:val="20"/>
          <w:color w:val="auto"/>
        </w:rPr>
      </w:pPr>
    </w:p>
    <w:p>
      <w:pPr>
        <w:ind w:firstLine="757"/>
        <w:spacing w:after="0" w:line="271" w:lineRule="auto"/>
        <w:tabs>
          <w:tab w:leader="none" w:pos="1498"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your Award will vest as provided in the Grant Notice, provided that vesting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 upon the termination of your Continuous Service.</w:t>
      </w:r>
    </w:p>
    <w:p>
      <w:pPr>
        <w:spacing w:after="0" w:line="153" w:lineRule="exact"/>
        <w:rPr>
          <w:rFonts w:ascii="Times New Roman" w:cs="Times New Roman" w:eastAsia="Times New Roman" w:hAnsi="Times New Roman"/>
          <w:sz w:val="18"/>
          <w:szCs w:val="18"/>
          <w:b w:val="1"/>
          <w:bCs w:val="1"/>
          <w:color w:val="auto"/>
        </w:rPr>
      </w:pPr>
    </w:p>
    <w:p>
      <w:pPr>
        <w:jc w:val="both"/>
        <w:ind w:firstLine="757"/>
        <w:spacing w:after="0" w:line="239" w:lineRule="auto"/>
        <w:tabs>
          <w:tab w:leader="none" w:pos="1498"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become entitled to receive payments equal to any cash dividends and other distributions paid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number of shares of Common Stock covered by your Award. Any such dividends or distributions shall be subject to the same forfeiture restrictions (including the Reacquisition Right defined in Section 5 below) and restrictions on transferability as apply to the shares covered by your Award with respect to which the dividends or other distributions relate and accordingly, shall be paid at the same time that the corresponding shares are released from the Reacquisition Right or other restriction in respect of your vested Award. To the extent any such dividends or distributions are paid in shares of Common Stock, then you will automatically be granted a corresponding number of additional shares of Common Stock subject to the Award (the “</w:t>
      </w:r>
      <w:r>
        <w:rPr>
          <w:rFonts w:ascii="Times New Roman" w:cs="Times New Roman" w:eastAsia="Times New Roman" w:hAnsi="Times New Roman"/>
          <w:sz w:val="18"/>
          <w:szCs w:val="18"/>
          <w:b w:val="1"/>
          <w:bCs w:val="1"/>
          <w:i w:val="1"/>
          <w:iCs w:val="1"/>
          <w:color w:val="auto"/>
        </w:rPr>
        <w:t>Dividend Shares</w:t>
      </w:r>
      <w:r>
        <w:rPr>
          <w:rFonts w:ascii="Times New Roman" w:cs="Times New Roman" w:eastAsia="Times New Roman" w:hAnsi="Times New Roman"/>
          <w:sz w:val="18"/>
          <w:szCs w:val="18"/>
          <w:color w:val="auto"/>
        </w:rPr>
        <w:t>”), and further provided that such Dividend Shares shall be subject to the same forfeiture restrictions and restrictions on transferability, and same timing requirements for release of such restrictions/vesting, as apply to the shares subject to the Award with respect to which the Dividend Shares relate.</w:t>
      </w:r>
    </w:p>
    <w:p>
      <w:pPr>
        <w:spacing w:after="0" w:line="183"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498"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be issued any shares under your Award unless the shares are either (i) then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Your Award must also comply with other applicable laws and regulations governing the Award, and you will not receive such shares if the Company determines that such receipt would not be in material compliance with such laws and regulations.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ind w:left="1500" w:hanging="743"/>
        <w:spacing w:after="0"/>
        <w:tabs>
          <w:tab w:leader="none" w:pos="150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IGHT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EACQUISITION</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firstLine="1505"/>
        <w:spacing w:after="0" w:line="266" w:lineRule="auto"/>
        <w:tabs>
          <w:tab w:leader="none" w:pos="2995"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provided in the Company’s bylaws, as amended from time to time, the Company shall have the right to reacquire all or any part of the shares received pursuant to your Award (a “</w:t>
      </w:r>
      <w:r>
        <w:rPr>
          <w:rFonts w:ascii="Times New Roman" w:cs="Times New Roman" w:eastAsia="Times New Roman" w:hAnsi="Times New Roman"/>
          <w:sz w:val="18"/>
          <w:szCs w:val="18"/>
          <w:b w:val="1"/>
          <w:bCs w:val="1"/>
          <w:i w:val="1"/>
          <w:iCs w:val="1"/>
          <w:color w:val="auto"/>
        </w:rPr>
        <w:t>Reacquisition Right</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b w:val="1"/>
          <w:bCs w:val="1"/>
          <w:color w:val="auto"/>
        </w:rPr>
      </w:pPr>
    </w:p>
    <w:p>
      <w:pPr>
        <w:jc w:val="both"/>
        <w:ind w:firstLine="1505"/>
        <w:spacing w:after="0" w:line="250" w:lineRule="auto"/>
        <w:tabs>
          <w:tab w:leader="none" w:pos="2995" w:val="left"/>
        </w:tabs>
        <w:numPr>
          <w:ilvl w:val="1"/>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a Reacquisition Right is not provided in the Company’s bylaws, as amended from time to time, the Company shall have a Reacquisition Right as to the shares you received pursuant to your Award that have not as yet vested in accordance with the Vesting Schedule on the Grant Notice (“</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on the following terms and conditions:</w:t>
      </w:r>
    </w:p>
    <w:p>
      <w:pPr>
        <w:spacing w:after="0" w:line="173"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The Company, shall simultaneously with termination of your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reacquire for no consideration all of the Unvested Shares, unless the Company agrees to waive its Reacquisition Right as to some or all of the Unvested Shares. Any such waiver shall be exercised by the Company by written notice to you or your representative (with a copy to the Escrow Holder as defined below) within ninety (90) days after the termination of your Continuous Service, and the Escrow Holder may then release to you the number of Unvested Shares not being reacquired by the Company. If the Company does not waive its Reacquisition Right as to all of the Unvested Shares, then upon such termination of your Continuous Service, the Escrow Holder shall transfer to the Company the number of shares the Company is reacquiring.</w:t>
      </w:r>
    </w:p>
    <w:p>
      <w:pPr>
        <w:spacing w:after="0" w:line="179" w:lineRule="exact"/>
        <w:rPr>
          <w:sz w:val="20"/>
          <w:szCs w:val="20"/>
          <w:color w:val="auto"/>
        </w:rPr>
      </w:pPr>
    </w:p>
    <w:p>
      <w:pPr>
        <w:jc w:val="both"/>
        <w:ind w:firstLine="2246"/>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The Company shall have the right to reacquire the Unvested Shares upon termination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for no monetary consideration (that is, for $0.00).</w:t>
      </w:r>
    </w:p>
    <w:p>
      <w:pPr>
        <w:spacing w:after="0" w:line="154" w:lineRule="exact"/>
        <w:rPr>
          <w:sz w:val="20"/>
          <w:szCs w:val="20"/>
          <w:color w:val="auto"/>
        </w:rPr>
      </w:pPr>
    </w:p>
    <w:p>
      <w:pPr>
        <w:ind w:left="2260"/>
        <w:spacing w:after="0"/>
        <w:tabs>
          <w:tab w:leader="none" w:pos="4480" w:val="left"/>
        </w:tabs>
        <w:rPr>
          <w:sz w:val="20"/>
          <w:szCs w:val="20"/>
          <w:color w:val="auto"/>
        </w:rPr>
      </w:pPr>
      <w:r>
        <w:rPr>
          <w:rFonts w:ascii="Times New Roman" w:cs="Times New Roman" w:eastAsia="Times New Roman" w:hAnsi="Times New Roman"/>
          <w:sz w:val="17"/>
          <w:szCs w:val="17"/>
          <w:b w:val="1"/>
          <w:bCs w:val="1"/>
          <w:color w:val="auto"/>
        </w:rPr>
        <w:t>(iii)</w:t>
      </w:r>
      <w:r>
        <w:rPr>
          <w:sz w:val="20"/>
          <w:szCs w:val="20"/>
          <w:color w:val="auto"/>
        </w:rPr>
        <w:tab/>
      </w:r>
      <w:r>
        <w:rPr>
          <w:rFonts w:ascii="Times New Roman" w:cs="Times New Roman" w:eastAsia="Times New Roman" w:hAnsi="Times New Roman"/>
          <w:sz w:val="17"/>
          <w:szCs w:val="17"/>
          <w:color w:val="auto"/>
        </w:rPr>
        <w:t>The shares issued under your Award shall be held in escrow pursuant to the terms of the Joint</w:t>
      </w:r>
    </w:p>
    <w:p>
      <w:pPr>
        <w:spacing w:after="0" w:line="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Escrow Instructions attached to the Grant Notice as Attachment IV. You agree to execute two (2) Assignment Separate From Certificate forms (with date and number of shares blank) substantially in the form attached to the Grant Notice as Attachment III and deliver the same, along with the certificate or certificates evidencing the shares, for use by the escrow agent pursuant to the terms of the Joint Escrow Instructions.</w:t>
      </w:r>
    </w:p>
    <w:p>
      <w:pPr>
        <w:spacing w:after="0" w:line="181" w:lineRule="exact"/>
        <w:rPr>
          <w:sz w:val="20"/>
          <w:szCs w:val="20"/>
          <w:color w:val="auto"/>
        </w:rPr>
      </w:pPr>
    </w:p>
    <w:p>
      <w:pPr>
        <w:jc w:val="both"/>
        <w:ind w:firstLine="2246"/>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(iv) </w:t>
      </w:r>
      <w:r>
        <w:rPr>
          <w:rFonts w:ascii="Times New Roman" w:cs="Times New Roman" w:eastAsia="Times New Roman" w:hAnsi="Times New Roman"/>
          <w:sz w:val="18"/>
          <w:szCs w:val="18"/>
          <w:color w:val="auto"/>
        </w:rPr>
        <w:t>Subject to the provisions of your Award, you shall, during the term of your Award,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rights and privileges of a stockholder of the Company with respect to the shares deposited in escrow. You shall be deemed to be the holder of the shares for purposes of receiving any dividends which may be paid with respect to such shares and for purposes of exercising any voting rights relating to such shares;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dividends payable with respect to shares that have not yet vested and been released from the Company’s Reacquisition Right shall immediately be subject to the Reacquisition Right with the same force and effect as the shares subject to this Reacquisition Right immediately before such event.</w:t>
      </w:r>
    </w:p>
    <w:p>
      <w:pPr>
        <w:spacing w:after="0" w:line="387"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(v) </w:t>
      </w:r>
      <w:r>
        <w:rPr>
          <w:rFonts w:ascii="Times New Roman" w:cs="Times New Roman" w:eastAsia="Times New Roman" w:hAnsi="Times New Roman"/>
          <w:sz w:val="18"/>
          <w:szCs w:val="18"/>
          <w:color w:val="auto"/>
        </w:rPr>
        <w:t>If, from time to time, there is any stock dividend, stock split or other change in the character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amount of any of the outstanding stock of the corporation, the stock of which is subject to the provisions of your Award, then in such event any and all new, substituted or additional securities to which you are entitled by reason of your ownership of the shares acquired under your Award shall, to the extent they relate to Unvested Shares, be immediately subject to the Reacquisition Right with the same force and effect as the Unvested Shares subject to this Reacquisition Right immediately before such event.</w:t>
      </w:r>
    </w:p>
    <w:p>
      <w:pPr>
        <w:spacing w:after="0" w:line="181" w:lineRule="exact"/>
        <w:rPr>
          <w:sz w:val="20"/>
          <w:szCs w:val="20"/>
          <w:color w:val="auto"/>
        </w:rPr>
      </w:pPr>
    </w:p>
    <w:p>
      <w:pPr>
        <w:jc w:val="both"/>
        <w:ind w:firstLine="224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color w:val="auto"/>
        </w:rPr>
        <w:t>In addition to any other limitation on transfer created by applicable securities laws, you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sell, assign, hypothecate, donate, encumber, or otherwise dispose of any interest in the Common Stock while such shares of Common Stock are subject to the Reacquisition Right or continue to be held in the Joint Escrow.</w:t>
      </w:r>
    </w:p>
    <w:p>
      <w:pPr>
        <w:spacing w:after="0" w:line="171" w:lineRule="exact"/>
        <w:rPr>
          <w:sz w:val="20"/>
          <w:szCs w:val="20"/>
          <w:color w:val="auto"/>
        </w:rPr>
      </w:pPr>
    </w:p>
    <w:p>
      <w:pPr>
        <w:ind w:left="1500" w:hanging="743"/>
        <w:spacing w:after="0"/>
        <w:tabs>
          <w:tab w:leader="none" w:pos="150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ESTRICTIVE</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issued under your Award shall be endorsed with appropriate legends determined by the Company.</w:t>
      </w:r>
    </w:p>
    <w:p>
      <w:pPr>
        <w:spacing w:after="0" w:line="211"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498"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Award is not an employment or service contract, and nothing in your Award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in any way whatsoever any obligation on your part to continue in the employ of the Company or an Affiliate, or on the part of the Company or an Affiliate to continue your employment. In addition, nothing in your Award shall obligate the Company or an Affiliate, their respective stockholders, boards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2" w:name="page413"/>
    <w:bookmarkEnd w:id="412"/>
    <w:p>
      <w:pPr>
        <w:ind w:left="8940"/>
        <w:spacing w:after="0"/>
        <w:rPr>
          <w:sz w:val="20"/>
          <w:szCs w:val="20"/>
          <w:color w:val="auto"/>
        </w:rPr>
      </w:pPr>
      <w:r>
        <w:rPr>
          <w:rFonts w:ascii="Times New Roman" w:cs="Times New Roman" w:eastAsia="Times New Roman" w:hAnsi="Times New Roman"/>
          <w:sz w:val="17"/>
          <w:szCs w:val="17"/>
          <w:i w:val="1"/>
          <w:iCs w:val="1"/>
          <w:color w:val="auto"/>
        </w:rPr>
        <w:t>Restricted Stock Grant Package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Officers or Employees to continue any relationship that you might have as a Director or Consultant for the Company or an Affiliate.</w:t>
      </w:r>
    </w:p>
    <w:p>
      <w:pPr>
        <w:spacing w:after="0" w:line="208" w:lineRule="exact"/>
        <w:rPr>
          <w:sz w:val="20"/>
          <w:szCs w:val="20"/>
          <w:color w:val="auto"/>
        </w:rPr>
      </w:pPr>
    </w:p>
    <w:p>
      <w:pPr>
        <w:ind w:left="1500" w:hanging="743"/>
        <w:spacing w:after="0"/>
        <w:tabs>
          <w:tab w:leader="none" w:pos="150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BLIGATIONS</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505"/>
        <w:spacing w:after="0" w:line="245" w:lineRule="auto"/>
        <w:tabs>
          <w:tab w:leader="none" w:pos="2995"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your Award is made, or at any time thereafter as requested by the Company and as further provided in Section 8 of the Plan, you hereby authorize withholding from payroll and any other amounts payable to you, and otherwise agree to make adequate provision for any sums required to satisfy the federal, state, local and foreign tax withholding obligations of the Company or an Affiliate, if any, which arise in connection with your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in accordance with the withholding procedures established by the Company.</w:t>
      </w:r>
    </w:p>
    <w:p>
      <w:pPr>
        <w:spacing w:after="0" w:line="180" w:lineRule="exact"/>
        <w:rPr>
          <w:rFonts w:ascii="Times New Roman" w:cs="Times New Roman" w:eastAsia="Times New Roman" w:hAnsi="Times New Roman"/>
          <w:sz w:val="18"/>
          <w:szCs w:val="18"/>
          <w:b w:val="1"/>
          <w:bCs w:val="1"/>
          <w:color w:val="auto"/>
        </w:rPr>
      </w:pPr>
    </w:p>
    <w:p>
      <w:pPr>
        <w:jc w:val="both"/>
        <w:ind w:firstLine="1505"/>
        <w:spacing w:after="0" w:line="242" w:lineRule="auto"/>
        <w:tabs>
          <w:tab w:leader="none" w:pos="2995"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Withholding Obligation is satisfied, the Company shall have no obligation to issue a certificate for such shares or release such shares from any escrow provided for herein. In the event the Withholding Obligation of the Company arises prior to the issuance of a certificate or release of shares from any escrow provided for herein, or it is determined after the issuance of a certificate to you or after the release of shares from any escrow to you that the amount of the Withholding Obligation was greater than the amount withheld by the Company, you agree to indemnify and hold the Company harmless from any failure by the Company to withhold the proper amount.</w:t>
      </w:r>
    </w:p>
    <w:p>
      <w:pPr>
        <w:spacing w:after="0" w:line="180"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ONSEQUENCES</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firstLine="1505"/>
        <w:spacing w:after="0" w:line="238" w:lineRule="auto"/>
        <w:tabs>
          <w:tab w:leader="none" w:pos="2995"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agree to review with your own tax advisors the federal, state, local and foreign tax consequences of this investment and the transactions contemplated by this Award. You will rely solely on such advisors and not on any statements or representations of the Company or any of its agents. You understand that you (and not the Company) will be responsible for your own tax liability that may arise as a result of this investment or the transactions contemplated by this Award. You understand that under Code Section 83, the excess of the fair market value of the shares subject to the Award on the date any forfeiture restrictions applicable to such shares lapse over any amount paid for such shares will be reportable as ordinary income on the lapse date. For this purpose, the term </w:t>
      </w:r>
      <w:r>
        <w:rPr>
          <w:rFonts w:ascii="Times New Roman" w:cs="Times New Roman" w:eastAsia="Times New Roman" w:hAnsi="Times New Roman"/>
          <w:sz w:val="18"/>
          <w:szCs w:val="18"/>
          <w:b w:val="1"/>
          <w:bCs w:val="1"/>
          <w:i w:val="1"/>
          <w:iCs w:val="1"/>
          <w:color w:val="auto"/>
        </w:rPr>
        <w:t>“forfeiture restrictions”</w:t>
      </w:r>
      <w:r>
        <w:rPr>
          <w:rFonts w:ascii="Times New Roman" w:cs="Times New Roman" w:eastAsia="Times New Roman" w:hAnsi="Times New Roman"/>
          <w:sz w:val="18"/>
          <w:szCs w:val="18"/>
          <w:color w:val="auto"/>
        </w:rPr>
        <w:t xml:space="preserve"> includes the right of the Company to reacquire the Unvested Shares pursuant to the Reacquisition Right. You may elect under Code Section 83(b) to be taxed at the time the shares subject to the Award are issued, rather than when and as such shares cease to be subject to such forfeiture restrictions. THE FORM FOR MAKING THIS ELECTION MAY BE OBTAINED FROM THE COMPANY UPON YOUR REQUEST. YOU UNDERSTAND THAT FAILURE TO MAKE THIS FILING WITHIN THE APPLICABLE THIRTY (30)-DAY PERIOD WILL RESULT IN THE RECOGNITION OF ORDINARY INCOME AS THE FORFEITURE RESTRICTIONS LAPSE.</w:t>
      </w:r>
    </w:p>
    <w:p>
      <w:pPr>
        <w:spacing w:after="0" w:line="184" w:lineRule="exact"/>
        <w:rPr>
          <w:rFonts w:ascii="Times New Roman" w:cs="Times New Roman" w:eastAsia="Times New Roman" w:hAnsi="Times New Roman"/>
          <w:sz w:val="18"/>
          <w:szCs w:val="18"/>
          <w:b w:val="1"/>
          <w:bCs w:val="1"/>
          <w:color w:val="auto"/>
        </w:rPr>
      </w:pPr>
    </w:p>
    <w:p>
      <w:pPr>
        <w:jc w:val="both"/>
        <w:ind w:firstLine="1505"/>
        <w:spacing w:after="0" w:line="252" w:lineRule="auto"/>
        <w:tabs>
          <w:tab w:leader="none" w:pos="2995"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FILING RESPONSIBILITY. </w:t>
      </w:r>
      <w:r>
        <w:rPr>
          <w:rFonts w:ascii="Times New Roman" w:cs="Times New Roman" w:eastAsia="Times New Roman" w:hAnsi="Times New Roman"/>
          <w:sz w:val="18"/>
          <w:szCs w:val="18"/>
          <w:color w:val="auto"/>
        </w:rPr>
        <w:t>YOU ACKNOWLEDGE THAT IT IS YOUR SOLE RESPONSIBILITY,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THE COMPANY’S, TO FILE A TIMELY ELECTION UNDER CODE SECTION 83(b), EVEN IF YOU REQUEST THE COMPANY OR ITS REPRESENTATIVES TO MAKE THIS FILING ON YOUR BEHALF.</w:t>
      </w:r>
    </w:p>
    <w:p>
      <w:pPr>
        <w:spacing w:after="0" w:line="175" w:lineRule="exact"/>
        <w:rPr>
          <w:rFonts w:ascii="Times New Roman" w:cs="Times New Roman" w:eastAsia="Times New Roman" w:hAnsi="Times New Roman"/>
          <w:sz w:val="18"/>
          <w:szCs w:val="18"/>
          <w:b w:val="1"/>
          <w:bCs w:val="1"/>
          <w:color w:val="auto"/>
        </w:rPr>
      </w:pPr>
    </w:p>
    <w:p>
      <w:pPr>
        <w:jc w:val="both"/>
        <w:ind w:firstLine="1505"/>
        <w:spacing w:after="0" w:line="245" w:lineRule="auto"/>
        <w:tabs>
          <w:tab w:leader="none" w:pos="2995" w:val="left"/>
        </w:tabs>
        <w:numPr>
          <w:ilvl w:val="1"/>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to accepting the Award, you hereby (a) agree to not make any claim against the Company, or any of its Officers, Directors, Employees or Affiliates related to tax liabilities arising from the Award or other Company compensation and (b) acknowledge that you were advised to consult with your own personal tax, financial and other legal advisors regarding the tax consequences of the Award and have either done so or knowingly and voluntarily declined to do so.</w:t>
      </w:r>
    </w:p>
    <w:p>
      <w:pPr>
        <w:spacing w:after="0" w:line="176"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provided for in your Award or the Plan shall be given in writing and shall be deemed effectively given upon the</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earlier of (i) the date of personal delivery, including delivery by express courier, or delivery via electronic means, or (ii) the date that is five (5) days after deposit in the United States Post Office (whether or not actually received by the addressee), by registered or certified mail with postage and fees prepaid, addressed to the Company at its primary executive offices, attention: Stock Plan Administrator, and addressed to you at your address as on file with the Company at the time notice is given.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ind w:firstLine="757"/>
        <w:spacing w:after="0" w:line="271" w:lineRule="auto"/>
        <w:tabs>
          <w:tab w:leader="none" w:pos="1498"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3" w:lineRule="exact"/>
        <w:rPr>
          <w:rFonts w:ascii="Times New Roman" w:cs="Times New Roman" w:eastAsia="Times New Roman" w:hAnsi="Times New Roman"/>
          <w:sz w:val="18"/>
          <w:szCs w:val="18"/>
          <w:b w:val="1"/>
          <w:bCs w:val="1"/>
          <w:color w:val="auto"/>
        </w:rPr>
      </w:pPr>
    </w:p>
    <w:p>
      <w:pPr>
        <w:jc w:val="both"/>
        <w:ind w:firstLine="757"/>
        <w:spacing w:after="0" w:line="246" w:lineRule="auto"/>
        <w:tabs>
          <w:tab w:leader="none" w:pos="1498"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Award Agreement or the Plan is declared by any court or governmental authority to be unlawful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 such unlawfulness or invalidity will not invalidate any portion of this Award Agreement or the Plan not declared to be unlawful or invalid. Any Section of this Award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7" w:lineRule="exact"/>
        <w:rPr>
          <w:rFonts w:ascii="Times New Roman" w:cs="Times New Roman" w:eastAsia="Times New Roman" w:hAnsi="Times New Roman"/>
          <w:sz w:val="18"/>
          <w:szCs w:val="18"/>
          <w:b w:val="1"/>
          <w:bCs w:val="1"/>
          <w:color w:val="auto"/>
        </w:rPr>
      </w:pPr>
    </w:p>
    <w:p>
      <w:pPr>
        <w:ind w:firstLine="757"/>
        <w:spacing w:after="0" w:line="271" w:lineRule="auto"/>
        <w:tabs>
          <w:tab w:leader="none" w:pos="1498"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428(b)(1) promulgated under the Securities Act, which includes the Prospectus. In addition, you acknowledge receipt of the Company’s Trading Policy.</w:t>
      </w:r>
    </w:p>
    <w:p>
      <w:pPr>
        <w:spacing w:after="0" w:line="153"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w:t>
      </w:r>
    </w:p>
    <w:p>
      <w:pPr>
        <w:spacing w:after="0" w:line="215" w:lineRule="exact"/>
        <w:rPr>
          <w:rFonts w:ascii="Times New Roman" w:cs="Times New Roman" w:eastAsia="Times New Roman" w:hAnsi="Times New Roman"/>
          <w:sz w:val="18"/>
          <w:szCs w:val="18"/>
          <w:b w:val="1"/>
          <w:bCs w:val="1"/>
          <w:color w:val="auto"/>
        </w:rPr>
      </w:pPr>
    </w:p>
    <w:p>
      <w:pPr>
        <w:ind w:firstLine="1505"/>
        <w:spacing w:after="0" w:line="266" w:lineRule="auto"/>
        <w:tabs>
          <w:tab w:leader="none" w:pos="2995"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agree upon request to execute any further documents or instruments necessary or desirable in the sole determination of the Company to carry out the purposes or intent of your Award.</w:t>
      </w:r>
    </w:p>
    <w:p>
      <w:pPr>
        <w:spacing w:after="0" w:line="162" w:lineRule="exact"/>
        <w:rPr>
          <w:rFonts w:ascii="Times New Roman" w:cs="Times New Roman" w:eastAsia="Times New Roman" w:hAnsi="Times New Roman"/>
          <w:sz w:val="18"/>
          <w:szCs w:val="18"/>
          <w:b w:val="1"/>
          <w:bCs w:val="1"/>
          <w:color w:val="auto"/>
        </w:rPr>
      </w:pPr>
    </w:p>
    <w:p>
      <w:pPr>
        <w:ind w:left="3000" w:hanging="1495"/>
        <w:spacing w:after="0"/>
        <w:tabs>
          <w:tab w:leader="none" w:pos="3000"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agree that you have reviewed your Award in its entirety, have had an opportunity to obtain</w:t>
      </w:r>
    </w:p>
    <w:p>
      <w:pPr>
        <w:spacing w:after="0" w:line="1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advice of counsel prior to executing and accepting your Award and fully understand all provisions of your Award.</w:t>
      </w:r>
    </w:p>
    <w:p>
      <w:pPr>
        <w:spacing w:after="0" w:line="191" w:lineRule="exact"/>
        <w:rPr>
          <w:rFonts w:ascii="Times New Roman" w:cs="Times New Roman" w:eastAsia="Times New Roman" w:hAnsi="Times New Roman"/>
          <w:sz w:val="18"/>
          <w:szCs w:val="18"/>
          <w:b w:val="1"/>
          <w:bCs w:val="1"/>
          <w:color w:val="auto"/>
        </w:rPr>
      </w:pPr>
    </w:p>
    <w:p>
      <w:pPr>
        <w:ind w:firstLine="1505"/>
        <w:spacing w:after="0" w:line="266" w:lineRule="auto"/>
        <w:tabs>
          <w:tab w:leader="none" w:pos="2995" w:val="left"/>
        </w:tabs>
        <w:numPr>
          <w:ilvl w:val="1"/>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have questions regarding these or any other terms and conditions applicable to your Award, including a summary of the applicable federal income tax consequences please see the Prospectus.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624205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1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SSIGNMENT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EPARATE FROM</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624205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16" w:name="page417"/>
    <w:bookmarkEnd w:id="416"/>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SSIGNMENT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EPARATE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ROM</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ERTIFICATE</w:t>
      </w:r>
    </w:p>
    <w:p>
      <w:pPr>
        <w:spacing w:after="0" w:line="200" w:lineRule="exact"/>
        <w:rPr>
          <w:sz w:val="20"/>
          <w:szCs w:val="20"/>
          <w:color w:val="auto"/>
        </w:rPr>
      </w:pP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ALUE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 that certain Restricted Stock Grant Notice and Restricted Stock Agreement (the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______ hereby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sells, assigns and transfers unto Rani Therapeutics Holdings, Inc, a Delaware corporation (“</w:t>
      </w:r>
      <w:r>
        <w:rPr>
          <w:rFonts w:ascii="Times New Roman" w:cs="Times New Roman" w:eastAsia="Times New Roman" w:hAnsi="Times New Roman"/>
          <w:sz w:val="18"/>
          <w:szCs w:val="18"/>
          <w:b w:val="1"/>
          <w:bCs w:val="1"/>
          <w:i w:val="1"/>
          <w:iCs w:val="1"/>
          <w:color w:val="auto"/>
        </w:rPr>
        <w:t>Assignee</w:t>
      </w:r>
      <w:r>
        <w:rPr>
          <w:rFonts w:ascii="Times New Roman" w:cs="Times New Roman" w:eastAsia="Times New Roman" w:hAnsi="Times New Roman"/>
          <w:sz w:val="18"/>
          <w:szCs w:val="18"/>
          <w:color w:val="auto"/>
        </w:rPr>
        <w:t>”) _________________ (___) shares of the common</w:t>
      </w:r>
    </w:p>
    <w:p>
      <w:pPr>
        <w:spacing w:after="0" w:line="234" w:lineRule="auto"/>
        <w:rPr>
          <w:sz w:val="20"/>
          <w:szCs w:val="20"/>
          <w:color w:val="auto"/>
        </w:rPr>
      </w:pPr>
      <w:r>
        <w:rPr>
          <w:rFonts w:ascii="Times New Roman" w:cs="Times New Roman" w:eastAsia="Times New Roman" w:hAnsi="Times New Roman"/>
          <w:sz w:val="18"/>
          <w:szCs w:val="18"/>
          <w:color w:val="auto"/>
        </w:rPr>
        <w:t>stock of the Assignee, standing in the undersigned’s name on the books of said corporation represented by Certificate No. _____ herewith and do hereby</w:t>
      </w:r>
    </w:p>
    <w:p>
      <w:pPr>
        <w:spacing w:after="0" w:line="235" w:lineRule="auto"/>
        <w:rPr>
          <w:sz w:val="20"/>
          <w:szCs w:val="20"/>
          <w:color w:val="auto"/>
        </w:rPr>
      </w:pPr>
      <w:r>
        <w:rPr>
          <w:rFonts w:ascii="Times New Roman" w:cs="Times New Roman" w:eastAsia="Times New Roman" w:hAnsi="Times New Roman"/>
          <w:sz w:val="18"/>
          <w:szCs w:val="18"/>
          <w:color w:val="auto"/>
        </w:rPr>
        <w:t>irrevocably constitute and appoint _____________________ as attorney-in-fact to transfer the said stock on the books of the within named Company with</w:t>
      </w:r>
    </w:p>
    <w:p>
      <w:pPr>
        <w:spacing w:after="0" w:line="1"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18"/>
          <w:szCs w:val="18"/>
          <w:color w:val="auto"/>
        </w:rPr>
        <w:t>full power of substitution in the premises. This Assignment may be used only in accordance with and subject to the terms and conditions of the Award, in connection with the reacquisition of shares of Common Stock of the Company issued to the undersigned pursuant to the Award, and only to the extent that such shares remain subject to the Company’s Reacquisition Right under the Award.</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8890</wp:posOffset>
            </wp:positionV>
            <wp:extent cx="282003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7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8890</wp:posOffset>
            </wp:positionV>
            <wp:extent cx="28117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9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(Print Name),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-127635</wp:posOffset>
            </wp:positionV>
            <wp:extent cx="353187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4"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do not fill in any blanks other than the signature line. The purpose of this Assignment is to enable the Company to exercise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Reacquisition Right set forth in the Award without requiring additional signatures on your part.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7" w:name="page418"/>
    <w:bookmarkEnd w:id="417"/>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TTACHMENT</w:t>
      </w:r>
      <w:r>
        <w:rPr>
          <w:rFonts w:ascii="Times New Roman" w:cs="Times New Roman" w:eastAsia="Times New Roman" w:hAnsi="Times New Roman"/>
          <w:sz w:val="18"/>
          <w:szCs w:val="18"/>
          <w:b w:val="1"/>
          <w:bCs w:val="1"/>
          <w:color w:val="auto"/>
        </w:rPr>
        <w:t xml:space="preserve"> IV</w:t>
      </w:r>
    </w:p>
    <w:p>
      <w:pPr>
        <w:spacing w:after="0" w:line="2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ORM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OINT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SCROW</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624205</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2"/>
          <w:szCs w:val="12"/>
          <w:b w:val="1"/>
          <w:bCs w:val="1"/>
          <w:color w:val="auto"/>
        </w:rPr>
        <w:t>OINT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SCROW</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NSTRUCTIONS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34" w:lineRule="auto"/>
        <w:rPr>
          <w:sz w:val="20"/>
          <w:szCs w:val="20"/>
          <w:color w:val="auto"/>
        </w:rPr>
      </w:pPr>
      <w:r>
        <w:rPr>
          <w:rFonts w:ascii="Times New Roman" w:cs="Times New Roman" w:eastAsia="Times New Roman" w:hAnsi="Times New Roman"/>
          <w:sz w:val="18"/>
          <w:szCs w:val="18"/>
          <w:color w:val="auto"/>
        </w:rPr>
        <w:t>2051 Ringwood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08"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18"/>
          <w:szCs w:val="18"/>
          <w:color w:val="auto"/>
        </w:rPr>
        <w:t>As Escrow Agent for both Rani Therapeutics Holdings,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undersigned recipient of stock of the Company (“</w:t>
      </w:r>
      <w:r>
        <w:rPr>
          <w:rFonts w:ascii="Times New Roman" w:cs="Times New Roman" w:eastAsia="Times New Roman" w:hAnsi="Times New Roman"/>
          <w:sz w:val="18"/>
          <w:szCs w:val="18"/>
          <w:b w:val="1"/>
          <w:bCs w:val="1"/>
          <w:i w:val="1"/>
          <w:iCs w:val="1"/>
          <w:color w:val="auto"/>
        </w:rPr>
        <w:t>Recipient</w:t>
      </w:r>
      <w:r>
        <w:rPr>
          <w:rFonts w:ascii="Times New Roman" w:cs="Times New Roman" w:eastAsia="Times New Roman" w:hAnsi="Times New Roman"/>
          <w:sz w:val="18"/>
          <w:szCs w:val="18"/>
          <w:color w:val="auto"/>
        </w:rPr>
        <w:t>”), you are hereby authorized and directed to hold the documents delivered to you pursuant to the terms of that certain Restricted Stock Grant Notice (including all attachments and exhibits thereto) dated _________ (the “</w:t>
      </w:r>
      <w:r>
        <w:rPr>
          <w:rFonts w:ascii="Times New Roman" w:cs="Times New Roman" w:eastAsia="Times New Roman" w:hAnsi="Times New Roman"/>
          <w:sz w:val="18"/>
          <w:szCs w:val="18"/>
          <w:b w:val="1"/>
          <w:bCs w:val="1"/>
          <w:i w:val="1"/>
          <w:iCs w:val="1"/>
          <w:color w:val="auto"/>
        </w:rPr>
        <w:t>Grant Documents</w:t>
      </w:r>
      <w:r>
        <w:rPr>
          <w:rFonts w:ascii="Times New Roman" w:cs="Times New Roman" w:eastAsia="Times New Roman" w:hAnsi="Times New Roman"/>
          <w:sz w:val="18"/>
          <w:szCs w:val="18"/>
          <w:color w:val="auto"/>
        </w:rPr>
        <w:t>”), to which a copy of these Joint Escrow</w:t>
      </w:r>
    </w:p>
    <w:p>
      <w:pPr>
        <w:ind w:right="200"/>
        <w:spacing w:after="0" w:line="243" w:lineRule="auto"/>
        <w:rPr>
          <w:sz w:val="20"/>
          <w:szCs w:val="20"/>
          <w:color w:val="auto"/>
        </w:rPr>
      </w:pPr>
      <w:r>
        <w:rPr>
          <w:rFonts w:ascii="Times New Roman" w:cs="Times New Roman" w:eastAsia="Times New Roman" w:hAnsi="Times New Roman"/>
          <w:sz w:val="18"/>
          <w:szCs w:val="18"/>
          <w:color w:val="auto"/>
        </w:rPr>
        <w:t>Instructions is attached as Attachment IV, in accordance with the following instructions. Capitalized terms not explicitly defined in these instructions but defined in the Company’s 2021 Equity Incentive Plan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the Grant Documents shall have the same definitions as provided therein.</w:t>
      </w:r>
    </w:p>
    <w:p>
      <w:pPr>
        <w:spacing w:after="0" w:line="182" w:lineRule="exact"/>
        <w:rPr>
          <w:sz w:val="20"/>
          <w:szCs w:val="20"/>
          <w:color w:val="auto"/>
        </w:rPr>
      </w:pPr>
    </w:p>
    <w:p>
      <w:pPr>
        <w:jc w:val="both"/>
        <w:ind w:firstLine="757"/>
        <w:spacing w:after="0" w:line="245" w:lineRule="auto"/>
        <w:tabs>
          <w:tab w:leader="none" w:pos="1498"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Recipient ceases to render services to the Company or an affiliate of the Company during the vesting period set forth in the Grant Documents, the Company or its assignee will give to Recipient and you a written notice specifying that the shares of stock shall be transferred to the Company. Recipient and the Company hereby irrevocably authorize and direct you to close the transaction contemplated by such notice in accordance with the terms of said notice.</w:t>
      </w:r>
    </w:p>
    <w:p>
      <w:pPr>
        <w:spacing w:after="0" w:line="181" w:lineRule="exact"/>
        <w:rPr>
          <w:sz w:val="20"/>
          <w:szCs w:val="20"/>
          <w:color w:val="auto"/>
        </w:rPr>
      </w:pPr>
    </w:p>
    <w:p>
      <w:pPr>
        <w:ind w:right="20" w:firstLine="757"/>
        <w:spacing w:after="0" w:line="266" w:lineRule="auto"/>
        <w:tabs>
          <w:tab w:leader="none" w:pos="1498"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closing you are directed (a) to date any stock assignments necessary for the transfer in question, (b) to fill in the number of shares being transferred, and (c) to deliver same, together with the certificate evidencing the shares of stock to be transferred, to the Company.</w:t>
      </w:r>
    </w:p>
    <w:p>
      <w:pPr>
        <w:spacing w:after="0" w:line="162" w:lineRule="exact"/>
        <w:rPr>
          <w:rFonts w:ascii="Times New Roman" w:cs="Times New Roman" w:eastAsia="Times New Roman" w:hAnsi="Times New Roman"/>
          <w:sz w:val="18"/>
          <w:szCs w:val="18"/>
          <w:b w:val="1"/>
          <w:bCs w:val="1"/>
          <w:color w:val="auto"/>
        </w:rPr>
      </w:pPr>
    </w:p>
    <w:p>
      <w:pPr>
        <w:jc w:val="both"/>
        <w:ind w:firstLine="757"/>
        <w:spacing w:after="0" w:line="209" w:lineRule="exact"/>
        <w:tabs>
          <w:tab w:leader="none" w:pos="1498"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Recipient irrevocably authorizes the Company to deposit with you any certificates evidencing shares of stock to be held by you hereunder and any additions and substitutions to said shares as specified in the Grant Documents. Recipient does hereby irrevocably constitute and appoint you as Recipient’s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agent for the term of this escrow to execute with respect to such securities and other property all documents of assignment and/or transfer and all stock certificates necessary or appropriate to make all securities negotiable and complete any transaction herein contemplated.</w:t>
      </w:r>
    </w:p>
    <w:p>
      <w:pPr>
        <w:spacing w:after="0" w:line="184"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escrow shall terminate upon vesting of the shares or upon the earlier return of the shares to the Company.</w:t>
      </w:r>
    </w:p>
    <w:p>
      <w:pPr>
        <w:spacing w:after="0" w:line="211" w:lineRule="exact"/>
        <w:rPr>
          <w:rFonts w:ascii="Times New Roman" w:cs="Times New Roman" w:eastAsia="Times New Roman" w:hAnsi="Times New Roman"/>
          <w:sz w:val="18"/>
          <w:szCs w:val="18"/>
          <w:b w:val="1"/>
          <w:bCs w:val="1"/>
          <w:color w:val="auto"/>
        </w:rPr>
      </w:pPr>
    </w:p>
    <w:p>
      <w:pPr>
        <w:jc w:val="both"/>
        <w:ind w:firstLine="757"/>
        <w:spacing w:after="0" w:line="250" w:lineRule="auto"/>
        <w:tabs>
          <w:tab w:leader="none" w:pos="1498"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the time of termination of this escrow you should have in your possession any documents, securities, or other property belonging to Recipient, you shall deliver all of same to any pledgee entitled thereto or, if none, to Recipient and shall be discharged of all further obligations hereunder.</w:t>
      </w:r>
    </w:p>
    <w:p>
      <w:pPr>
        <w:spacing w:after="0" w:line="176"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duties hereunder may be altered, amended, modified or revoked only by a writing signed by all of the parties hereto.</w:t>
      </w:r>
    </w:p>
    <w:p>
      <w:pPr>
        <w:spacing w:after="0" w:line="211" w:lineRule="exact"/>
        <w:rPr>
          <w:rFonts w:ascii="Times New Roman" w:cs="Times New Roman" w:eastAsia="Times New Roman" w:hAnsi="Times New Roman"/>
          <w:sz w:val="18"/>
          <w:szCs w:val="18"/>
          <w:b w:val="1"/>
          <w:bCs w:val="1"/>
          <w:color w:val="auto"/>
        </w:rPr>
      </w:pPr>
    </w:p>
    <w:p>
      <w:pPr>
        <w:jc w:val="both"/>
        <w:ind w:firstLine="757"/>
        <w:spacing w:after="0" w:line="211" w:lineRule="exact"/>
        <w:tabs>
          <w:tab w:leader="none" w:pos="1498"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or their assignees. You shall not be personally liable for any act you may do or omit to do hereunder as Escrow Agent or as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Recipient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9" w:name="page420"/>
    <w:bookmarkEnd w:id="419"/>
    <w:p>
      <w:pPr>
        <w:ind w:left="8940"/>
        <w:spacing w:after="0"/>
        <w:rPr>
          <w:sz w:val="20"/>
          <w:szCs w:val="20"/>
          <w:color w:val="auto"/>
        </w:rPr>
      </w:pPr>
      <w:r>
        <w:rPr>
          <w:rFonts w:ascii="Times New Roman" w:cs="Times New Roman" w:eastAsia="Times New Roman" w:hAnsi="Times New Roman"/>
          <w:sz w:val="17"/>
          <w:szCs w:val="17"/>
          <w:i w:val="1"/>
          <w:iCs w:val="1"/>
          <w:color w:val="auto"/>
        </w:rPr>
        <w:t>Restricted Stock Grant Package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acting in good faith and any act done or omitted by you pursuant to the advice of your own attorneys shall be conclusive evidence of such good faith.</w:t>
      </w:r>
    </w:p>
    <w:p>
      <w:pPr>
        <w:spacing w:after="0" w:line="212" w:lineRule="exact"/>
        <w:rPr>
          <w:sz w:val="20"/>
          <w:szCs w:val="20"/>
          <w:color w:val="auto"/>
        </w:rPr>
      </w:pPr>
    </w:p>
    <w:p>
      <w:pPr>
        <w:jc w:val="both"/>
        <w:ind w:firstLine="757"/>
        <w:spacing w:after="0" w:line="242" w:lineRule="auto"/>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of any court,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84" w:lineRule="exact"/>
        <w:rPr>
          <w:rFonts w:ascii="Times New Roman" w:cs="Times New Roman" w:eastAsia="Times New Roman" w:hAnsi="Times New Roman"/>
          <w:sz w:val="18"/>
          <w:szCs w:val="18"/>
          <w:b w:val="1"/>
          <w:bCs w:val="1"/>
          <w:color w:val="auto"/>
        </w:rPr>
      </w:pPr>
    </w:p>
    <w:p>
      <w:pPr>
        <w:ind w:right="20" w:firstLine="757"/>
        <w:spacing w:after="0" w:line="266" w:lineRule="auto"/>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not be liable in any respect on account of the identity, authority or rights of the parties executing or delivering or purporting to execute or deliver the Grant Documents or any documents or papers deposited or called for hereunder.</w:t>
      </w:r>
    </w:p>
    <w:p>
      <w:pPr>
        <w:spacing w:after="0" w:line="162" w:lineRule="exact"/>
        <w:rPr>
          <w:rFonts w:ascii="Times New Roman" w:cs="Times New Roman" w:eastAsia="Times New Roman" w:hAnsi="Times New Roman"/>
          <w:sz w:val="18"/>
          <w:szCs w:val="18"/>
          <w:b w:val="1"/>
          <w:bCs w:val="1"/>
          <w:color w:val="auto"/>
        </w:rPr>
      </w:pPr>
    </w:p>
    <w:p>
      <w:pPr>
        <w:ind w:right="20" w:firstLine="757"/>
        <w:spacing w:after="0" w:line="266" w:lineRule="auto"/>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not be liable for the outlawing of any rights under any statute of limitations with respect to these Joint Escrow Instructions or any documents deposited with you.</w:t>
      </w:r>
    </w:p>
    <w:p>
      <w:pPr>
        <w:spacing w:after="0" w:line="162" w:lineRule="exact"/>
        <w:rPr>
          <w:rFonts w:ascii="Times New Roman" w:cs="Times New Roman" w:eastAsia="Times New Roman" w:hAnsi="Times New Roman"/>
          <w:sz w:val="18"/>
          <w:szCs w:val="18"/>
          <w:b w:val="1"/>
          <w:bCs w:val="1"/>
          <w:color w:val="auto"/>
        </w:rPr>
      </w:pPr>
    </w:p>
    <w:p>
      <w:pPr>
        <w:jc w:val="both"/>
        <w:ind w:firstLine="757"/>
        <w:spacing w:after="0" w:line="250" w:lineRule="auto"/>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be entitled to employ such legal counsel, including but not limited to Cooley LLP, and other experts as you may deem necessary properly to advise you in connection with your obligations hereunder, may rely upon the advice of such counsel, and may pay such counsel reasonable compensation therefor.</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11" w:lineRule="exact"/>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responsibilities as Escrow Agent hereunder shall terminate if you shall cease to be Secretary of the Company or if you shall resign by written notice to each party. In the event of any such termination, the Company may appoint any officer or assistant officer of the Company as successor Escrow Agent and Recipient hereby confirms the appointment of such successor or successors as his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agent to the full extent of your appointment.</w:t>
      </w:r>
    </w:p>
    <w:p>
      <w:pPr>
        <w:spacing w:after="0" w:line="184" w:lineRule="exact"/>
        <w:rPr>
          <w:rFonts w:ascii="Times New Roman" w:cs="Times New Roman" w:eastAsia="Times New Roman" w:hAnsi="Times New Roman"/>
          <w:sz w:val="18"/>
          <w:szCs w:val="18"/>
          <w:b w:val="1"/>
          <w:bCs w:val="1"/>
          <w:color w:val="auto"/>
        </w:rPr>
      </w:pPr>
    </w:p>
    <w:p>
      <w:pPr>
        <w:ind w:firstLine="757"/>
        <w:spacing w:after="0" w:line="266" w:lineRule="auto"/>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162" w:lineRule="exact"/>
        <w:rPr>
          <w:rFonts w:ascii="Times New Roman" w:cs="Times New Roman" w:eastAsia="Times New Roman" w:hAnsi="Times New Roman"/>
          <w:sz w:val="18"/>
          <w:szCs w:val="18"/>
          <w:b w:val="1"/>
          <w:bCs w:val="1"/>
          <w:color w:val="auto"/>
        </w:rPr>
      </w:pPr>
    </w:p>
    <w:p>
      <w:pPr>
        <w:jc w:val="both"/>
        <w:ind w:firstLine="757"/>
        <w:spacing w:after="0" w:line="242" w:lineRule="auto"/>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understood and agreed that should any dispute arise with respect to the delivery and/or ownership or right of possession of the securities, you are authorized and directed to retain in your possession without liability to anyone all or any part of said securities until such dispute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84" w:lineRule="exact"/>
        <w:rPr>
          <w:rFonts w:ascii="Times New Roman" w:cs="Times New Roman" w:eastAsia="Times New Roman" w:hAnsi="Times New Roman"/>
          <w:sz w:val="18"/>
          <w:szCs w:val="18"/>
          <w:b w:val="1"/>
          <w:bCs w:val="1"/>
          <w:color w:val="auto"/>
        </w:rPr>
      </w:pPr>
    </w:p>
    <w:p>
      <w:pPr>
        <w:jc w:val="both"/>
        <w:ind w:firstLine="757"/>
        <w:spacing w:after="0" w:line="242" w:lineRule="auto"/>
        <w:tabs>
          <w:tab w:leader="none" w:pos="1498"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notice required or permitted hereunder shall be given in writing and shall be deemed effectively given on the earlier of (i) the date of personal delivery, including delivery by express courier, or delivery via electronic means, or (ii) the date that is five (5) days after deposit in any United States Post Box (whether or not actually received by the addressee), by registered or certified mail with postage and fees prepaid, addressed to each of the other parties hereunto entitled at the following addresses, or at such other addresses as a party may designate by ten (10) days’ advance written notice to each of the other parties 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0" w:name="page421"/>
    <w:bookmarkEnd w:id="420"/>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385"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tc>
        <w:tc>
          <w:tcPr>
            <w:tcW w:w="59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Rani Therapeutics Holdings, Inc.</w:t>
            </w:r>
          </w:p>
        </w:tc>
      </w:tr>
      <w:tr>
        <w:trPr>
          <w:trHeight w:val="189"/>
        </w:trPr>
        <w:tc>
          <w:tcPr>
            <w:tcW w:w="2480" w:type="dxa"/>
            <w:vAlign w:val="bottom"/>
          </w:tcPr>
          <w:p>
            <w:pPr>
              <w:spacing w:after="0"/>
              <w:rPr>
                <w:sz w:val="16"/>
                <w:szCs w:val="16"/>
                <w:color w:val="auto"/>
              </w:rPr>
            </w:pPr>
          </w:p>
        </w:tc>
        <w:tc>
          <w:tcPr>
            <w:tcW w:w="5920" w:type="dxa"/>
            <w:vAlign w:val="bottom"/>
            <w:gridSpan w:val="2"/>
          </w:tcPr>
          <w:p>
            <w:pPr>
              <w:ind w:left="1680"/>
              <w:spacing w:after="0" w:line="189" w:lineRule="exact"/>
              <w:rPr>
                <w:sz w:val="20"/>
                <w:szCs w:val="20"/>
                <w:color w:val="auto"/>
              </w:rPr>
            </w:pPr>
            <w:r>
              <w:rPr>
                <w:rFonts w:ascii="Times New Roman" w:cs="Times New Roman" w:eastAsia="Times New Roman" w:hAnsi="Times New Roman"/>
                <w:sz w:val="18"/>
                <w:szCs w:val="18"/>
                <w:color w:val="auto"/>
              </w:rPr>
              <w:t>2051 Ringwood Avenue</w:t>
            </w:r>
          </w:p>
        </w:tc>
      </w:tr>
      <w:tr>
        <w:trPr>
          <w:trHeight w:val="234"/>
        </w:trPr>
        <w:tc>
          <w:tcPr>
            <w:tcW w:w="2480" w:type="dxa"/>
            <w:vAlign w:val="bottom"/>
          </w:tcPr>
          <w:p>
            <w:pPr>
              <w:spacing w:after="0"/>
              <w:rPr>
                <w:sz w:val="20"/>
                <w:szCs w:val="20"/>
                <w:color w:val="auto"/>
              </w:rPr>
            </w:pPr>
          </w:p>
        </w:tc>
        <w:tc>
          <w:tcPr>
            <w:tcW w:w="59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San Jose, California 95131</w:t>
            </w:r>
          </w:p>
        </w:tc>
      </w:tr>
      <w:tr>
        <w:trPr>
          <w:trHeight w:val="378"/>
        </w:trPr>
        <w:tc>
          <w:tcPr>
            <w:tcW w:w="2480" w:type="dxa"/>
            <w:vAlign w:val="bottom"/>
          </w:tcPr>
          <w:p>
            <w:pPr>
              <w:spacing w:after="0"/>
              <w:rPr>
                <w:sz w:val="24"/>
                <w:szCs w:val="24"/>
                <w:color w:val="auto"/>
              </w:rPr>
            </w:pPr>
          </w:p>
        </w:tc>
        <w:tc>
          <w:tcPr>
            <w:tcW w:w="592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Attn: General Counsel</w:t>
            </w:r>
          </w:p>
        </w:tc>
      </w:tr>
      <w:tr>
        <w:trPr>
          <w:trHeight w:val="364"/>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ECIPIENT</w:t>
            </w:r>
            <w:r>
              <w:rPr>
                <w:rFonts w:ascii="Times New Roman" w:cs="Times New Roman" w:eastAsia="Times New Roman" w:hAnsi="Times New Roman"/>
                <w:sz w:val="18"/>
                <w:szCs w:val="18"/>
                <w:b w:val="1"/>
                <w:bCs w:val="1"/>
                <w:color w:val="auto"/>
              </w:rPr>
              <w:t>:</w:t>
            </w:r>
          </w:p>
        </w:tc>
        <w:tc>
          <w:tcPr>
            <w:tcW w:w="168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196"/>
        </w:trPr>
        <w:tc>
          <w:tcPr>
            <w:tcW w:w="2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r>
      <w:tr>
        <w:trPr>
          <w:trHeight w:val="196"/>
        </w:trPr>
        <w:tc>
          <w:tcPr>
            <w:tcW w:w="2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r>
      <w:tr>
        <w:trPr>
          <w:trHeight w:val="196"/>
        </w:trPr>
        <w:tc>
          <w:tcPr>
            <w:tcW w:w="2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40" w:type="dxa"/>
            <w:vAlign w:val="bottom"/>
            <w:tcBorders>
              <w:bottom w:val="single" w:sz="8" w:color="auto"/>
            </w:tcBorders>
          </w:tcPr>
          <w:p>
            <w:pPr>
              <w:spacing w:after="0"/>
              <w:rPr>
                <w:sz w:val="17"/>
                <w:szCs w:val="17"/>
                <w:color w:val="auto"/>
              </w:rPr>
            </w:pPr>
          </w:p>
        </w:tc>
      </w:tr>
    </w:tbl>
    <w:p>
      <w:pPr>
        <w:spacing w:after="0" w:line="167" w:lineRule="exact"/>
        <w:rPr>
          <w:sz w:val="20"/>
          <w:szCs w:val="20"/>
          <w:color w:val="auto"/>
        </w:rPr>
      </w:pPr>
    </w:p>
    <w:p>
      <w:pPr>
        <w:sectPr>
          <w:pgSz w:w="11900" w:h="16838" w:orient="portrait"/>
          <w:cols w:equalWidth="0" w:num="1">
            <w:col w:w="11220"/>
          </w:cols>
          <w:pgMar w:left="340" w:top="119" w:right="339" w:bottom="1440" w:gutter="0" w:footer="0" w:header="0"/>
        </w:sectPr>
      </w:pPr>
    </w:p>
    <w:p>
      <w:pPr>
        <w:ind w:left="14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SCROW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Rani Therapeutics Holdings, Inc.</w:t>
      </w:r>
    </w:p>
    <w:p>
      <w:pPr>
        <w:spacing w:after="0" w:line="234" w:lineRule="auto"/>
        <w:rPr>
          <w:sz w:val="20"/>
          <w:szCs w:val="20"/>
          <w:color w:val="auto"/>
        </w:rPr>
      </w:pPr>
      <w:r>
        <w:rPr>
          <w:rFonts w:ascii="Times New Roman" w:cs="Times New Roman" w:eastAsia="Times New Roman" w:hAnsi="Times New Roman"/>
          <w:sz w:val="18"/>
          <w:szCs w:val="18"/>
          <w:color w:val="auto"/>
        </w:rPr>
        <w:t>2051 Ringwood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151" w:lineRule="exact"/>
        <w:rPr>
          <w:sz w:val="20"/>
          <w:szCs w:val="20"/>
          <w:color w:val="auto"/>
        </w:rPr>
      </w:pPr>
    </w:p>
    <w:p>
      <w:pPr>
        <w:sectPr>
          <w:pgSz w:w="11900" w:h="16838" w:orient="portrait"/>
          <w:cols w:equalWidth="0" w:num="2">
            <w:col w:w="4840" w:space="720"/>
            <w:col w:w="5660"/>
          </w:cols>
          <w:pgMar w:left="340" w:top="119" w:right="339" w:bottom="1440" w:gutter="0" w:footer="0" w:header="0"/>
          <w:type w:val="continuous"/>
        </w:sectPr>
      </w:pPr>
    </w:p>
    <w:p>
      <w:pPr>
        <w:ind w:left="5560"/>
        <w:spacing w:after="0"/>
        <w:rPr>
          <w:sz w:val="20"/>
          <w:szCs w:val="20"/>
          <w:color w:val="auto"/>
        </w:rPr>
      </w:pPr>
      <w:r>
        <w:rPr>
          <w:rFonts w:ascii="Times New Roman" w:cs="Times New Roman" w:eastAsia="Times New Roman" w:hAnsi="Times New Roman"/>
          <w:sz w:val="18"/>
          <w:szCs w:val="18"/>
          <w:color w:val="auto"/>
        </w:rPr>
        <w:t>Attn: Secretary</w:t>
      </w:r>
    </w:p>
    <w:p>
      <w:pPr>
        <w:sectPr>
          <w:pgSz w:w="11900" w:h="16838" w:orient="portrait"/>
          <w:cols w:equalWidth="0" w:num="1">
            <w:col w:w="11220"/>
          </w:cols>
          <w:pgMar w:left="340" w:top="119" w:right="339" w:bottom="1440" w:gutter="0" w:footer="0" w:header="0"/>
          <w:type w:val="continuous"/>
        </w:sectPr>
      </w:pPr>
    </w:p>
    <w:p>
      <w:pPr>
        <w:spacing w:after="0" w:line="198" w:lineRule="exact"/>
        <w:rPr>
          <w:sz w:val="20"/>
          <w:szCs w:val="20"/>
          <w:color w:val="auto"/>
        </w:rPr>
      </w:pPr>
    </w:p>
    <w:p>
      <w:pPr>
        <w:ind w:left="-20" w:right="20" w:firstLine="757"/>
        <w:spacing w:after="0" w:line="266" w:lineRule="auto"/>
        <w:tabs>
          <w:tab w:leader="none" w:pos="1478"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signing these Joint Escrow Instructions you become a party hereto only for the purpose of said Joint Escrow Instructions; you do not become a party to the Grant Documents.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type w:val="continuous"/>
        </w:sectPr>
      </w:pPr>
    </w:p>
    <w:bookmarkStart w:id="421" w:name="page422"/>
    <w:bookmarkEnd w:id="421"/>
    <w:p>
      <w:pPr>
        <w:jc w:val="right"/>
        <w:spacing w:after="0"/>
        <w:rPr>
          <w:sz w:val="20"/>
          <w:szCs w:val="20"/>
          <w:color w:val="auto"/>
        </w:rPr>
      </w:pPr>
      <w:r>
        <w:rPr>
          <w:rFonts w:ascii="Times New Roman" w:cs="Times New Roman" w:eastAsia="Times New Roman" w:hAnsi="Times New Roman"/>
          <w:sz w:val="18"/>
          <w:szCs w:val="18"/>
          <w:i w:val="1"/>
          <w:iCs w:val="1"/>
          <w:color w:val="auto"/>
        </w:rPr>
        <w:t>Restricted Stock Grant Package</w:t>
      </w:r>
    </w:p>
    <w:p>
      <w:pPr>
        <w:spacing w:after="0" w:line="214" w:lineRule="exact"/>
        <w:rPr>
          <w:sz w:val="20"/>
          <w:szCs w:val="20"/>
          <w:color w:val="auto"/>
        </w:rPr>
      </w:pPr>
    </w:p>
    <w:p>
      <w:pPr>
        <w:jc w:val="both"/>
        <w:ind w:firstLine="757"/>
        <w:spacing w:after="0" w:line="245" w:lineRule="auto"/>
        <w:tabs>
          <w:tab w:leader="none" w:pos="1498"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instrument shall be binding upon and inure to the benefit of the parties hereto, and their respective successors and permitted assigns. It is understood and agreed that references to “you” or “your” herein refer to the original Escrow Agent and to any and all successor Escrow Agents. It is understood and agreed that the Company may at any time or from time to time assign its rights under the Grant Documents and these Joint Escrow Instructions in whole or in part.</w:t>
      </w:r>
    </w:p>
    <w:p>
      <w:pPr>
        <w:spacing w:after="0" w:line="3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ANI</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HERAPEUTICS</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8890</wp:posOffset>
            </wp:positionV>
            <wp:extent cx="327469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7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ECIPIENT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SCROW</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-125095</wp:posOffset>
            </wp:positionV>
            <wp:extent cx="327469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0">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251460</wp:posOffset>
            </wp:positionV>
            <wp:extent cx="31546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1">
                      <a:extLst>
                        <a:ext uri="{28A0092B-C50C-407E-A947-70E740481C1C}"/>
                      </a:extLst>
                    </a:blip>
                    <a:srcRect/>
                    <a:stretch>
                      <a:fillRect/>
                    </a:stretch>
                  </pic:blipFill>
                  <pic:spPr bwMode="auto">
                    <a:xfrm>
                      <a:off x="0" y="0"/>
                      <a:ext cx="31546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2" w:name="page423"/>
    <w:bookmarkEnd w:id="422"/>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Service Agreement</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color w:val="auto"/>
        </w:rPr>
        <w:t>This Amendment No. 1 to Service Agreement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made and entered into effective as of March 21, 2022 (the “</w:t>
      </w:r>
      <w:r>
        <w:rPr>
          <w:rFonts w:ascii="Times New Roman" w:cs="Times New Roman" w:eastAsia="Times New Roman" w:hAnsi="Times New Roman"/>
          <w:sz w:val="18"/>
          <w:szCs w:val="18"/>
          <w:b w:val="1"/>
          <w:bCs w:val="1"/>
          <w:color w:val="auto"/>
        </w:rPr>
        <w:t>Amendment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between InCube Labs, LLC, a Delaware limited liability company (“</w:t>
      </w:r>
      <w:r>
        <w:rPr>
          <w:rFonts w:ascii="Times New Roman" w:cs="Times New Roman" w:eastAsia="Times New Roman" w:hAnsi="Times New Roman"/>
          <w:sz w:val="18"/>
          <w:szCs w:val="18"/>
          <w:b w:val="1"/>
          <w:bCs w:val="1"/>
          <w:color w:val="auto"/>
        </w:rPr>
        <w:t>InCube</w:t>
      </w:r>
      <w:r>
        <w:rPr>
          <w:rFonts w:ascii="Times New Roman" w:cs="Times New Roman" w:eastAsia="Times New Roman" w:hAnsi="Times New Roman"/>
          <w:sz w:val="18"/>
          <w:szCs w:val="18"/>
          <w:color w:val="auto"/>
        </w:rPr>
        <w:t>”), and Rani Therapeutics, LLC, a California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color w:val="auto"/>
        </w:rPr>
        <w:t>Rani</w:t>
      </w:r>
      <w:r>
        <w:rPr>
          <w:rFonts w:ascii="Times New Roman" w:cs="Times New Roman" w:eastAsia="Times New Roman" w:hAnsi="Times New Roman"/>
          <w:sz w:val="18"/>
          <w:szCs w:val="18"/>
          <w:color w:val="auto"/>
        </w:rPr>
        <w:t>”), each a “Party”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WHEREAS, the Parties entered into a Service Agreement effective as of January 1, 2021 (the “</w:t>
      </w:r>
      <w:r>
        <w:rPr>
          <w:rFonts w:ascii="Times New Roman" w:cs="Times New Roman" w:eastAsia="Times New Roman" w:hAnsi="Times New Roman"/>
          <w:sz w:val="18"/>
          <w:szCs w:val="18"/>
          <w:b w:val="1"/>
          <w:bCs w:val="1"/>
          <w:color w:val="auto"/>
        </w:rPr>
        <w:t>Service Agreement</w:t>
      </w:r>
      <w:r>
        <w:rPr>
          <w:rFonts w:ascii="Times New Roman" w:cs="Times New Roman" w:eastAsia="Times New Roman" w:hAnsi="Times New Roman"/>
          <w:sz w:val="18"/>
          <w:szCs w:val="18"/>
          <w:color w:val="auto"/>
        </w:rPr>
        <w:t>”) for the purpose of providing and/or receiving certain services between the Parties; and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Parties desire to amend the Service Agreement to address the provision and/or receipt of certain occupancy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promises contained herein, and intending to be bound hereby, the Parties agree as follows:</w:t>
      </w:r>
    </w:p>
    <w:p>
      <w:pPr>
        <w:spacing w:after="0" w:line="144" w:lineRule="exact"/>
        <w:rPr>
          <w:sz w:val="20"/>
          <w:szCs w:val="20"/>
          <w:color w:val="auto"/>
        </w:rPr>
      </w:pPr>
    </w:p>
    <w:p>
      <w:pPr>
        <w:ind w:left="860" w:right="540" w:hanging="373"/>
        <w:spacing w:after="0" w:line="282" w:lineRule="auto"/>
        <w:tabs>
          <w:tab w:leader="none" w:pos="8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in this Amendment shall have the meanings assigned to such terms in the Service Agreement.</w:t>
      </w:r>
    </w:p>
    <w:p>
      <w:pPr>
        <w:spacing w:after="0" w:line="161" w:lineRule="exact"/>
        <w:rPr>
          <w:rFonts w:ascii="Times New Roman" w:cs="Times New Roman" w:eastAsia="Times New Roman" w:hAnsi="Times New Roman"/>
          <w:sz w:val="18"/>
          <w:szCs w:val="18"/>
          <w:color w:val="auto"/>
        </w:rPr>
      </w:pPr>
    </w:p>
    <w:p>
      <w:pPr>
        <w:ind w:left="860" w:right="20" w:hanging="373"/>
        <w:spacing w:after="0" w:line="282" w:lineRule="auto"/>
        <w:tabs>
          <w:tab w:leader="none" w:pos="8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Occupancy Services</w:t>
      </w:r>
      <w:r>
        <w:rPr>
          <w:rFonts w:ascii="Times New Roman" w:cs="Times New Roman" w:eastAsia="Times New Roman" w:hAnsi="Times New Roman"/>
          <w:sz w:val="18"/>
          <w:szCs w:val="18"/>
          <w:color w:val="auto"/>
        </w:rPr>
        <w:t>. Section 1.1 of the Service Agreement is hereby amended by deleting the current Section 1.1 of the Service Agreement and replacing with the following new Section 1.1:</w:t>
      </w:r>
    </w:p>
    <w:p>
      <w:pPr>
        <w:spacing w:after="0" w:line="76" w:lineRule="exact"/>
        <w:rPr>
          <w:rFonts w:ascii="Times New Roman" w:cs="Times New Roman" w:eastAsia="Times New Roman" w:hAnsi="Times New Roman"/>
          <w:sz w:val="18"/>
          <w:szCs w:val="18"/>
          <w:color w:val="auto"/>
        </w:rPr>
      </w:pPr>
    </w:p>
    <w:p>
      <w:pPr>
        <w:ind w:left="860" w:right="18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Provider may allow Recipient and/or its affiliates to occupy a portion of one or more of Provider’s facilities (“</w:t>
      </w:r>
      <w:r>
        <w:rPr>
          <w:rFonts w:ascii="Times New Roman" w:cs="Times New Roman" w:eastAsia="Times New Roman" w:hAnsi="Times New Roman"/>
          <w:sz w:val="18"/>
          <w:szCs w:val="18"/>
          <w:b w:val="1"/>
          <w:bCs w:val="1"/>
          <w:color w:val="auto"/>
        </w:rPr>
        <w:t>Occupancy Services</w:t>
      </w:r>
      <w:r>
        <w:rPr>
          <w:rFonts w:ascii="Times New Roman" w:cs="Times New Roman" w:eastAsia="Times New Roman" w:hAnsi="Times New Roman"/>
          <w:sz w:val="18"/>
          <w:szCs w:val="18"/>
          <w:color w:val="auto"/>
        </w:rPr>
        <w:t>”). Herein, the portion of each facility agreed upon with respect to Occupancy Services is referred to as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the portion of each Premises which will be exclusive to Recipient or its affiliates is referred to as the “</w:t>
      </w:r>
      <w:r>
        <w:rPr>
          <w:rFonts w:ascii="Times New Roman" w:cs="Times New Roman" w:eastAsia="Times New Roman" w:hAnsi="Times New Roman"/>
          <w:sz w:val="18"/>
          <w:szCs w:val="18"/>
          <w:b w:val="1"/>
          <w:bCs w:val="1"/>
          <w:color w:val="auto"/>
        </w:rPr>
        <w:t>Exclusive Portion</w:t>
      </w:r>
      <w:r>
        <w:rPr>
          <w:rFonts w:ascii="Times New Roman" w:cs="Times New Roman" w:eastAsia="Times New Roman" w:hAnsi="Times New Roman"/>
          <w:sz w:val="18"/>
          <w:szCs w:val="18"/>
          <w:color w:val="auto"/>
        </w:rPr>
        <w:t>”, and the portion of the Premises which will be shared with Provider or its affiliates or other tenants is referred to as the “</w:t>
      </w:r>
      <w:r>
        <w:rPr>
          <w:rFonts w:ascii="Times New Roman" w:cs="Times New Roman" w:eastAsia="Times New Roman" w:hAnsi="Times New Roman"/>
          <w:sz w:val="18"/>
          <w:szCs w:val="18"/>
          <w:b w:val="1"/>
          <w:bCs w:val="1"/>
          <w:color w:val="auto"/>
        </w:rPr>
        <w:t>Shared Portion</w:t>
      </w:r>
      <w:r>
        <w:rPr>
          <w:rFonts w:ascii="Times New Roman" w:cs="Times New Roman" w:eastAsia="Times New Roman" w:hAnsi="Times New Roman"/>
          <w:sz w:val="18"/>
          <w:szCs w:val="18"/>
          <w:color w:val="auto"/>
        </w:rPr>
        <w:t>”. The following subsections in this Section 1.1 shall apply to each Premises for which Occupancy Services are provided.</w:t>
      </w:r>
    </w:p>
    <w:p>
      <w:pPr>
        <w:spacing w:after="0" w:line="193" w:lineRule="exact"/>
        <w:rPr>
          <w:sz w:val="20"/>
          <w:szCs w:val="20"/>
          <w:color w:val="auto"/>
        </w:rPr>
      </w:pPr>
    </w:p>
    <w:p>
      <w:pPr>
        <w:ind w:left="2360" w:right="200" w:hanging="748"/>
        <w:spacing w:after="0" w:line="266" w:lineRule="auto"/>
        <w:tabs>
          <w:tab w:leader="none" w:pos="23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So long as there is no Event of Default with Recipient as the Breaching Party, Recipient will have access to the Premises twenty-four (24) hours a day, seven (7) days a week throughout the Term to use the Premises for any use permitted to Provider under its lease for the Premises.</w:t>
      </w:r>
    </w:p>
    <w:p>
      <w:pPr>
        <w:spacing w:after="0" w:line="162" w:lineRule="exact"/>
        <w:rPr>
          <w:sz w:val="20"/>
          <w:szCs w:val="20"/>
          <w:color w:val="auto"/>
        </w:rPr>
      </w:pPr>
    </w:p>
    <w:p>
      <w:pPr>
        <w:ind w:left="2360" w:right="80" w:hanging="748"/>
        <w:spacing w:after="0" w:line="266" w:lineRule="auto"/>
        <w:tabs>
          <w:tab w:leader="none" w:pos="23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Recipient will not permit the existence, maintenance, or commission, of any act, omission, or condition at the Premises by Recipient or its employees, agents, invitees, contractors, or vendors (“</w:t>
      </w:r>
      <w:r>
        <w:rPr>
          <w:rFonts w:ascii="Times New Roman" w:cs="Times New Roman" w:eastAsia="Times New Roman" w:hAnsi="Times New Roman"/>
          <w:sz w:val="18"/>
          <w:szCs w:val="18"/>
          <w:b w:val="1"/>
          <w:bCs w:val="1"/>
          <w:color w:val="auto"/>
        </w:rPr>
        <w:t>Recipient’s Invitees</w:t>
      </w:r>
      <w:r>
        <w:rPr>
          <w:rFonts w:ascii="Times New Roman" w:cs="Times New Roman" w:eastAsia="Times New Roman" w:hAnsi="Times New Roman"/>
          <w:sz w:val="18"/>
          <w:szCs w:val="18"/>
          <w:color w:val="auto"/>
        </w:rPr>
        <w:t>”), that may constitute a nuisance, unlawful acts, or unreasonable annoyance to other persons at or neighboring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3" w:name="page424"/>
    <w:bookmarkEnd w:id="423"/>
    <w:p>
      <w:pPr>
        <w:jc w:val="both"/>
        <w:ind w:left="1240" w:right="80" w:hanging="748"/>
        <w:spacing w:after="0" w:line="261" w:lineRule="auto"/>
        <w:tabs>
          <w:tab w:leader="none" w:pos="12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To the extent that Provider is not timely reimbursed by insurance proceeds, Recipient will reimburse Provider for the cost of repairing damage caused by the acts or omissions of Recipient or Recipient’s Invitees, including an increase in the cost of insurance resulting from the damage, if applicable. If Provider is subsequently reimbursed by insurance, the parties will reconcile the proceeds.</w:t>
      </w:r>
    </w:p>
    <w:p>
      <w:pPr>
        <w:spacing w:after="0" w:line="180" w:lineRule="exact"/>
        <w:rPr>
          <w:sz w:val="20"/>
          <w:szCs w:val="20"/>
          <w:color w:val="auto"/>
        </w:rPr>
      </w:pPr>
    </w:p>
    <w:p>
      <w:pPr>
        <w:ind w:left="1240" w:right="60" w:hanging="748"/>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Recipient agrees at all times during the Term, at its own expense, to maintain the Exclusive Portion in good and tenantable condition. Provider agrees that the Premises and Exclusive Portion will be in good and tenantable condition as of the commencement date of the Occupancy Services.</w:t>
      </w:r>
    </w:p>
    <w:p>
      <w:pPr>
        <w:spacing w:after="0" w:line="162" w:lineRule="exact"/>
        <w:rPr>
          <w:sz w:val="20"/>
          <w:szCs w:val="20"/>
          <w:color w:val="auto"/>
        </w:rPr>
      </w:pPr>
    </w:p>
    <w:p>
      <w:pPr>
        <w:ind w:left="1240" w:right="260"/>
        <w:spacing w:after="0" w:line="261" w:lineRule="auto"/>
        <w:rPr>
          <w:sz w:val="20"/>
          <w:szCs w:val="20"/>
          <w:color w:val="auto"/>
        </w:rPr>
      </w:pPr>
      <w:r>
        <w:rPr>
          <w:rFonts w:ascii="Times New Roman" w:cs="Times New Roman" w:eastAsia="Times New Roman" w:hAnsi="Times New Roman"/>
          <w:sz w:val="18"/>
          <w:szCs w:val="18"/>
          <w:color w:val="auto"/>
        </w:rPr>
        <w:t>Recipient agrees at all times during the Term, at its own expense, to maintain (including repairing) any item installed or provided for the exclusive use or benefit of Recipient, including as applicable and without limitation any equipment, backup generator, HVAC system, special flooring, fiber and other cabling, phone equipment, and data equipment, to the extent Provider is obligated to do so under its lease for the Premises.</w:t>
      </w:r>
    </w:p>
    <w:p>
      <w:pPr>
        <w:spacing w:after="0" w:line="180" w:lineRule="exact"/>
        <w:rPr>
          <w:sz w:val="20"/>
          <w:szCs w:val="20"/>
          <w:color w:val="auto"/>
        </w:rPr>
      </w:pPr>
    </w:p>
    <w:p>
      <w:pPr>
        <w:ind w:left="1240" w:right="20" w:hanging="748"/>
        <w:spacing w:after="0" w:line="266" w:lineRule="auto"/>
        <w:tabs>
          <w:tab w:leader="none" w:pos="12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Recipient will not make alterations to the Premises without the prior written consent of Provider, which consent will not be unreasonably withheld, conditioned or delayed. Any alterations made by Recipient will be in accordance with applicable laws, rules, codes and regulations of the city, county and state in which the Premises are located.</w:t>
      </w:r>
    </w:p>
    <w:p>
      <w:pPr>
        <w:spacing w:after="0" w:line="176" w:lineRule="exact"/>
        <w:rPr>
          <w:sz w:val="20"/>
          <w:szCs w:val="20"/>
          <w:color w:val="auto"/>
        </w:rPr>
      </w:pPr>
    </w:p>
    <w:p>
      <w:pPr>
        <w:ind w:left="1240" w:hanging="748"/>
        <w:spacing w:after="0" w:line="255" w:lineRule="auto"/>
        <w:tabs>
          <w:tab w:leader="none" w:pos="122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color w:val="auto"/>
        </w:rPr>
        <w:t>Recipient will not allow the Premises to be used by it or Recipient’s Invitees in any manner that will harm or impair the structural strength of any building, nor allow to be installed or operated on the Premises any machinery or apparatus whose size, weight, vibration, or other aspect would harm or impair the structural strength of the building. Recipient will not place a heavy load upon the floor or roof of any building at the Premises without Provider’s prior written consent. Machines and mechanical equipment used by Recipient which cause vibration or noise that may be transmitted to or within any building structure to such a degree as to be reasonably objectionable to Provider will be placed and maintained by Recipient at its expense in a manner to prevent/eliminate such vibration or noise.</w:t>
      </w:r>
    </w:p>
    <w:p>
      <w:pPr>
        <w:spacing w:after="0" w:line="175" w:lineRule="exact"/>
        <w:rPr>
          <w:sz w:val="20"/>
          <w:szCs w:val="20"/>
          <w:color w:val="auto"/>
        </w:rPr>
      </w:pPr>
    </w:p>
    <w:p>
      <w:pPr>
        <w:ind w:left="1240" w:right="40" w:hanging="748"/>
        <w:spacing w:after="0" w:line="261" w:lineRule="auto"/>
        <w:tabs>
          <w:tab w:leader="none" w:pos="122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color w:val="auto"/>
        </w:rPr>
        <w:t>Recipient will comply, at its sole cost, with any laws, regulations, ordinances, codes, certificate of occupancy, certificate of compliance, permit, easement, condition, covenant or restriction covering or affecting Recipient’s use or occupancy of the Premises (for clarity, this paragraph applies to Recipient’s use, and does not create an obligation on Recipient to bring the Building or Premises into compliance with applicable laws, regulations, codes,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44450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75" w:right="339" w:bottom="1440" w:gutter="0" w:footer="0" w:header="0"/>
        </w:sectPr>
      </w:pPr>
    </w:p>
    <w:bookmarkStart w:id="424" w:name="page425"/>
    <w:bookmarkEnd w:id="424"/>
    <w:p>
      <w:pPr>
        <w:ind w:left="1873" w:hanging="748"/>
        <w:spacing w:after="0" w:line="282" w:lineRule="auto"/>
        <w:tabs>
          <w:tab w:leader="none" w:pos="1852"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color w:val="auto"/>
        </w:rPr>
        <w:t>Recipient will comply, at its sole cost, with all restrictions imposed by any insurance company insuring the Premises, to the extent that the restrictions concern Recipient’s use or occupancy of the Premises.</w:t>
      </w:r>
    </w:p>
    <w:p>
      <w:pPr>
        <w:spacing w:after="0" w:line="162" w:lineRule="exact"/>
        <w:rPr>
          <w:sz w:val="20"/>
          <w:szCs w:val="20"/>
          <w:color w:val="auto"/>
        </w:rPr>
      </w:pPr>
    </w:p>
    <w:p>
      <w:pPr>
        <w:ind w:left="1873" w:right="80" w:hanging="748"/>
        <w:spacing w:after="0" w:line="282" w:lineRule="auto"/>
        <w:tabs>
          <w:tab w:leader="none" w:pos="1852"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color w:val="auto"/>
        </w:rPr>
        <w:t>Recipient will comply with all restrictions reasonably imposed by Provider in light of its obligations under its lease for the Premises.</w:t>
      </w:r>
    </w:p>
    <w:p>
      <w:pPr>
        <w:spacing w:after="0" w:line="148" w:lineRule="exact"/>
        <w:rPr>
          <w:sz w:val="20"/>
          <w:szCs w:val="20"/>
          <w:color w:val="auto"/>
        </w:rPr>
      </w:pPr>
    </w:p>
    <w:p>
      <w:pPr>
        <w:ind w:left="1873" w:right="120" w:hanging="748"/>
        <w:spacing w:after="0" w:line="261" w:lineRule="auto"/>
        <w:tabs>
          <w:tab w:leader="none" w:pos="1852"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color w:val="auto"/>
        </w:rPr>
        <w:t>Recipient will, at its sole cost, make any alteration, addition, or change to the Premises as may be required as a result of Recipient’s application or registration for any permit or governmental approval, subject to Provider’s prior approval. Provider may elect to make same, in which case Recipient will reimburse Provider promptly upon demand for all costs of Provider’s making same.</w:t>
      </w:r>
    </w:p>
    <w:p>
      <w:pPr>
        <w:spacing w:after="0" w:line="166" w:lineRule="exact"/>
        <w:rPr>
          <w:sz w:val="20"/>
          <w:szCs w:val="20"/>
          <w:color w:val="auto"/>
        </w:rPr>
      </w:pPr>
    </w:p>
    <w:p>
      <w:pPr>
        <w:ind w:left="1873" w:right="40" w:hanging="748"/>
        <w:spacing w:after="0" w:line="312" w:lineRule="auto"/>
        <w:tabs>
          <w:tab w:leader="none" w:pos="1852"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7"/>
          <w:szCs w:val="17"/>
          <w:color w:val="auto"/>
        </w:rPr>
        <w:t>Provider will be under no obligation to make any repairs, alterations, renewals, replacements or improvements to and upon the Premises or the mechanical equipment serving the Premises at any time except as this Agreement expressly provides.</w:t>
      </w:r>
    </w:p>
    <w:p>
      <w:pPr>
        <w:spacing w:after="0" w:line="140" w:lineRule="exact"/>
        <w:rPr>
          <w:sz w:val="20"/>
          <w:szCs w:val="20"/>
          <w:color w:val="auto"/>
        </w:rPr>
      </w:pPr>
    </w:p>
    <w:p>
      <w:pPr>
        <w:ind w:left="1133"/>
        <w:spacing w:after="0"/>
        <w:tabs>
          <w:tab w:leader="none" w:pos="1852"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color w:val="auto"/>
        </w:rPr>
        <w:t>Provider will obtain any consent(s) or permission(s) required under its lease(s) to permit the Occupancy Services.</w:t>
      </w:r>
    </w:p>
    <w:p>
      <w:pPr>
        <w:spacing w:after="0" w:line="212" w:lineRule="exact"/>
        <w:rPr>
          <w:sz w:val="20"/>
          <w:szCs w:val="20"/>
          <w:color w:val="auto"/>
        </w:rPr>
      </w:pPr>
    </w:p>
    <w:p>
      <w:pPr>
        <w:ind w:left="373" w:right="540" w:hanging="373"/>
        <w:spacing w:after="0" w:line="282" w:lineRule="auto"/>
        <w:tabs>
          <w:tab w:leader="none" w:pos="37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Shared Costs</w:t>
      </w:r>
      <w:r>
        <w:rPr>
          <w:rFonts w:ascii="Times New Roman" w:cs="Times New Roman" w:eastAsia="Times New Roman" w:hAnsi="Times New Roman"/>
          <w:sz w:val="18"/>
          <w:szCs w:val="18"/>
          <w:color w:val="auto"/>
        </w:rPr>
        <w:t>. Section 1.2 of the Service Agreement is hereby amended by deleting the current Section 1.2 of the Service Agreement and replacing with the following new Section 1.2:</w:t>
      </w:r>
    </w:p>
    <w:p>
      <w:pPr>
        <w:spacing w:after="0" w:line="80" w:lineRule="exact"/>
        <w:rPr>
          <w:rFonts w:ascii="Times New Roman" w:cs="Times New Roman" w:eastAsia="Times New Roman" w:hAnsi="Times New Roman"/>
          <w:sz w:val="18"/>
          <w:szCs w:val="18"/>
          <w:color w:val="auto"/>
        </w:rPr>
      </w:pPr>
    </w:p>
    <w:p>
      <w:pPr>
        <w:jc w:val="both"/>
        <w:ind w:left="373" w:right="2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With respect to each Premises, if specified in the Appendix applicable to such Premises, the Parties shall share certain costs paid by the Parties for the operation of the Premises (“</w:t>
      </w:r>
      <w:r>
        <w:rPr>
          <w:rFonts w:ascii="Times New Roman" w:cs="Times New Roman" w:eastAsia="Times New Roman" w:hAnsi="Times New Roman"/>
          <w:sz w:val="18"/>
          <w:szCs w:val="18"/>
          <w:b w:val="1"/>
          <w:bCs w:val="1"/>
          <w:color w:val="auto"/>
        </w:rPr>
        <w:t>Shared Costs</w:t>
      </w:r>
      <w:r>
        <w:rPr>
          <w:rFonts w:ascii="Times New Roman" w:cs="Times New Roman" w:eastAsia="Times New Roman" w:hAnsi="Times New Roman"/>
          <w:sz w:val="18"/>
          <w:szCs w:val="18"/>
          <w:color w:val="auto"/>
        </w:rPr>
        <w:t>”) as set forth herein for the period that Recipient utilizes the Occupancy Services at the Premises.</w:t>
      </w:r>
    </w:p>
    <w:p>
      <w:pPr>
        <w:spacing w:after="0" w:line="108" w:lineRule="exact"/>
        <w:rPr>
          <w:sz w:val="20"/>
          <w:szCs w:val="20"/>
          <w:color w:val="auto"/>
        </w:rPr>
      </w:pPr>
    </w:p>
    <w:p>
      <w:pPr>
        <w:ind w:left="1793" w:right="700" w:hanging="748"/>
        <w:spacing w:after="0" w:line="266" w:lineRule="auto"/>
        <w:tabs>
          <w:tab w:leader="none" w:pos="1772"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Third-party services</w:t>
      </w:r>
      <w:r>
        <w:rPr>
          <w:rFonts w:ascii="Times New Roman" w:cs="Times New Roman" w:eastAsia="Times New Roman" w:hAnsi="Times New Roman"/>
          <w:sz w:val="18"/>
          <w:szCs w:val="18"/>
          <w:color w:val="auto"/>
        </w:rPr>
        <w:t>. Shared Costs will include sums expended for continuing third party services such as (without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limitation): security services; janitorial services; and landscape maintenance services.</w:t>
      </w:r>
    </w:p>
    <w:p>
      <w:pPr>
        <w:spacing w:after="0" w:line="81" w:lineRule="exact"/>
        <w:rPr>
          <w:sz w:val="20"/>
          <w:szCs w:val="20"/>
          <w:color w:val="auto"/>
        </w:rPr>
      </w:pPr>
    </w:p>
    <w:p>
      <w:pPr>
        <w:ind w:left="1793" w:right="200" w:hanging="748"/>
        <w:spacing w:after="0" w:line="266" w:lineRule="auto"/>
        <w:tabs>
          <w:tab w:leader="none" w:pos="1772"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u w:val="single" w:color="auto"/>
          <w:color w:val="auto"/>
        </w:rPr>
        <w:t>Office supplies</w:t>
      </w:r>
      <w:r>
        <w:rPr>
          <w:rFonts w:ascii="Times New Roman" w:cs="Times New Roman" w:eastAsia="Times New Roman" w:hAnsi="Times New Roman"/>
          <w:sz w:val="18"/>
          <w:szCs w:val="18"/>
          <w:color w:val="auto"/>
        </w:rPr>
        <w:t>. Shared Costs will include sums expended for office supplies including (without limitation): writing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utensils; writing paper and books; printing and copying paper; printer toner and ink; kitchen supplies; restroom supplies; and decorations (including seasonal).</w:t>
      </w:r>
    </w:p>
    <w:p>
      <w:pPr>
        <w:spacing w:after="0" w:line="14" w:lineRule="exact"/>
        <w:rPr>
          <w:sz w:val="20"/>
          <w:szCs w:val="20"/>
          <w:color w:val="auto"/>
        </w:rPr>
      </w:pPr>
    </w:p>
    <w:p>
      <w:pPr>
        <w:ind w:left="1753" w:right="320" w:hanging="748"/>
        <w:spacing w:after="0" w:line="282" w:lineRule="auto"/>
        <w:tabs>
          <w:tab w:leader="none" w:pos="1732" w:val="left"/>
        </w:tabs>
        <w:rPr>
          <w:sz w:val="20"/>
          <w:szCs w:val="20"/>
          <w:color w:val="auto"/>
        </w:rPr>
      </w:pPr>
      <w:r>
        <w:rPr>
          <w:rFonts w:ascii="Times New Roman" w:cs="Times New Roman" w:eastAsia="Times New Roman" w:hAnsi="Times New Roman"/>
          <w:sz w:val="18"/>
          <w:szCs w:val="18"/>
          <w:color w:val="auto"/>
        </w:rPr>
        <w:t>1.1.3</w:t>
        <w:tab/>
        <w:t>Shared Costs shall not include costs specific to one Party’s business operations, which costs shall be borne solely by that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33020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53"/>
          </w:cols>
          <w:pgMar w:left="807" w:top="337" w:right="339" w:bottom="1440" w:gutter="0" w:footer="0" w:header="0"/>
        </w:sectPr>
      </w:pPr>
    </w:p>
    <w:bookmarkStart w:id="425" w:name="page426"/>
    <w:bookmarkEnd w:id="425"/>
    <w:p>
      <w:pPr>
        <w:ind w:left="373" w:hanging="373"/>
        <w:spacing w:after="0"/>
        <w:tabs>
          <w:tab w:leader="none" w:pos="37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Exhibit A of the Service Agreement is hereby amended to:</w:t>
      </w:r>
    </w:p>
    <w:p>
      <w:pPr>
        <w:spacing w:after="0" w:line="319" w:lineRule="exact"/>
        <w:rPr>
          <w:rFonts w:ascii="Times New Roman" w:cs="Times New Roman" w:eastAsia="Times New Roman" w:hAnsi="Times New Roman"/>
          <w:sz w:val="18"/>
          <w:szCs w:val="18"/>
          <w:color w:val="auto"/>
        </w:rPr>
      </w:pPr>
    </w:p>
    <w:p>
      <w:pPr>
        <w:ind w:left="1873" w:right="900" w:hanging="750"/>
        <w:spacing w:after="0" w:line="234" w:lineRule="auto"/>
        <w:tabs>
          <w:tab w:leader="none" w:pos="1873"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Delete “Not applicable” for the Obligations; Charges for Occupancy Services and replace it with “See attached appendices.”;</w:t>
      </w:r>
    </w:p>
    <w:p>
      <w:pPr>
        <w:spacing w:after="0" w:line="221" w:lineRule="exact"/>
        <w:rPr>
          <w:rFonts w:ascii="Times New Roman" w:cs="Times New Roman" w:eastAsia="Times New Roman" w:hAnsi="Times New Roman"/>
          <w:sz w:val="22"/>
          <w:szCs w:val="22"/>
          <w:color w:val="auto"/>
        </w:rPr>
      </w:pPr>
    </w:p>
    <w:p>
      <w:pPr>
        <w:ind w:left="1873" w:hanging="750"/>
        <w:spacing w:after="0"/>
        <w:tabs>
          <w:tab w:leader="none" w:pos="1873"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Delete “Not applicable” for the Obligations; Charges for Shared Costs and replace it with “See attached appendices.”; and</w:t>
      </w:r>
    </w:p>
    <w:p>
      <w:pPr>
        <w:spacing w:after="0" w:line="238" w:lineRule="exact"/>
        <w:rPr>
          <w:rFonts w:ascii="Times New Roman" w:cs="Times New Roman" w:eastAsia="Times New Roman" w:hAnsi="Times New Roman"/>
          <w:sz w:val="22"/>
          <w:szCs w:val="22"/>
          <w:color w:val="auto"/>
        </w:rPr>
      </w:pPr>
    </w:p>
    <w:p>
      <w:pPr>
        <w:ind w:left="1873" w:right="180" w:hanging="750"/>
        <w:spacing w:after="0" w:line="234" w:lineRule="auto"/>
        <w:tabs>
          <w:tab w:leader="none" w:pos="1873"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Incorporate into, and attach to, Exhibit A of the Service Agreement the items attached to this Amendment as Appendix 1 and Appendix 2</w:t>
      </w:r>
    </w:p>
    <w:p>
      <w:pPr>
        <w:spacing w:after="0" w:line="226" w:lineRule="exact"/>
        <w:rPr>
          <w:rFonts w:ascii="Times New Roman" w:cs="Times New Roman" w:eastAsia="Times New Roman" w:hAnsi="Times New Roman"/>
          <w:sz w:val="22"/>
          <w:szCs w:val="22"/>
          <w:color w:val="auto"/>
        </w:rPr>
      </w:pPr>
    </w:p>
    <w:p>
      <w:pPr>
        <w:ind w:left="1873" w:right="180" w:hanging="750"/>
        <w:spacing w:after="0" w:line="234" w:lineRule="auto"/>
        <w:tabs>
          <w:tab w:leader="none" w:pos="1873"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Delete the sections entitled “Administrative,” “Personnel (other than Administrative)” and “Special” and to replace them with the following:</w:t>
      </w:r>
    </w:p>
    <w:p>
      <w:pPr>
        <w:spacing w:after="0" w:line="186" w:lineRule="exact"/>
        <w:rPr>
          <w:sz w:val="20"/>
          <w:szCs w:val="20"/>
          <w:color w:val="auto"/>
        </w:rPr>
      </w:pPr>
    </w:p>
    <w:p>
      <w:pPr>
        <w:ind w:left="1913" w:right="280"/>
        <w:spacing w:after="0" w:line="261" w:lineRule="auto"/>
        <w:rPr>
          <w:sz w:val="20"/>
          <w:szCs w:val="20"/>
          <w:color w:val="auto"/>
        </w:rPr>
      </w:pPr>
      <w:r>
        <w:rPr>
          <w:rFonts w:ascii="Times New Roman" w:cs="Times New Roman" w:eastAsia="Times New Roman" w:hAnsi="Times New Roman"/>
          <w:sz w:val="18"/>
          <w:szCs w:val="18"/>
          <w:color w:val="auto"/>
        </w:rPr>
        <w:t>“- Either Rani or InCube may provide to the other Administrative Services, Personnel Services and/or Special Services upon request and subject to availability of resources.</w:t>
      </w:r>
    </w:p>
    <w:p>
      <w:pPr>
        <w:ind w:left="1913" w:right="40" w:firstLine="4"/>
        <w:spacing w:after="0" w:line="250" w:lineRule="auto"/>
        <w:tabs>
          <w:tab w:leader="none" w:pos="201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such Services performed by Provider, Provider can invoice the Recipient for services performed based on a formula: Invoiced Amount = Actual Hours x Hourly Billing Rate based on a formula; or based on an agreed percentage of full-time equivalent (FTE) time.</w:t>
      </w:r>
    </w:p>
    <w:p>
      <w:pPr>
        <w:spacing w:after="0" w:line="1" w:lineRule="exact"/>
        <w:rPr>
          <w:rFonts w:ascii="Times New Roman" w:cs="Times New Roman" w:eastAsia="Times New Roman" w:hAnsi="Times New Roman"/>
          <w:sz w:val="18"/>
          <w:szCs w:val="18"/>
          <w:color w:val="auto"/>
        </w:rPr>
      </w:pPr>
    </w:p>
    <w:p>
      <w:pPr>
        <w:ind w:left="1913" w:right="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any such Services performed by a Subcontractor of Provider, Provider can invoice Recipient the amount paid to the Subcontractor, without markup.</w:t>
      </w:r>
    </w:p>
    <w:p>
      <w:pPr>
        <w:ind w:left="1913" w:right="20" w:firstLine="4"/>
        <w:spacing w:after="0" w:line="260" w:lineRule="auto"/>
        <w:tabs>
          <w:tab w:leader="none" w:pos="201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Out-of-Pocket Costs related to the performance of any such Services, Provider can invoice Recipient the amount of such Out-of-Pocket Costs, without markup.”</w:t>
      </w:r>
    </w:p>
    <w:p>
      <w:pPr>
        <w:spacing w:after="0" w:line="181" w:lineRule="exact"/>
        <w:rPr>
          <w:rFonts w:ascii="Times New Roman" w:cs="Times New Roman" w:eastAsia="Times New Roman" w:hAnsi="Times New Roman"/>
          <w:sz w:val="18"/>
          <w:szCs w:val="18"/>
          <w:color w:val="auto"/>
        </w:rPr>
      </w:pPr>
    </w:p>
    <w:p>
      <w:pPr>
        <w:ind w:left="373" w:hanging="373"/>
        <w:spacing w:after="0"/>
        <w:tabs>
          <w:tab w:leader="none" w:pos="373"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Section 9 of the Service Agreement is hereby amended to add the following as Section 9.3:</w:t>
      </w:r>
    </w:p>
    <w:p>
      <w:pPr>
        <w:spacing w:after="0" w:line="144" w:lineRule="exact"/>
        <w:rPr>
          <w:rFonts w:ascii="Times New Roman" w:cs="Times New Roman" w:eastAsia="Times New Roman" w:hAnsi="Times New Roman"/>
          <w:sz w:val="18"/>
          <w:szCs w:val="18"/>
          <w:color w:val="auto"/>
        </w:rPr>
      </w:pPr>
    </w:p>
    <w:p>
      <w:pPr>
        <w:ind w:left="373"/>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Recipient (as tenant) will indemnify and hold Provider (as landlord) harmless from any Losses incurred or suffered by Provider arising from the bringing, allowing, using, permitting, generating, creating, emitting or disposing of toxic materials if by Recipient or its invitees or agents during the Term even if discovered after the Term. Recipient’s indemnification and hold harmless obligations include, without limitation, Losses (i) resulting from or based upon administrative, judicial (civil or criminal), or other action, legal or equitable, brought by any private or public person under common law or any federal, state, county or municipal law, ordinance or regulation, and (ii) pertaining to the cleanup or containment of toxic materials, the identification of the pollutants in toxic materials, the identification of the scope of any environmental contamination, the removal of pollutants from soils, riverbeds or aquifers, the provision of an alternative public drinking water source, or the long term monitoring of ground water and surface waters. Recipient will comply, at its sole cost, with all laws pertaining to such toxic materials. Recipient’s hold harmless and indemnity obligations hereunder will survive the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50165</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53"/>
          </w:cols>
          <w:pgMar w:left="807" w:top="297" w:right="339" w:bottom="1440" w:gutter="0" w:footer="0" w:header="0"/>
        </w:sectPr>
      </w:pPr>
    </w:p>
    <w:bookmarkStart w:id="426" w:name="page427"/>
    <w:bookmarkEnd w:id="426"/>
    <w:p>
      <w:pPr>
        <w:ind w:left="373" w:hanging="373"/>
        <w:spacing w:after="0"/>
        <w:tabs>
          <w:tab w:leader="none" w:pos="373"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Section 11.2.2 of the Service Agreement is hereby amended and restated as follows:</w:t>
      </w:r>
    </w:p>
    <w:p>
      <w:pPr>
        <w:spacing w:after="0" w:line="157" w:lineRule="exact"/>
        <w:rPr>
          <w:rFonts w:ascii="Times New Roman" w:cs="Times New Roman" w:eastAsia="Times New Roman" w:hAnsi="Times New Roman"/>
          <w:sz w:val="18"/>
          <w:szCs w:val="18"/>
          <w:color w:val="auto"/>
        </w:rPr>
      </w:pPr>
    </w:p>
    <w:p>
      <w:pPr>
        <w:ind w:left="373"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“11.2.2 The term of Occupancy Services for each Premises shall be as set forth in the applicable Appendix to Exhibit A for such Premises, and any termination of this Agreement shall not terminate Occupancy Services for a Premises unless termination of this Agreement is for uncured Event of Default regarding Occupancy Services at such Premises, in accordance with Section 11.4.3; otherwise, Occupancy Services shall survive termination of this Agreement until the expiration of the term for the applicable Premises and the terms of this Agreement shall continue to apply thereto during such period. Recipient may terminate any of the other services, but not all services, upon sixty (60) days’ notice to Provider prior to any performance of that service; Recipient will reimburse Provider for actual non-recoverable costs arising prior to termination of that service, which costs arose when, and to the extent that, Provider reasonably obtained or contracted in advance for personnel, resources, supplies, and/or materials reasonably needed to perform that terminated service.”</w:t>
      </w:r>
    </w:p>
    <w:p>
      <w:pPr>
        <w:spacing w:after="0" w:line="124" w:lineRule="exact"/>
        <w:rPr>
          <w:rFonts w:ascii="Times New Roman" w:cs="Times New Roman" w:eastAsia="Times New Roman" w:hAnsi="Times New Roman"/>
          <w:sz w:val="18"/>
          <w:szCs w:val="18"/>
          <w:color w:val="auto"/>
        </w:rPr>
      </w:pPr>
    </w:p>
    <w:p>
      <w:pPr>
        <w:ind w:left="373" w:right="20" w:hanging="373"/>
        <w:spacing w:after="0" w:line="268" w:lineRule="auto"/>
        <w:tabs>
          <w:tab w:leader="none" w:pos="373"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xml:space="preserve">. This Amendment may be executed in counterparts, each of which will be deemed an original, but all of which together will be deemed to be one and the same agreement. This Amendment </w:t>
      </w:r>
      <w:r>
        <w:rPr>
          <w:rFonts w:ascii="Times New Roman" w:cs="Times New Roman" w:eastAsia="Times New Roman" w:hAnsi="Times New Roman"/>
          <w:sz w:val="17"/>
          <w:szCs w:val="17"/>
          <w:color w:val="333333"/>
        </w:rPr>
        <w:t>may be executed by electronic signatures (e.g., using DocuSign or e-SignLive)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333333"/>
        </w:rPr>
        <w:t>signatures transmitted by electronic means (e.g., facsimile, email, pdf format), each of which shall be deemed a valid and enforceable signature and means of delivery</w:t>
      </w:r>
      <w:r>
        <w:rPr>
          <w:rFonts w:ascii="Times New Roman" w:cs="Times New Roman" w:eastAsia="Times New Roman" w:hAnsi="Times New Roman"/>
          <w:sz w:val="17"/>
          <w:szCs w:val="17"/>
          <w:color w:val="000000"/>
        </w:rPr>
        <w:t>. Neither Party may assign or otherwise transfer this Amendment except in connection with a permitted assignment of the</w:t>
      </w:r>
      <w:r>
        <w:rPr>
          <w:rFonts w:ascii="Times New Roman" w:cs="Times New Roman" w:eastAsia="Times New Roman" w:hAnsi="Times New Roman"/>
          <w:sz w:val="17"/>
          <w:szCs w:val="17"/>
          <w:color w:val="333333"/>
        </w:rPr>
        <w:t xml:space="preserve"> </w:t>
      </w:r>
      <w:r>
        <w:rPr>
          <w:rFonts w:ascii="Times New Roman" w:cs="Times New Roman" w:eastAsia="Times New Roman" w:hAnsi="Times New Roman"/>
          <w:sz w:val="17"/>
          <w:szCs w:val="17"/>
          <w:color w:val="000000"/>
        </w:rPr>
        <w:t>Service Agreement. Subject to the foregoing, this Amendment shall bind and inure to the benefit of the Parties hereto and their successors and assigns. This Amendment shall be governed by the laws of the state of California without reference to conflict of laws principles. Resolution of any dispute under or related to this Amendment shall be subject to and handled in accordance with the dispute resolutions set forth in Section</w:t>
      </w:r>
    </w:p>
    <w:p>
      <w:pPr>
        <w:spacing w:after="0" w:line="2" w:lineRule="exact"/>
        <w:rPr>
          <w:rFonts w:ascii="Times New Roman" w:cs="Times New Roman" w:eastAsia="Times New Roman" w:hAnsi="Times New Roman"/>
          <w:sz w:val="17"/>
          <w:szCs w:val="17"/>
          <w:color w:val="auto"/>
        </w:rPr>
      </w:pPr>
    </w:p>
    <w:p>
      <w:pPr>
        <w:ind w:left="373"/>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 of the Service Agreement. This Amendment, together with the Service Agreement, contains the entire understanding and agreement between the Parties with respect to the subject matter hereof. Headings are included for convenience only and shall not be used in interpreting this Amendment. If any provision of this Amendment is found to be illegal or unenforceable, the other provisions shall remain effective and enforceable to the greatest extent permitted by law. Any failure to enforce any provision of this Amendment shall not constitute a waiver thereof or of any other provision. This Amendment may not be amended, nor any obligation waived, except by a writing signed by both Parties hereto.</w:t>
      </w:r>
    </w:p>
    <w:p>
      <w:pPr>
        <w:spacing w:after="0" w:line="109" w:lineRule="exact"/>
        <w:rPr>
          <w:sz w:val="20"/>
          <w:szCs w:val="20"/>
          <w:color w:val="auto"/>
        </w:rPr>
      </w:pPr>
    </w:p>
    <w:p>
      <w:pPr>
        <w:ind w:left="3773"/>
        <w:spacing w:after="0"/>
        <w:rPr>
          <w:sz w:val="20"/>
          <w:szCs w:val="20"/>
          <w:color w:val="auto"/>
        </w:rPr>
      </w:pPr>
      <w:r>
        <w:rPr>
          <w:rFonts w:ascii="Times New Roman" w:cs="Times New Roman" w:eastAsia="Times New Roman" w:hAnsi="Times New Roman"/>
          <w:sz w:val="18"/>
          <w:szCs w:val="18"/>
          <w:color w:val="auto"/>
        </w:rPr>
        <w:t>[signature page immediately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193040</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33"/>
          </w:cols>
          <w:pgMar w:left="807" w:top="297" w:right="3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color w:val="auto"/>
        </w:rPr>
        <w:t>IN WITNESS WHEREOF, each Party hereto has caused this Amendment to be signed by its duly authorized representative.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InCube Labs, LLC</w:t>
            </w:r>
          </w:p>
        </w:tc>
        <w:tc>
          <w:tcPr>
            <w:tcW w:w="5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Rani Therapeutics, LLC</w:t>
            </w:r>
          </w:p>
        </w:tc>
      </w:tr>
      <w:tr>
        <w:trPr>
          <w:trHeight w:val="59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Mir Imran</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r>
      <w:tr>
        <w:trPr>
          <w:trHeight w:val="178"/>
        </w:trPr>
        <w:tc>
          <w:tcPr>
            <w:tcW w:w="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Mir Imran</w:t>
            </w:r>
          </w:p>
        </w:tc>
        <w:tc>
          <w:tcPr>
            <w:tcW w:w="100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CEO</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44"/>
        </w:trPr>
        <w:tc>
          <w:tcPr>
            <w:tcW w:w="7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8" w:name="page429"/>
    <w:bookmarkEnd w:id="42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Appendix 1 to Exhibit A – Occupancy Services for 518 Sycamore Dr.</w:t>
      </w:r>
    </w:p>
    <w:p>
      <w:pPr>
        <w:spacing w:after="0" w:line="198" w:lineRule="exact"/>
        <w:rPr>
          <w:sz w:val="20"/>
          <w:szCs w:val="20"/>
          <w:color w:val="auto"/>
        </w:rPr>
      </w:pPr>
    </w:p>
    <w:p>
      <w:pPr>
        <w:ind w:left="380" w:hanging="372"/>
        <w:spacing w:after="0"/>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PROVIDER</w:t>
      </w:r>
      <w:r>
        <w:rPr>
          <w:rFonts w:ascii="Times New Roman" w:cs="Times New Roman" w:eastAsia="Times New Roman" w:hAnsi="Times New Roman"/>
          <w:sz w:val="18"/>
          <w:szCs w:val="18"/>
          <w:color w:val="auto"/>
        </w:rPr>
        <w:t>: InCube Labs, LLC</w:t>
      </w:r>
    </w:p>
    <w:p>
      <w:pPr>
        <w:spacing w:after="0" w:line="14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Rani Therapeutics, LLC</w:t>
      </w:r>
    </w:p>
    <w:p>
      <w:pPr>
        <w:spacing w:after="0" w:line="13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Approximately 11,331 square feet of 20,626 square feet within a building (the “Building”) located at 518 Sycamore Dr., Milpitas, CA</w:t>
      </w:r>
    </w:p>
    <w:p>
      <w:pPr>
        <w:spacing w:after="0" w:line="13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COMMENCEMENT</w:t>
      </w:r>
      <w:r>
        <w:rPr>
          <w:rFonts w:ascii="Times New Roman" w:cs="Times New Roman" w:eastAsia="Times New Roman" w:hAnsi="Times New Roman"/>
          <w:sz w:val="18"/>
          <w:szCs w:val="18"/>
          <w:color w:val="auto"/>
        </w:rPr>
        <w:t>: The occupancy shall have an effective date of March 21, 2022.</w:t>
      </w:r>
    </w:p>
    <w:p>
      <w:pPr>
        <w:spacing w:after="0" w:line="144" w:lineRule="exact"/>
        <w:rPr>
          <w:rFonts w:ascii="Times New Roman" w:cs="Times New Roman" w:eastAsia="Times New Roman" w:hAnsi="Times New Roman"/>
          <w:sz w:val="18"/>
          <w:szCs w:val="18"/>
          <w:color w:val="auto"/>
        </w:rPr>
      </w:pPr>
    </w:p>
    <w:p>
      <w:pPr>
        <w:ind w:left="380" w:right="180" w:hanging="372"/>
        <w:spacing w:after="0" w:line="271" w:lineRule="auto"/>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OCCUPANCY</w:t>
      </w:r>
      <w:r>
        <w:rPr>
          <w:rFonts w:ascii="Times New Roman" w:cs="Times New Roman" w:eastAsia="Times New Roman" w:hAnsi="Times New Roman"/>
          <w:sz w:val="18"/>
          <w:szCs w:val="18"/>
          <w:color w:val="auto"/>
        </w:rPr>
        <w:t>: Recipient shall occupy on an exclusive basis the portion of the Building that constitutes the Premises, and Recipient shall share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common areas of the Building (e.g., two restrooms, kitchen, and lobby) with Provider.</w:t>
      </w:r>
    </w:p>
    <w:p>
      <w:pPr>
        <w:spacing w:after="0" w:line="72" w:lineRule="exact"/>
        <w:rPr>
          <w:rFonts w:ascii="Times New Roman" w:cs="Times New Roman" w:eastAsia="Times New Roman" w:hAnsi="Times New Roman"/>
          <w:sz w:val="18"/>
          <w:szCs w:val="18"/>
          <w:color w:val="auto"/>
        </w:rPr>
      </w:pPr>
    </w:p>
    <w:p>
      <w:pPr>
        <w:ind w:left="380" w:right="120" w:hanging="372"/>
        <w:spacing w:after="0" w:line="271" w:lineRule="auto"/>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Recipient shall pay $28,327.50 ($2.50 per square foot) per month for the initial term. Rent shall be subject to a five percent (5%) increase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renewal term, if applicable. Provider can invoice on a monthly basis.</w:t>
      </w:r>
    </w:p>
    <w:p>
      <w:pPr>
        <w:spacing w:after="0" w:line="7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PARKING</w:t>
      </w:r>
      <w:r>
        <w:rPr>
          <w:rFonts w:ascii="Times New Roman" w:cs="Times New Roman" w:eastAsia="Times New Roman" w:hAnsi="Times New Roman"/>
          <w:sz w:val="18"/>
          <w:szCs w:val="18"/>
          <w:color w:val="auto"/>
        </w:rPr>
        <w:t>: Recipient shall have the right to use 46 parking spaces on site at no cost for the duration of the Occupancy Services for the Premises.</w:t>
      </w:r>
    </w:p>
    <w:p>
      <w:pPr>
        <w:spacing w:after="0" w:line="144" w:lineRule="exact"/>
        <w:rPr>
          <w:rFonts w:ascii="Times New Roman" w:cs="Times New Roman" w:eastAsia="Times New Roman" w:hAnsi="Times New Roman"/>
          <w:sz w:val="18"/>
          <w:szCs w:val="18"/>
          <w:color w:val="auto"/>
        </w:rPr>
      </w:pPr>
    </w:p>
    <w:p>
      <w:pPr>
        <w:ind w:left="380" w:right="100" w:hanging="372"/>
        <w:spacing w:after="0" w:line="271" w:lineRule="auto"/>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 The Premises shall be used and occupied for general office, research and development, light manufacturing, and any such other purposes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under Provider’s lease.</w:t>
      </w:r>
    </w:p>
    <w:p>
      <w:pPr>
        <w:spacing w:after="0" w:line="86"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The initial term shall be March 21, 2022 through February 28, 2023. Recipient shall have the right to renew the term for twelve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(March 1, 2023 through February 29, 2024) upon not less than nine (9) months prior written notice and subject to the landlord’s approval of the extension period for Provider. If the initial term is renewed, Recipient shall have a second right to renew the term for an additional twelve months (March 1, 2024 through February 28, 2025) upon written notice given not less than nine (9) months prior to the end of the first renewal term.</w:t>
      </w:r>
    </w:p>
    <w:p>
      <w:pPr>
        <w:spacing w:after="0" w:line="78" w:lineRule="exact"/>
        <w:rPr>
          <w:rFonts w:ascii="Times New Roman" w:cs="Times New Roman" w:eastAsia="Times New Roman" w:hAnsi="Times New Roman"/>
          <w:sz w:val="17"/>
          <w:szCs w:val="17"/>
          <w:color w:val="auto"/>
        </w:rPr>
      </w:pPr>
    </w:p>
    <w:p>
      <w:pPr>
        <w:ind w:left="380" w:right="80" w:hanging="372"/>
        <w:spacing w:after="0" w:line="252" w:lineRule="auto"/>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Recipient shall pay a common area maintenance charge of $0.25 per square foot per month, which is subject to true 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Recipient’s pro rata percentage of the overall leased space (“Recipient’s Share”)) and landlord adjustment. Any adjustment to the charge by the landlord will be passed through based on Recipient’s Share.</w:t>
      </w:r>
    </w:p>
    <w:p>
      <w:pPr>
        <w:spacing w:after="0" w:line="90" w:lineRule="exact"/>
        <w:rPr>
          <w:rFonts w:ascii="Times New Roman" w:cs="Times New Roman" w:eastAsia="Times New Roman" w:hAnsi="Times New Roman"/>
          <w:sz w:val="18"/>
          <w:szCs w:val="18"/>
          <w:color w:val="auto"/>
        </w:rPr>
      </w:pPr>
    </w:p>
    <w:p>
      <w:pPr>
        <w:ind w:left="380" w:hanging="372"/>
        <w:spacing w:after="0" w:line="252" w:lineRule="auto"/>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SHARED COSTS</w:t>
      </w:r>
      <w:r>
        <w:rPr>
          <w:rFonts w:ascii="Times New Roman" w:cs="Times New Roman" w:eastAsia="Times New Roman" w:hAnsi="Times New Roman"/>
          <w:sz w:val="18"/>
          <w:szCs w:val="18"/>
          <w:color w:val="auto"/>
        </w:rPr>
        <w:t>: Recipient shall bear Recipient’s Share and Provider shall bear Provider’s Share of third- party service Shared Costs, except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cost of office supplies shall be shared between Provider and Recipient based on estimated usage, considering the number of people of each party in the Building utilizing office supplies and the nature of the work performed by each party in the Building.</w:t>
      </w:r>
    </w:p>
    <w:p>
      <w:pPr>
        <w:spacing w:after="0" w:line="90" w:lineRule="exact"/>
        <w:rPr>
          <w:rFonts w:ascii="Times New Roman" w:cs="Times New Roman" w:eastAsia="Times New Roman" w:hAnsi="Times New Roman"/>
          <w:sz w:val="18"/>
          <w:szCs w:val="18"/>
          <w:color w:val="auto"/>
        </w:rPr>
      </w:pPr>
    </w:p>
    <w:p>
      <w:pPr>
        <w:ind w:left="380" w:right="320" w:hanging="372"/>
        <w:spacing w:after="0" w:line="271" w:lineRule="auto"/>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STORAGE: </w:t>
      </w:r>
      <w:r>
        <w:rPr>
          <w:rFonts w:ascii="Times New Roman" w:cs="Times New Roman" w:eastAsia="Times New Roman" w:hAnsi="Times New Roman"/>
          <w:sz w:val="18"/>
          <w:szCs w:val="18"/>
          <w:color w:val="auto"/>
        </w:rPr>
        <w:t>Provider rents certain storage space near the Premises. Recipient shall have a right to utilize such storage space and agrees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rental fee for such storage space for the current two-year term.</w:t>
      </w:r>
    </w:p>
    <w:p>
      <w:pPr>
        <w:spacing w:after="0" w:line="72" w:lineRule="exact"/>
        <w:rPr>
          <w:rFonts w:ascii="Times New Roman" w:cs="Times New Roman" w:eastAsia="Times New Roman" w:hAnsi="Times New Roman"/>
          <w:sz w:val="18"/>
          <w:szCs w:val="18"/>
          <w:color w:val="auto"/>
        </w:rPr>
      </w:pPr>
    </w:p>
    <w:p>
      <w:pPr>
        <w:ind w:left="380" w:right="320" w:hanging="372"/>
        <w:spacing w:after="0" w:line="252" w:lineRule="auto"/>
        <w:tabs>
          <w:tab w:leader="none" w:pos="3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Provider will permit Recipient to use the equipment located at the Premises (for clarity, excluding equipment in the Building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business of Modulus in the ordinary course) without additional charge, including without limitation, lab tables, microscopes, and other equipment (ovens, etc.), cubicles, monitors, docking stations, and printers.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9" w:name="page430"/>
    <w:bookmarkEnd w:id="429"/>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Appendix 2 to Exhibit A – Occupancy Services for 12500 Network Blvd</w:t>
      </w:r>
    </w:p>
    <w:p>
      <w:pPr>
        <w:spacing w:after="0" w:line="239" w:lineRule="exact"/>
        <w:rPr>
          <w:sz w:val="20"/>
          <w:szCs w:val="20"/>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PROVIDER</w:t>
      </w:r>
      <w:r>
        <w:rPr>
          <w:rFonts w:ascii="Times New Roman" w:cs="Times New Roman" w:eastAsia="Times New Roman" w:hAnsi="Times New Roman"/>
          <w:sz w:val="18"/>
          <w:szCs w:val="18"/>
          <w:color w:val="auto"/>
        </w:rPr>
        <w:t>: InCube Labs, LLC</w:t>
      </w:r>
    </w:p>
    <w:p>
      <w:pPr>
        <w:spacing w:after="0" w:line="14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Rani Therapeutics, LLC</w:t>
      </w:r>
    </w:p>
    <w:p>
      <w:pPr>
        <w:spacing w:after="0" w:line="14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Approximately 20,773 square feet located at 12500 Network Blvd, Suite 112, San Antonio, TX</w:t>
      </w:r>
    </w:p>
    <w:p>
      <w:pPr>
        <w:spacing w:after="0" w:line="14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COMMENCEMENT</w:t>
      </w:r>
      <w:r>
        <w:rPr>
          <w:rFonts w:ascii="Times New Roman" w:cs="Times New Roman" w:eastAsia="Times New Roman" w:hAnsi="Times New Roman"/>
          <w:sz w:val="18"/>
          <w:szCs w:val="18"/>
          <w:color w:val="auto"/>
        </w:rPr>
        <w:t>: The occupancy shall have an effective date of March 21, 2022.</w:t>
      </w:r>
    </w:p>
    <w:p>
      <w:pPr>
        <w:spacing w:after="0" w:line="130" w:lineRule="exact"/>
        <w:rPr>
          <w:rFonts w:ascii="Times New Roman" w:cs="Times New Roman" w:eastAsia="Times New Roman" w:hAnsi="Times New Roman"/>
          <w:sz w:val="18"/>
          <w:szCs w:val="18"/>
          <w:color w:val="auto"/>
        </w:rPr>
      </w:pPr>
    </w:p>
    <w:p>
      <w:pPr>
        <w:ind w:left="372" w:right="20" w:hanging="372"/>
        <w:spacing w:after="0" w:line="271" w:lineRule="auto"/>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OCCUPANCY</w:t>
      </w:r>
      <w:r>
        <w:rPr>
          <w:rFonts w:ascii="Times New Roman" w:cs="Times New Roman" w:eastAsia="Times New Roman" w:hAnsi="Times New Roman"/>
          <w:sz w:val="18"/>
          <w:szCs w:val="18"/>
          <w:color w:val="auto"/>
        </w:rPr>
        <w:t>: Provider and Recipient shall share the Premises such that each shall have equal and undivided use of the entirety of the Premises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machinery and equipment located thereon.</w:t>
      </w:r>
    </w:p>
    <w:p>
      <w:pPr>
        <w:spacing w:after="0" w:line="72" w:lineRule="exact"/>
        <w:rPr>
          <w:rFonts w:ascii="Times New Roman" w:cs="Times New Roman" w:eastAsia="Times New Roman" w:hAnsi="Times New Roman"/>
          <w:sz w:val="18"/>
          <w:szCs w:val="18"/>
          <w:color w:val="auto"/>
        </w:rPr>
      </w:pPr>
    </w:p>
    <w:p>
      <w:pPr>
        <w:ind w:left="372" w:right="140" w:hanging="372"/>
        <w:spacing w:after="0" w:line="271" w:lineRule="auto"/>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Provider and Recipient shall each bear a portion of the rent due under Provider’s lease for the Premises at a ratio of eighty percent (80%)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 (“Recipient’s Share”) and twenty percent (20%) by Provider (“Provider’s Share”). Provider can invoice on a monthly basis.</w:t>
      </w:r>
    </w:p>
    <w:p>
      <w:pPr>
        <w:spacing w:after="0" w:line="72"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PARKING</w:t>
      </w:r>
      <w:r>
        <w:rPr>
          <w:rFonts w:ascii="Times New Roman" w:cs="Times New Roman" w:eastAsia="Times New Roman" w:hAnsi="Times New Roman"/>
          <w:sz w:val="18"/>
          <w:szCs w:val="18"/>
          <w:color w:val="auto"/>
        </w:rPr>
        <w:t>: Recipient shall have pro-rata use of the parking on site at no cost for the duration of the Occupancy Services for the Premises.</w:t>
      </w:r>
    </w:p>
    <w:p>
      <w:pPr>
        <w:spacing w:after="0" w:line="130" w:lineRule="exact"/>
        <w:rPr>
          <w:rFonts w:ascii="Times New Roman" w:cs="Times New Roman" w:eastAsia="Times New Roman" w:hAnsi="Times New Roman"/>
          <w:sz w:val="18"/>
          <w:szCs w:val="18"/>
          <w:color w:val="auto"/>
        </w:rPr>
      </w:pPr>
    </w:p>
    <w:p>
      <w:pPr>
        <w:ind w:left="372" w:right="60" w:hanging="372"/>
        <w:spacing w:after="0" w:line="271" w:lineRule="auto"/>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w:t>
      </w:r>
      <w:r>
        <w:rPr>
          <w:rFonts w:ascii="Times New Roman" w:cs="Times New Roman" w:eastAsia="Times New Roman" w:hAnsi="Times New Roman"/>
          <w:sz w:val="18"/>
          <w:szCs w:val="18"/>
          <w:color w:val="auto"/>
        </w:rPr>
        <w:t>: The Premises shall be used and occupied for general office, research and development, light manufacturing, and any such other purposes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under Provider’s lease.</w:t>
      </w:r>
    </w:p>
    <w:p>
      <w:pPr>
        <w:spacing w:after="0" w:line="86"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of Occupancy Services shall continue until terminated by either Party upon not less than six (6) months’ prior written notice.</w:t>
      </w:r>
    </w:p>
    <w:p>
      <w:pPr>
        <w:spacing w:after="0" w:line="130" w:lineRule="exact"/>
        <w:rPr>
          <w:rFonts w:ascii="Times New Roman" w:cs="Times New Roman" w:eastAsia="Times New Roman" w:hAnsi="Times New Roman"/>
          <w:sz w:val="18"/>
          <w:szCs w:val="18"/>
          <w:color w:val="auto"/>
        </w:rPr>
      </w:pPr>
    </w:p>
    <w:p>
      <w:pPr>
        <w:ind w:left="372" w:right="60" w:hanging="372"/>
        <w:spacing w:after="0" w:line="243" w:lineRule="auto"/>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Recipient shall pay as additional rent Recipient’s Share of common area operating expenses, including taxes,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utilities, and repair and maintenance of the Premises and common area, payable and paid by Provider under its lease for the Premises. Notwithstanding the foregoing, if any payment of Rent or Operating Expenses is specifically attributable to either Recipient’s or Provider’s operation or use of the Premises (for example, a late fee charged because such party is late in making payment), then the Party causing such payment shall be solely responsible for such payment.</w:t>
      </w:r>
    </w:p>
    <w:p>
      <w:pPr>
        <w:spacing w:after="0" w:line="113"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SHARED COSTS</w:t>
      </w:r>
      <w:r>
        <w:rPr>
          <w:rFonts w:ascii="Times New Roman" w:cs="Times New Roman" w:eastAsia="Times New Roman" w:hAnsi="Times New Roman"/>
          <w:sz w:val="18"/>
          <w:szCs w:val="18"/>
          <w:color w:val="auto"/>
        </w:rPr>
        <w:t>: Recipient shall bear Recipient’s Share and Provider shall bear Provider’s Share of Shared Costs.</w:t>
      </w:r>
    </w:p>
    <w:p>
      <w:pPr>
        <w:spacing w:after="0" w:line="144" w:lineRule="exact"/>
        <w:rPr>
          <w:rFonts w:ascii="Times New Roman" w:cs="Times New Roman" w:eastAsia="Times New Roman" w:hAnsi="Times New Roman"/>
          <w:sz w:val="18"/>
          <w:szCs w:val="18"/>
          <w:color w:val="auto"/>
        </w:rPr>
      </w:pPr>
    </w:p>
    <w:p>
      <w:pPr>
        <w:ind w:left="372" w:hanging="372"/>
        <w:spacing w:after="0" w:line="246" w:lineRule="auto"/>
        <w:tabs>
          <w:tab w:leader="none" w:pos="37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18"/>
          <w:szCs w:val="18"/>
          <w:color w:val="auto"/>
        </w:rPr>
        <w:t>: In the event a Party believes that the relative usage of the Premises by the Recipient and Provider has meaningfully changed,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request of either Recipient or Provider the Parties shall discuss in good faith whether to adjust the relative percentage (i.e., Recipient’s Share and Provider’s Share) of Rent, Operating Expenses and/or Shared Costs payable by each Party thereafter. No such adjustment shall be made, however, unless mutually agreed upon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71" w:right="379" w:bottom="1440" w:gutter="0" w:footer="0" w:header="0"/>
        </w:sectPr>
      </w:pPr>
    </w:p>
    <w:bookmarkStart w:id="430" w:name="page431"/>
    <w:bookmarkEnd w:id="4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333-258415) pertaining to the Rani Therapeutics Holdings, Inc. 2021 Equity Incentive Plan, the Rani Therapeutics Holdings, Inc. 2021 Employee Stock Purchase Plan and the Rani Therapeutics, LLC 2016 Equity Incentive Plan of Rani Therapeutics Holdings, Inc. of our report dated March 30, 2022, with respect to the consolidated financial statements of Rani Therapeutics Holdings, Inc. included in this Annual Report (Form 10-K) for the year ended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1" w:name="page432"/>
    <w:bookmarkEnd w:id="4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Talat Imran, certify that:</w:t>
      </w:r>
    </w:p>
    <w:p>
      <w:pPr>
        <w:spacing w:after="0" w:line="212" w:lineRule="exact"/>
        <w:rPr>
          <w:sz w:val="20"/>
          <w:szCs w:val="20"/>
          <w:color w:val="auto"/>
        </w:rPr>
      </w:pPr>
    </w:p>
    <w:p>
      <w:pPr>
        <w:ind w:left="760" w:hanging="752"/>
        <w:spacing w:after="0"/>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Rani Therapeutics Holdings, Inc.;</w:t>
      </w:r>
    </w:p>
    <w:p>
      <w:pPr>
        <w:spacing w:after="0" w:line="211"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30, 2022</w:t>
      </w:r>
    </w:p>
    <w:p>
      <w:pPr>
        <w:spacing w:after="0" w:line="1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8890</wp:posOffset>
            </wp:positionV>
            <wp:extent cx="356616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40"/>
        <w:spacing w:after="0" w:line="237" w:lineRule="auto"/>
        <w:rPr>
          <w:sz w:val="20"/>
          <w:szCs w:val="20"/>
          <w:color w:val="auto"/>
        </w:rPr>
      </w:pPr>
      <w:r>
        <w:rPr>
          <w:rFonts w:ascii="Times New Roman" w:cs="Times New Roman" w:eastAsia="Times New Roman" w:hAnsi="Times New Roman"/>
          <w:sz w:val="18"/>
          <w:szCs w:val="18"/>
          <w:color w:val="auto"/>
        </w:rPr>
        <w:t>Talat Imran</w:t>
      </w:r>
    </w:p>
    <w:p>
      <w:pPr>
        <w:ind w:left="5640"/>
        <w:spacing w:after="0" w:line="219" w:lineRule="auto"/>
        <w:rPr>
          <w:sz w:val="20"/>
          <w:szCs w:val="20"/>
          <w:color w:val="auto"/>
        </w:rPr>
      </w:pPr>
      <w:r>
        <w:rPr>
          <w:rFonts w:ascii="Times New Roman" w:cs="Times New Roman" w:eastAsia="Times New Roman" w:hAnsi="Times New Roman"/>
          <w:sz w:val="18"/>
          <w:szCs w:val="18"/>
          <w:color w:val="auto"/>
        </w:rPr>
        <w:t>Chief Executive Officer</w:t>
      </w: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Svai Sanford, certify that:</w:t>
      </w:r>
    </w:p>
    <w:p>
      <w:pPr>
        <w:spacing w:after="0" w:line="212" w:lineRule="exact"/>
        <w:rPr>
          <w:sz w:val="20"/>
          <w:szCs w:val="20"/>
          <w:color w:val="auto"/>
        </w:rPr>
      </w:pPr>
    </w:p>
    <w:p>
      <w:pPr>
        <w:ind w:left="760" w:hanging="752"/>
        <w:spacing w:after="0"/>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Rani Therapeutics Holdings, Inc.;</w:t>
      </w:r>
    </w:p>
    <w:p>
      <w:pPr>
        <w:spacing w:after="0" w:line="211"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30, 2022</w:t>
      </w:r>
    </w:p>
    <w:p>
      <w:pPr>
        <w:ind w:left="6820"/>
        <w:spacing w:after="0" w:line="237" w:lineRule="auto"/>
        <w:rPr>
          <w:sz w:val="20"/>
          <w:szCs w:val="20"/>
          <w:color w:val="auto"/>
        </w:rPr>
      </w:pPr>
      <w:r>
        <w:rPr>
          <w:rFonts w:ascii="Times New Roman" w:cs="Times New Roman" w:eastAsia="Times New Roman" w:hAnsi="Times New Roman"/>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-635</wp:posOffset>
            </wp:positionV>
            <wp:extent cx="282003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6820"/>
        <w:spacing w:after="0" w:line="219" w:lineRule="auto"/>
        <w:rPr>
          <w:sz w:val="20"/>
          <w:szCs w:val="20"/>
          <w:color w:val="auto"/>
        </w:rPr>
      </w:pPr>
      <w:r>
        <w:rPr>
          <w:rFonts w:ascii="Times New Roman" w:cs="Times New Roman" w:eastAsia="Times New Roman" w:hAnsi="Times New Roman"/>
          <w:sz w:val="18"/>
          <w:szCs w:val="18"/>
          <w:color w:val="auto"/>
        </w:rPr>
        <w:t>Svai Sanford</w:t>
      </w:r>
    </w:p>
    <w:p>
      <w:pPr>
        <w:ind w:left="682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68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3" w:name="page434"/>
    <w:bookmarkEnd w:id="43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or her knowledge:</w:t>
      </w:r>
    </w:p>
    <w:p>
      <w:pPr>
        <w:spacing w:after="0" w:line="177" w:lineRule="exact"/>
        <w:rPr>
          <w:sz w:val="20"/>
          <w:szCs w:val="20"/>
          <w:color w:val="auto"/>
        </w:rPr>
      </w:pPr>
    </w:p>
    <w:p>
      <w:pPr>
        <w:ind w:left="760" w:hanging="752"/>
        <w:spacing w:after="0" w:line="266" w:lineRule="auto"/>
        <w:tabs>
          <w:tab w:leader="none" w:pos="7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2021, to which this Certification is attached as Exhibit 32.1 (the “Periodic Report”), fully complies with the requirements of Section 13(a) or Section 15(d) of the Exchange Act; and</w:t>
      </w:r>
    </w:p>
    <w:p>
      <w:pPr>
        <w:spacing w:after="0" w:line="162" w:lineRule="exact"/>
        <w:rPr>
          <w:rFonts w:ascii="Times New Roman" w:cs="Times New Roman" w:eastAsia="Times New Roman" w:hAnsi="Times New Roman"/>
          <w:sz w:val="18"/>
          <w:szCs w:val="18"/>
          <w:b w:val="1"/>
          <w:bCs w:val="1"/>
          <w:color w:val="auto"/>
        </w:rPr>
      </w:pPr>
    </w:p>
    <w:p>
      <w:pPr>
        <w:ind w:left="760" w:hanging="752"/>
        <w:spacing w:after="0" w:line="266" w:lineRule="auto"/>
        <w:tabs>
          <w:tab w:leader="none" w:pos="7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30,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30th day of March,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Talat Imran</w:t>
            </w:r>
          </w:p>
        </w:tc>
        <w:tc>
          <w:tcPr>
            <w:tcW w:w="1780" w:type="dxa"/>
            <w:vAlign w:val="bottom"/>
          </w:tcPr>
          <w:p>
            <w:pPr>
              <w:spacing w:after="0"/>
              <w:rPr>
                <w:sz w:val="19"/>
                <w:szCs w:val="19"/>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r>
      <w:tr>
        <w:trPr>
          <w:trHeight w:val="151"/>
        </w:trPr>
        <w:tc>
          <w:tcPr>
            <w:tcW w:w="474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Talat Imran</w:t>
            </w:r>
          </w:p>
        </w:tc>
        <w:tc>
          <w:tcPr>
            <w:tcW w:w="1780" w:type="dxa"/>
            <w:vAlign w:val="bottom"/>
          </w:tcPr>
          <w:p>
            <w:pPr>
              <w:spacing w:after="0"/>
              <w:rPr>
                <w:sz w:val="13"/>
                <w:szCs w:val="13"/>
                <w:color w:val="auto"/>
              </w:rPr>
            </w:pPr>
          </w:p>
        </w:tc>
        <w:tc>
          <w:tcPr>
            <w:tcW w:w="47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Svai Sanford</w:t>
            </w:r>
          </w:p>
        </w:tc>
      </w:tr>
      <w:tr>
        <w:trPr>
          <w:trHeight w:val="189"/>
        </w:trPr>
        <w:tc>
          <w:tcPr>
            <w:tcW w:w="4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Executive Officer</w:t>
            </w:r>
          </w:p>
        </w:tc>
        <w:tc>
          <w:tcPr>
            <w:tcW w:w="1780" w:type="dxa"/>
            <w:vAlign w:val="bottom"/>
          </w:tcPr>
          <w:p>
            <w:pPr>
              <w:spacing w:after="0"/>
              <w:rPr>
                <w:sz w:val="16"/>
                <w:szCs w:val="16"/>
                <w:color w:val="auto"/>
              </w:rPr>
            </w:pPr>
          </w:p>
        </w:tc>
        <w:tc>
          <w:tcPr>
            <w:tcW w:w="47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8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4" w:name="page435"/>
    <w:bookmarkEnd w:id="4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lvl w:ilvl="1">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
      <w:numFmt w:val="bullet"/>
      <w:start w:val="1"/>
    </w:lvl>
  </w:abstractNum>
  <w:abstractNum w:abstractNumId="34">
    <w:nsid w:val="4BD8591A"/>
    <w:multiLevelType w:val="hybridMultilevel"/>
    <w:lvl w:ilvl="0">
      <w:lvlJc w:val="left"/>
      <w:lvlText w:val="•"/>
      <w:numFmt w:val="bullet"/>
      <w:start w:val="1"/>
    </w:lvl>
  </w:abstractNum>
  <w:abstractNum w:abstractNumId="35">
    <w:nsid w:val="78DF6A55"/>
    <w:multiLevelType w:val="hybridMultilevel"/>
    <w:lvl w:ilvl="0">
      <w:lvlJc w:val="left"/>
      <w:lvlText w:val="•"/>
      <w:numFmt w:val="bullet"/>
      <w:start w:val="1"/>
    </w:lvl>
  </w:abstractNum>
  <w:abstractNum w:abstractNumId="36">
    <w:nsid w:val="39B7AAA2"/>
    <w:multiLevelType w:val="hybridMultilevel"/>
    <w:lvl w:ilvl="0">
      <w:lvlJc w:val="left"/>
      <w:lvlText w:val="•"/>
      <w:numFmt w:val="bullet"/>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
      <w:numFmt w:val="bullet"/>
      <w:start w:val="1"/>
    </w:lvl>
  </w:abstractNum>
  <w:abstractNum w:abstractNumId="45">
    <w:nsid w:val="5675FF36"/>
    <w:multiLevelType w:val="hybridMultilevel"/>
    <w:lvl w:ilvl="0">
      <w:lvlJc w:val="left"/>
      <w:lvlText w:val="•"/>
      <w:numFmt w:val="bullet"/>
      <w:start w:val="1"/>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
      <w:numFmt w:val="bullet"/>
      <w:start w:val="1"/>
    </w:lvl>
  </w:abstractNum>
  <w:abstractNum w:abstractNumId="50">
    <w:nsid w:val="175DFCF0"/>
    <w:multiLevelType w:val="hybridMultilevel"/>
    <w:lvl w:ilvl="0">
      <w:lvlJc w:val="left"/>
      <w:lvlText w:val="•"/>
      <w:numFmt w:val="bullet"/>
      <w:start w:val="1"/>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
      <w:numFmt w:val="bullet"/>
      <w:start w:val="1"/>
    </w:lvl>
  </w:abstractNum>
  <w:abstractNum w:abstractNumId="55">
    <w:nsid w:val="56438D15"/>
    <w:multiLevelType w:val="hybridMultilevel"/>
    <w:lvl w:ilvl="0">
      <w:lvlJc w:val="left"/>
      <w:lvlText w:val="•"/>
      <w:numFmt w:val="bullet"/>
      <w:start w:val="1"/>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
      <w:numFmt w:val="bullet"/>
      <w:start w:val="1"/>
    </w:lvl>
  </w:abstractNum>
  <w:abstractNum w:abstractNumId="59">
    <w:nsid w:val="4DF72E4E"/>
    <w:multiLevelType w:val="hybridMultilevel"/>
    <w:lvl w:ilvl="0">
      <w:lvlJc w:val="left"/>
      <w:lvlText w:val="•"/>
      <w:numFmt w:val="bullet"/>
      <w:start w:val="1"/>
    </w:lvl>
  </w:abstractNum>
  <w:abstractNum w:abstractNumId="60">
    <w:nsid w:val="5046B5A9"/>
    <w:multiLevelType w:val="hybridMultilevel"/>
    <w:lvl w:ilvl="0">
      <w:lvlJc w:val="left"/>
      <w:lvlText w:val="•"/>
      <w:numFmt w:val="bullet"/>
      <w:start w:val="1"/>
    </w:lvl>
  </w:abstractNum>
  <w:abstractNum w:abstractNumId="61">
    <w:nsid w:val="5D888A08"/>
    <w:multiLevelType w:val="hybridMultilevel"/>
    <w:lvl w:ilvl="0">
      <w:lvlJc w:val="left"/>
      <w:lvlText w:val="•"/>
      <w:numFmt w:val="bullet"/>
      <w:start w:val="1"/>
    </w:lvl>
  </w:abstractNum>
  <w:abstractNum w:abstractNumId="62">
    <w:nsid w:val="2A082C70"/>
    <w:multiLevelType w:val="hybridMultilevel"/>
    <w:lvl w:ilvl="0">
      <w:lvlJc w:val="left"/>
      <w:lvlText w:val="*"/>
      <w:numFmt w:val="bullet"/>
      <w:start w:val="1"/>
    </w:lvl>
  </w:abstractNum>
  <w:abstractNum w:abstractNumId="63">
    <w:nsid w:val="5EC6AFD4"/>
    <w:multiLevelType w:val="hybridMultilevel"/>
    <w:lvl w:ilvl="0">
      <w:lvlJc w:val="left"/>
      <w:lvlText w:val="†"/>
      <w:numFmt w:val="bullet"/>
      <w:start w:val="1"/>
    </w:lvl>
  </w:abstractNum>
  <w:abstractNum w:abstractNumId="64">
    <w:nsid w:val="19E21BB2"/>
    <w:multiLevelType w:val="hybridMultilevel"/>
    <w:lvl w:ilvl="0">
      <w:lvlJc w:val="left"/>
      <w:lvlText w:val="+"/>
      <w:numFmt w:val="bullet"/>
      <w:start w:val="1"/>
    </w:lvl>
  </w:abstractNum>
  <w:abstractNum w:abstractNumId="65">
    <w:nsid w:val="75E0858A"/>
    <w:multiLevelType w:val="hybridMultilevel"/>
    <w:lvl w:ilvl="0">
      <w:lvlJc w:val="left"/>
      <w:lvlText w:val="•"/>
      <w:numFmt w:val="bullet"/>
      <w:start w:val="1"/>
    </w:lvl>
  </w:abstractNum>
  <w:abstractNum w:abstractNumId="66">
    <w:nsid w:val="57A61A29"/>
    <w:multiLevelType w:val="hybridMultilevel"/>
    <w:lvl w:ilvl="0">
      <w:lvlJc w:val="left"/>
      <w:lvlText w:val="(%1)"/>
      <w:numFmt w:val="lowerLetter"/>
      <w:start w:val="1"/>
    </w:lvl>
  </w:abstractNum>
  <w:abstractNum w:abstractNumId="67">
    <w:nsid w:val="5399C654"/>
    <w:multiLevelType w:val="hybridMultilevel"/>
    <w:lvl w:ilvl="0">
      <w:lvlJc w:val="left"/>
      <w:lvlText w:val="(%1)"/>
      <w:numFmt w:val="lowerRoman"/>
      <w:start w:val="1"/>
    </w:lvl>
  </w:abstractNum>
  <w:abstractNum w:abstractNumId="68">
    <w:nsid w:val="20EE1348"/>
    <w:multiLevelType w:val="hybridMultilevel"/>
    <w:lvl w:ilvl="0">
      <w:lvlJc w:val="left"/>
      <w:lvlText w:val="(%1)"/>
      <w:numFmt w:val="lowerRoman"/>
      <w:start w:val="1"/>
    </w:lvl>
  </w:abstractNum>
  <w:abstractNum w:abstractNumId="69">
    <w:nsid w:val="4427069A"/>
    <w:multiLevelType w:val="hybridMultilevel"/>
    <w:lvl w:ilvl="0">
      <w:lvlJc w:val="left"/>
      <w:lvlText w:val="(%1)"/>
      <w:numFmt w:val="lowerLetter"/>
      <w:start w:val="1"/>
    </w:lvl>
  </w:abstractNum>
  <w:abstractNum w:abstractNumId="70">
    <w:nsid w:val="B37E80A"/>
    <w:multiLevelType w:val="hybridMultilevel"/>
    <w:lvl w:ilvl="0">
      <w:lvlJc w:val="left"/>
      <w:lvlText w:val="(%1)"/>
      <w:numFmt w:val="lowerLetter"/>
      <w:start w:val="2"/>
    </w:lvl>
  </w:abstractNum>
  <w:abstractNum w:abstractNumId="71">
    <w:nsid w:val="2157F6BC"/>
    <w:multiLevelType w:val="hybridMultilevel"/>
    <w:lvl w:ilvl="0">
      <w:lvlJc w:val="left"/>
      <w:lvlText w:val="(%1)"/>
      <w:numFmt w:val="lowerLetter"/>
      <w:start w:val="1"/>
    </w:lvl>
  </w:abstractNum>
  <w:abstractNum w:abstractNumId="72">
    <w:nsid w:val="704E1DD5"/>
    <w:multiLevelType w:val="hybridMultilevel"/>
    <w:lvl w:ilvl="0">
      <w:lvlJc w:val="left"/>
      <w:lvlText w:val="(%1)"/>
      <w:numFmt w:val="lowerLetter"/>
      <w:start w:val="2"/>
    </w:lvl>
  </w:abstractNum>
  <w:abstractNum w:abstractNumId="73">
    <w:nsid w:val="57D2F10E"/>
    <w:multiLevelType w:val="hybridMultilevel"/>
    <w:lvl w:ilvl="0">
      <w:lvlJc w:val="left"/>
      <w:lvlText w:val="(%1)"/>
      <w:numFmt w:val="lowerLetter"/>
      <w:start w:val="1"/>
    </w:lvl>
  </w:abstractNum>
  <w:abstractNum w:abstractNumId="74">
    <w:nsid w:val="BFFAE18"/>
    <w:multiLevelType w:val="hybridMultilevel"/>
    <w:lvl w:ilvl="0">
      <w:lvlJc w:val="left"/>
      <w:lvlText w:val="(%1)"/>
      <w:numFmt w:val="lowerLetter"/>
      <w:start w:val="1"/>
    </w:lvl>
  </w:abstractNum>
  <w:abstractNum w:abstractNumId="75">
    <w:nsid w:val="E3E47A8"/>
    <w:multiLevelType w:val="hybridMultilevel"/>
    <w:lvl w:ilvl="0">
      <w:lvlJc w:val="left"/>
      <w:lvlText w:val="(%1)"/>
      <w:numFmt w:val="lowerLetter"/>
      <w:start w:val="3"/>
    </w:lvl>
  </w:abstractNum>
  <w:abstractNum w:abstractNumId="76">
    <w:nsid w:val="2E48F044"/>
    <w:multiLevelType w:val="hybridMultilevel"/>
    <w:lvl w:ilvl="0">
      <w:lvlJc w:val="left"/>
      <w:lvlText w:val="%1"/>
      <w:numFmt w:val="lowerLetter"/>
      <w:start w:val="1"/>
    </w:lvl>
    <w:lvl w:ilvl="1">
      <w:lvlJc w:val="left"/>
      <w:lvlText w:val="(%2)"/>
      <w:numFmt w:val="lowerLetter"/>
      <w:start w:val="1"/>
    </w:lvl>
  </w:abstractNum>
  <w:abstractNum w:abstractNumId="77">
    <w:nsid w:val="49D0FEAC"/>
    <w:multiLevelType w:val="hybridMultilevel"/>
    <w:lvl w:ilvl="0">
      <w:lvlJc w:val="left"/>
      <w:lvlText w:val="(%1)"/>
      <w:numFmt w:val="lowerLetter"/>
      <w:start w:val="9"/>
    </w:lvl>
    <w:lvl w:ilvl="1">
      <w:lvlJc w:val="left"/>
      <w:lvlText w:val="%2"/>
      <w:numFmt w:val="lowerLetter"/>
      <w:start w:val="1"/>
    </w:lvl>
  </w:abstractNum>
  <w:abstractNum w:abstractNumId="78">
    <w:nsid w:val="4BEE5A5B"/>
    <w:multiLevelType w:val="hybridMultilevel"/>
    <w:lvl w:ilvl="0">
      <w:lvlJc w:val="left"/>
      <w:lvlText w:val="%1"/>
      <w:numFmt w:val="decimal"/>
      <w:start w:val="1"/>
    </w:lvl>
    <w:lvl w:ilvl="1">
      <w:lvlJc w:val="left"/>
      <w:lvlText w:val="(%2)"/>
      <w:numFmt w:val="lowerLetter"/>
      <w:start w:val="3"/>
    </w:lvl>
  </w:abstractNum>
  <w:abstractNum w:abstractNumId="79">
    <w:nsid w:val="5551B9F3"/>
    <w:multiLevelType w:val="hybridMultilevel"/>
    <w:lvl w:ilvl="0">
      <w:lvlJc w:val="left"/>
      <w:lvlText w:val="(%1)"/>
      <w:numFmt w:val="decimal"/>
      <w:start w:val="4"/>
    </w:lvl>
    <w:lvl w:ilvl="1">
      <w:lvlJc w:val="left"/>
      <w:lvlText w:val="%2"/>
      <w:numFmt w:val="lowerLetter"/>
      <w:start w:val="1"/>
    </w:lvl>
  </w:abstractNum>
  <w:abstractNum w:abstractNumId="80">
    <w:nsid w:val="24F6AB8E"/>
    <w:multiLevelType w:val="hybridMultilevel"/>
    <w:lvl w:ilvl="0">
      <w:lvlJc w:val="left"/>
      <w:lvlText w:val="(%1)"/>
      <w:numFmt w:val="lowerLetter"/>
      <w:start w:val="1"/>
    </w:lvl>
  </w:abstractNum>
  <w:abstractNum w:abstractNumId="81">
    <w:nsid w:val="634C574C"/>
    <w:multiLevelType w:val="hybridMultilevel"/>
    <w:lvl w:ilvl="0">
      <w:lvlJc w:val="left"/>
      <w:lvlText w:val="(%1)"/>
      <w:numFmt w:val="lowerLetter"/>
      <w:start w:val="1"/>
    </w:lvl>
  </w:abstractNum>
  <w:abstractNum w:abstractNumId="82">
    <w:nsid w:val="24E99DD7"/>
    <w:multiLevelType w:val="hybridMultilevel"/>
    <w:lvl w:ilvl="0">
      <w:lvlJc w:val="left"/>
      <w:lvlText w:val="(%1)"/>
      <w:numFmt w:val="lowerLetter"/>
      <w:start w:val="1"/>
    </w:lvl>
  </w:abstractNum>
  <w:abstractNum w:abstractNumId="83">
    <w:nsid w:val="2A31B62D"/>
    <w:multiLevelType w:val="hybridMultilevel"/>
    <w:lvl w:ilvl="0">
      <w:lvlJc w:val="left"/>
      <w:lvlText w:val="(%1)"/>
      <w:numFmt w:val="lowerLetter"/>
      <w:start w:val="2"/>
    </w:lvl>
    <w:lvl w:ilvl="1">
      <w:lvlJc w:val="left"/>
      <w:lvlText w:val="(%2)"/>
      <w:numFmt w:val="lowerLetter"/>
      <w:start w:val="35"/>
    </w:lvl>
  </w:abstractNum>
  <w:abstractNum w:abstractNumId="84">
    <w:nsid w:val="1849C29B"/>
    <w:multiLevelType w:val="hybridMultilevel"/>
    <w:lvl w:ilvl="0">
      <w:lvlJc w:val="left"/>
      <w:lvlText w:val="(%1)"/>
      <w:numFmt w:val="lowerLetter"/>
      <w:start w:val="1"/>
    </w:lvl>
  </w:abstractNum>
  <w:abstractNum w:abstractNumId="85">
    <w:nsid w:val="7DFF9D09"/>
    <w:multiLevelType w:val="hybridMultilevel"/>
    <w:lvl w:ilvl="0">
      <w:lvlJc w:val="left"/>
      <w:lvlText w:val="(%1)"/>
      <w:numFmt w:val="lowerLetter"/>
      <w:start w:val="4"/>
    </w:lvl>
  </w:abstractNum>
  <w:abstractNum w:abstractNumId="86">
    <w:nsid w:val="754342"/>
    <w:multiLevelType w:val="hybridMultilevel"/>
    <w:lvl w:ilvl="0">
      <w:lvlJc w:val="left"/>
      <w:lvlText w:val="(%1)"/>
      <w:numFmt w:val="lowerLetter"/>
      <w:start w:val="1"/>
    </w:lvl>
  </w:abstractNum>
  <w:abstractNum w:abstractNumId="87">
    <w:nsid w:val="69E7F3E5"/>
    <w:multiLevelType w:val="hybridMultilevel"/>
    <w:lvl w:ilvl="0">
      <w:lvlJc w:val="left"/>
      <w:lvlText w:val="%1."/>
      <w:numFmt w:val="decimal"/>
      <w:start w:val="1"/>
    </w:lvl>
  </w:abstractNum>
  <w:abstractNum w:abstractNumId="88">
    <w:nsid w:val="2A6DE806"/>
    <w:multiLevelType w:val="hybridMultilevel"/>
    <w:lvl w:ilvl="0">
      <w:lvlJc w:val="left"/>
      <w:lvlText w:val="%1."/>
      <w:numFmt w:val="decimal"/>
      <w:start w:val="5"/>
    </w:lvl>
  </w:abstractNum>
  <w:abstractNum w:abstractNumId="89">
    <w:nsid w:val="1816F8C4"/>
    <w:multiLevelType w:val="hybridMultilevel"/>
    <w:lvl w:ilvl="0">
      <w:lvlJc w:val="left"/>
      <w:lvlText w:val="%1."/>
      <w:numFmt w:val="decimal"/>
      <w:start w:val="1"/>
    </w:lvl>
  </w:abstractNum>
  <w:abstractNum w:abstractNumId="90">
    <w:nsid w:val="37DF2233"/>
    <w:multiLevelType w:val="hybridMultilevel"/>
    <w:lvl w:ilvl="0">
      <w:lvlJc w:val="left"/>
      <w:lvlText w:val="%1."/>
      <w:numFmt w:val="decimal"/>
      <w:start w:val="2"/>
    </w:lvl>
  </w:abstractNum>
  <w:abstractNum w:abstractNumId="91">
    <w:nsid w:val="7AB49DAF"/>
    <w:multiLevelType w:val="hybridMultilevel"/>
    <w:lvl w:ilvl="0">
      <w:lvlJc w:val="left"/>
      <w:lvlText w:val="(%1)"/>
      <w:numFmt w:val="lowerLetter"/>
      <w:start w:val="15"/>
    </w:lvl>
  </w:abstractNum>
  <w:abstractNum w:abstractNumId="92">
    <w:nsid w:val="759F82CD"/>
    <w:multiLevelType w:val="hybridMultilevel"/>
    <w:lvl w:ilvl="0">
      <w:lvlJc w:val="left"/>
      <w:lvlText w:val="%1."/>
      <w:numFmt w:val="decimal"/>
      <w:start w:val="3"/>
    </w:lvl>
  </w:abstractNum>
  <w:abstractNum w:abstractNumId="93">
    <w:nsid w:val="61E74EA3"/>
    <w:multiLevelType w:val="hybridMultilevel"/>
    <w:lvl w:ilvl="0">
      <w:lvlJc w:val="left"/>
      <w:lvlText w:val="%1"/>
      <w:numFmt w:val="lowerLetter"/>
      <w:start w:val="1"/>
    </w:lvl>
    <w:lvl w:ilvl="1">
      <w:lvlJc w:val="left"/>
      <w:lvlText w:val="(%2)"/>
      <w:numFmt w:val="lowerRoman"/>
      <w:start w:val="1"/>
    </w:lvl>
  </w:abstractNum>
  <w:abstractNum w:abstractNumId="94">
    <w:nsid w:val="597B4D84"/>
    <w:multiLevelType w:val="hybridMultilevel"/>
    <w:lvl w:ilvl="0">
      <w:lvlJc w:val="left"/>
      <w:lvlText w:val="(%1)"/>
      <w:numFmt w:val="lowerLetter"/>
      <w:start w:val="25"/>
    </w:lvl>
    <w:lvl w:ilvl="1">
      <w:lvlJc w:val="left"/>
      <w:lvlText w:val="%2"/>
      <w:numFmt w:val="lowerRoman"/>
      <w:start w:val="1"/>
    </w:lvl>
  </w:abstractNum>
  <w:abstractNum w:abstractNumId="95">
    <w:nsid w:val="F819E7F"/>
    <w:multiLevelType w:val="hybridMultilevel"/>
    <w:lvl w:ilvl="0">
      <w:lvlJc w:val="left"/>
      <w:lvlText w:val="%1"/>
      <w:numFmt w:val="lowerRoman"/>
      <w:start w:val="1"/>
    </w:lvl>
    <w:lvl w:ilvl="1">
      <w:lvlJc w:val="left"/>
      <w:lvlText w:val="(%2)"/>
      <w:numFmt w:val="lowerRoman"/>
      <w:start w:val="1"/>
    </w:lvl>
  </w:abstractNum>
  <w:abstractNum w:abstractNumId="96">
    <w:nsid w:val="57C7D42D"/>
    <w:multiLevelType w:val="hybridMultilevel"/>
    <w:lvl w:ilvl="0">
      <w:lvlJc w:val="left"/>
      <w:lvlText w:val="(%1)"/>
      <w:numFmt w:val="lowerRoman"/>
      <w:start w:val="5"/>
    </w:lvl>
    <w:lvl w:ilvl="1">
      <w:lvlJc w:val="left"/>
      <w:lvlText w:val="%2"/>
      <w:numFmt w:val="lowerRoman"/>
      <w:start w:val="1"/>
    </w:lvl>
  </w:abstractNum>
  <w:abstractNum w:abstractNumId="97">
    <w:nsid w:val="312167AD"/>
    <w:multiLevelType w:val="hybridMultilevel"/>
    <w:lvl w:ilvl="0">
      <w:lvlJc w:val="left"/>
      <w:lvlText w:val="(%1)"/>
      <w:numFmt w:val="lowerRoman"/>
      <w:start w:val="1"/>
    </w:lvl>
  </w:abstractNum>
  <w:abstractNum w:abstractNumId="98">
    <w:nsid w:val="631B64D4"/>
    <w:multiLevelType w:val="hybridMultilevel"/>
    <w:lvl w:ilvl="0">
      <w:lvlJc w:val="left"/>
      <w:lvlText w:val="(%1)"/>
      <w:numFmt w:val="lowerLetter"/>
      <w:start w:val="1"/>
    </w:lvl>
    <w:lvl w:ilvl="1">
      <w:lvlJc w:val="left"/>
      <w:lvlText w:val="(%2)"/>
      <w:numFmt w:val="lowerRoman"/>
      <w:start w:val="1"/>
    </w:lvl>
  </w:abstractNum>
  <w:abstractNum w:abstractNumId="99">
    <w:nsid w:val="78B5E776"/>
    <w:multiLevelType w:val="hybridMultilevel"/>
    <w:lvl w:ilvl="0">
      <w:lvlJc w:val="left"/>
      <w:lvlText w:val="(%1)"/>
      <w:numFmt w:val="lowerLetter"/>
      <w:start w:val="2"/>
    </w:lvl>
    <w:lvl w:ilvl="1">
      <w:lvlJc w:val="left"/>
      <w:lvlText w:val="(%2)"/>
      <w:numFmt w:val="lowerRoman"/>
      <w:start w:val="1"/>
    </w:lvl>
  </w:abstractNum>
  <w:abstractNum w:abstractNumId="100">
    <w:nsid w:val="75486E47"/>
    <w:multiLevelType w:val="hybridMultilevel"/>
    <w:lvl w:ilvl="0">
      <w:lvlJc w:val="left"/>
      <w:lvlText w:val="(%1)"/>
      <w:numFmt w:val="lowerLetter"/>
      <w:start w:val="4"/>
    </w:lvl>
  </w:abstractNum>
  <w:abstractNum w:abstractNumId="101">
    <w:nsid w:val="6E534CDE"/>
    <w:multiLevelType w:val="hybridMultilevel"/>
    <w:lvl w:ilvl="0">
      <w:lvlJc w:val="left"/>
      <w:lvlText w:val="(%1)"/>
      <w:numFmt w:val="lowerLetter"/>
      <w:start w:val="1"/>
    </w:lvl>
    <w:lvl w:ilvl="1">
      <w:lvlJc w:val="left"/>
      <w:lvlText w:val="(%2)"/>
      <w:numFmt w:val="lowerRoman"/>
      <w:start w:val="1"/>
    </w:lvl>
  </w:abstractNum>
  <w:abstractNum w:abstractNumId="102">
    <w:nsid w:val="1A0DDE32"/>
    <w:multiLevelType w:val="hybridMultilevel"/>
    <w:lvl w:ilvl="0">
      <w:lvlJc w:val="left"/>
      <w:lvlText w:val="(%1)"/>
      <w:numFmt w:val="lowerLetter"/>
      <w:start w:val="2"/>
    </w:lvl>
    <w:lvl w:ilvl="1">
      <w:lvlJc w:val="left"/>
      <w:lvlText w:val="(%2)"/>
      <w:numFmt w:val="lowerRoman"/>
      <w:start w:val="1"/>
    </w:lvl>
  </w:abstractNum>
  <w:abstractNum w:abstractNumId="103">
    <w:nsid w:val="65968C1C"/>
    <w:multiLevelType w:val="hybridMultilevel"/>
    <w:lvl w:ilvl="0">
      <w:lvlJc w:val="left"/>
      <w:lvlText w:val="%1"/>
      <w:numFmt w:val="lowerLetter"/>
      <w:start w:val="1"/>
    </w:lvl>
    <w:lvl w:ilvl="1">
      <w:lvlJc w:val="left"/>
      <w:lvlText w:val="(%2)"/>
      <w:numFmt w:val="lowerRoman"/>
      <w:start w:val="4"/>
    </w:lvl>
  </w:abstractNum>
  <w:abstractNum w:abstractNumId="104">
    <w:nsid w:val="46263DEC"/>
    <w:multiLevelType w:val="hybridMultilevel"/>
    <w:lvl w:ilvl="0">
      <w:lvlJc w:val="left"/>
      <w:lvlText w:val="(%1)"/>
      <w:numFmt w:val="lowerLetter"/>
      <w:start w:val="4"/>
    </w:lvl>
    <w:lvl w:ilvl="1">
      <w:lvlJc w:val="left"/>
      <w:lvlText w:val="(%2)"/>
      <w:numFmt w:val="lowerRoman"/>
      <w:start w:val="1"/>
    </w:lvl>
  </w:abstractNum>
  <w:abstractNum w:abstractNumId="105">
    <w:nsid w:val="260D8C4A"/>
    <w:multiLevelType w:val="hybridMultilevel"/>
    <w:lvl w:ilvl="0">
      <w:lvlJc w:val="left"/>
      <w:lvlText w:val="(%1)"/>
      <w:numFmt w:val="lowerLetter"/>
      <w:start w:val="1"/>
    </w:lvl>
  </w:abstractNum>
  <w:abstractNum w:abstractNumId="106">
    <w:nsid w:val="73D4D3C4"/>
    <w:multiLevelType w:val="hybridMultilevel"/>
    <w:lvl w:ilvl="0">
      <w:lvlJc w:val="left"/>
      <w:lvlText w:val="(%1)"/>
      <w:numFmt w:val="lowerLetter"/>
      <w:start w:val="1"/>
    </w:lvl>
  </w:abstractNum>
  <w:abstractNum w:abstractNumId="107">
    <w:nsid w:val="746F2E30"/>
    <w:multiLevelType w:val="hybridMultilevel"/>
    <w:lvl w:ilvl="0">
      <w:lvlJc w:val="left"/>
      <w:lvlText w:val="(%1)"/>
      <w:numFmt w:val="lowerLetter"/>
      <w:start w:val="3"/>
    </w:lvl>
    <w:lvl w:ilvl="1">
      <w:lvlJc w:val="left"/>
      <w:lvlText w:val="(%2)"/>
      <w:numFmt w:val="lowerRoman"/>
      <w:start w:val="1"/>
    </w:lvl>
  </w:abstractNum>
  <w:abstractNum w:abstractNumId="108">
    <w:nsid w:val="6FDE8AF6"/>
    <w:multiLevelType w:val="hybridMultilevel"/>
    <w:lvl w:ilvl="0">
      <w:lvlJc w:val="left"/>
      <w:lvlText w:val="(%1)"/>
      <w:numFmt w:val="lowerLetter"/>
      <w:start w:val="1"/>
    </w:lvl>
  </w:abstractNum>
  <w:abstractNum w:abstractNumId="109">
    <w:nsid w:val="3FC32E20"/>
    <w:multiLevelType w:val="hybridMultilevel"/>
    <w:lvl w:ilvl="0">
      <w:lvlJc w:val="left"/>
      <w:lvlText w:val="(%1)"/>
      <w:numFmt w:val="lowerLetter"/>
      <w:start w:val="7"/>
    </w:lvl>
    <w:lvl w:ilvl="1">
      <w:lvlJc w:val="left"/>
      <w:lvlText w:val="(%2)"/>
      <w:numFmt w:val="lowerRoman"/>
      <w:start w:val="1"/>
    </w:lvl>
  </w:abstractNum>
  <w:abstractNum w:abstractNumId="110">
    <w:nsid w:val="49C0E823"/>
    <w:multiLevelType w:val="hybridMultilevel"/>
    <w:lvl w:ilvl="0">
      <w:lvlJc w:val="left"/>
      <w:lvlText w:val="(%1)"/>
      <w:numFmt w:val="lowerLetter"/>
      <w:start w:val="1"/>
    </w:lvl>
  </w:abstractNum>
  <w:abstractNum w:abstractNumId="111">
    <w:nsid w:val="14D53685"/>
    <w:multiLevelType w:val="hybridMultilevel"/>
    <w:lvl w:ilvl="0">
      <w:lvlJc w:val="left"/>
      <w:lvlText w:val="(%1)"/>
      <w:numFmt w:val="lowerLetter"/>
      <w:start w:val="1"/>
    </w:lvl>
  </w:abstractNum>
  <w:abstractNum w:abstractNumId="112">
    <w:nsid w:val="230F856C"/>
    <w:multiLevelType w:val="hybridMultilevel"/>
    <w:lvl w:ilvl="0">
      <w:lvlJc w:val="left"/>
      <w:lvlText w:val="(%1)"/>
      <w:numFmt w:val="lowerLetter"/>
      <w:start w:val="1"/>
    </w:lvl>
  </w:abstractNum>
  <w:abstractNum w:abstractNumId="113">
    <w:nsid w:val="6EAA85FB"/>
    <w:multiLevelType w:val="hybridMultilevel"/>
    <w:lvl w:ilvl="0">
      <w:lvlJc w:val="left"/>
      <w:lvlText w:val="(%1)"/>
      <w:numFmt w:val="lowerLetter"/>
      <w:start w:val="4"/>
    </w:lvl>
  </w:abstractNum>
  <w:abstractNum w:abstractNumId="114">
    <w:nsid w:val="3F06ECB2"/>
    <w:multiLevelType w:val="hybridMultilevel"/>
    <w:lvl w:ilvl="0">
      <w:lvlJc w:val="left"/>
      <w:lvlText w:val="(%1)"/>
      <w:numFmt w:val="lowerLetter"/>
      <w:start w:val="2"/>
    </w:lvl>
  </w:abstractNum>
  <w:abstractNum w:abstractNumId="115">
    <w:nsid w:val="3B594807"/>
    <w:multiLevelType w:val="hybridMultilevel"/>
    <w:lvl w:ilvl="0">
      <w:lvlJc w:val="left"/>
      <w:lvlText w:val="(%1)"/>
      <w:numFmt w:val="lowerRoman"/>
      <w:start w:val="3"/>
    </w:lvl>
  </w:abstractNum>
  <w:abstractNum w:abstractNumId="116">
    <w:nsid w:val="6CAA2304"/>
    <w:multiLevelType w:val="hybridMultilevel"/>
    <w:lvl w:ilvl="0">
      <w:lvlJc w:val="left"/>
      <w:lvlText w:val="(%1)"/>
      <w:numFmt w:val="lowerLetter"/>
      <w:start w:val="1"/>
    </w:lvl>
  </w:abstractNum>
  <w:abstractNum w:abstractNumId="117">
    <w:nsid w:val="3F7C2FF4"/>
    <w:multiLevelType w:val="hybridMultilevel"/>
    <w:lvl w:ilvl="0">
      <w:lvlJc w:val="left"/>
      <w:lvlText w:val="%1"/>
      <w:numFmt w:val="lowerLetter"/>
      <w:start w:val="1"/>
    </w:lvl>
    <w:lvl w:ilvl="1">
      <w:lvlJc w:val="left"/>
      <w:lvlText w:val="(%2)"/>
      <w:numFmt w:val="lowerLetter"/>
      <w:start w:val="1"/>
    </w:lvl>
  </w:abstractNum>
  <w:abstractNum w:abstractNumId="118">
    <w:nsid w:val="25413BEC"/>
    <w:multiLevelType w:val="hybridMultilevel"/>
    <w:lvl w:ilvl="0">
      <w:lvlJc w:val="left"/>
      <w:lvlText w:val="(%1)"/>
      <w:numFmt w:val="lowerLetter"/>
      <w:start w:val="9"/>
    </w:lvl>
    <w:lvl w:ilvl="1">
      <w:lvlJc w:val="left"/>
      <w:lvlText w:val="%2"/>
      <w:numFmt w:val="lowerLetter"/>
      <w:start w:val="1"/>
    </w:lvl>
  </w:abstractNum>
  <w:abstractNum w:abstractNumId="119">
    <w:nsid w:val="17180B0B"/>
    <w:multiLevelType w:val="hybridMultilevel"/>
    <w:lvl w:ilvl="0">
      <w:lvlJc w:val="left"/>
      <w:lvlText w:val="(%1)"/>
      <w:numFmt w:val="lowerLetter"/>
      <w:start w:val="2"/>
    </w:lvl>
  </w:abstractNum>
  <w:abstractNum w:abstractNumId="120">
    <w:nsid w:val="579328B9"/>
    <w:multiLevelType w:val="hybridMultilevel"/>
    <w:lvl w:ilvl="0">
      <w:lvlJc w:val="left"/>
      <w:lvlText w:val="(%1)"/>
      <w:numFmt w:val="lowerLetter"/>
      <w:start w:val="1"/>
    </w:lvl>
  </w:abstractNum>
  <w:abstractNum w:abstractNumId="121">
    <w:nsid w:val="5D205E20"/>
    <w:multiLevelType w:val="hybridMultilevel"/>
    <w:lvl w:ilvl="0">
      <w:lvlJc w:val="left"/>
      <w:lvlText w:val="(%1)"/>
      <w:numFmt w:val="lowerLetter"/>
      <w:start w:val="1"/>
    </w:lvl>
  </w:abstractNum>
  <w:abstractNum w:abstractNumId="122">
    <w:nsid w:val="11CCA8BA"/>
    <w:multiLevelType w:val="hybridMultilevel"/>
    <w:lvl w:ilvl="0">
      <w:lvlJc w:val="left"/>
      <w:lvlText w:val="(%1)"/>
      <w:numFmt w:val="lowerLetter"/>
      <w:start w:val="6"/>
    </w:lvl>
  </w:abstractNum>
  <w:abstractNum w:abstractNumId="123">
    <w:nsid w:val="4D32AB86"/>
    <w:multiLevelType w:val="hybridMultilevel"/>
    <w:lvl w:ilvl="0">
      <w:lvlJc w:val="left"/>
      <w:lvlText w:val="(%1)"/>
      <w:numFmt w:val="lowerLetter"/>
      <w:start w:val="1"/>
    </w:lvl>
  </w:abstractNum>
  <w:abstractNum w:abstractNumId="124">
    <w:nsid w:val="3F07ACC3"/>
    <w:multiLevelType w:val="hybridMultilevel"/>
    <w:lvl w:ilvl="0">
      <w:lvlJc w:val="left"/>
      <w:lvlText w:val="(%1)"/>
      <w:numFmt w:val="lowerLetter"/>
      <w:start w:val="1"/>
    </w:lvl>
  </w:abstractNum>
  <w:abstractNum w:abstractNumId="125">
    <w:nsid w:val="6B47F63E"/>
    <w:multiLevelType w:val="hybridMultilevel"/>
    <w:lvl w:ilvl="0">
      <w:lvlJc w:val="left"/>
      <w:lvlText w:val="(%1)"/>
      <w:numFmt w:val="lowerLetter"/>
      <w:start w:val="3"/>
    </w:lvl>
  </w:abstractNum>
  <w:abstractNum w:abstractNumId="126">
    <w:nsid w:val="5CB44A05"/>
    <w:multiLevelType w:val="hybridMultilevel"/>
    <w:lvl w:ilvl="0">
      <w:lvlJc w:val="left"/>
      <w:lvlText w:val="(%1)"/>
      <w:numFmt w:val="lowerLetter"/>
      <w:start w:val="1"/>
    </w:lvl>
  </w:abstractNum>
  <w:abstractNum w:abstractNumId="127">
    <w:nsid w:val="16CF80F1"/>
    <w:multiLevelType w:val="hybridMultilevel"/>
    <w:lvl w:ilvl="0">
      <w:lvlJc w:val="left"/>
      <w:lvlText w:val="(%1)"/>
      <w:numFmt w:val="lowerRoman"/>
      <w:start w:val="1"/>
    </w:lvl>
  </w:abstractNum>
  <w:abstractNum w:abstractNumId="128">
    <w:nsid w:val="1C695DEC"/>
    <w:multiLevelType w:val="hybridMultilevel"/>
    <w:lvl w:ilvl="0">
      <w:lvlJc w:val="left"/>
      <w:lvlText w:val="(%1)"/>
      <w:numFmt w:val="lowerLetter"/>
      <w:start w:val="4"/>
    </w:lvl>
  </w:abstractNum>
  <w:abstractNum w:abstractNumId="129">
    <w:nsid w:val="3FCFAED9"/>
    <w:multiLevelType w:val="hybridMultilevel"/>
    <w:lvl w:ilvl="0">
      <w:lvlJc w:val="left"/>
      <w:lvlText w:val="(%1)"/>
      <w:numFmt w:val="lowerLetter"/>
      <w:start w:val="1"/>
    </w:lvl>
  </w:abstractNum>
  <w:abstractNum w:abstractNumId="130">
    <w:nsid w:val="F856867"/>
    <w:multiLevelType w:val="hybridMultilevel"/>
    <w:lvl w:ilvl="0">
      <w:lvlJc w:val="left"/>
      <w:lvlText w:val="(%1)"/>
      <w:numFmt w:val="lowerLetter"/>
      <w:start w:val="2"/>
    </w:lvl>
  </w:abstractNum>
  <w:abstractNum w:abstractNumId="131">
    <w:nsid w:val="11B1CC33"/>
    <w:multiLevelType w:val="hybridMultilevel"/>
    <w:lvl w:ilvl="0">
      <w:lvlJc w:val="left"/>
      <w:lvlText w:val="(%1)"/>
      <w:numFmt w:val="lowerLetter"/>
      <w:start w:val="3"/>
    </w:lvl>
  </w:abstractNum>
  <w:abstractNum w:abstractNumId="132">
    <w:nsid w:val="2E22FBB7"/>
    <w:multiLevelType w:val="hybridMultilevel"/>
    <w:lvl w:ilvl="0">
      <w:lvlJc w:val="left"/>
      <w:lvlText w:val="(%1)"/>
      <w:numFmt w:val="lowerLetter"/>
      <w:start w:val="1"/>
    </w:lvl>
  </w:abstractNum>
  <w:abstractNum w:abstractNumId="133">
    <w:nsid w:val="29934699"/>
    <w:multiLevelType w:val="hybridMultilevel"/>
    <w:lvl w:ilvl="0">
      <w:lvlJc w:val="left"/>
      <w:lvlText w:val="(%1)"/>
      <w:numFmt w:val="lowerLetter"/>
      <w:start w:val="1"/>
    </w:lvl>
    <w:lvl w:ilvl="1">
      <w:lvlJc w:val="left"/>
      <w:lvlText w:val="(%2)"/>
      <w:numFmt w:val="lowerRoman"/>
      <w:start w:val="1"/>
    </w:lvl>
  </w:abstractNum>
  <w:abstractNum w:abstractNumId="134">
    <w:nsid w:val="77485850"/>
    <w:multiLevelType w:val="hybridMultilevel"/>
    <w:lvl w:ilvl="0">
      <w:lvlJc w:val="left"/>
      <w:lvlText w:val="(%1)"/>
      <w:numFmt w:val="lowerLetter"/>
      <w:start w:val="1"/>
    </w:lvl>
  </w:abstractNum>
  <w:abstractNum w:abstractNumId="135">
    <w:nsid w:val="744939A3"/>
    <w:multiLevelType w:val="hybridMultilevel"/>
    <w:lvl w:ilvl="0">
      <w:lvlJc w:val="left"/>
      <w:lvlText w:val="(%1)"/>
      <w:numFmt w:val="lowerLetter"/>
      <w:start w:val="1"/>
    </w:lvl>
  </w:abstractNum>
  <w:abstractNum w:abstractNumId="136">
    <w:nsid w:val="4FA0D2E3"/>
    <w:multiLevelType w:val="hybridMultilevel"/>
    <w:lvl w:ilvl="0">
      <w:lvlJc w:val="left"/>
      <w:lvlText w:val="(%1)"/>
      <w:numFmt w:val="lowerLetter"/>
      <w:start w:val="1"/>
    </w:lvl>
  </w:abstractNum>
  <w:abstractNum w:abstractNumId="137">
    <w:nsid w:val="6B1D2C14"/>
    <w:multiLevelType w:val="hybridMultilevel"/>
    <w:lvl w:ilvl="0">
      <w:lvlJc w:val="left"/>
      <w:lvlText w:val="(%1)"/>
      <w:numFmt w:val="lowerLetter"/>
      <w:start w:val="1"/>
    </w:lvl>
  </w:abstractNum>
  <w:abstractNum w:abstractNumId="138">
    <w:nsid w:val="68B867D3"/>
    <w:multiLevelType w:val="hybridMultilevel"/>
    <w:lvl w:ilvl="0">
      <w:lvlJc w:val="left"/>
      <w:lvlText w:val="(%1)"/>
      <w:numFmt w:val="lowerLetter"/>
      <w:start w:val="1"/>
    </w:lvl>
  </w:abstractNum>
  <w:abstractNum w:abstractNumId="139">
    <w:nsid w:val="3F7F5DD9"/>
    <w:multiLevelType w:val="hybridMultilevel"/>
    <w:lvl w:ilvl="0">
      <w:lvlJc w:val="left"/>
      <w:lvlText w:val="(%1)"/>
      <w:numFmt w:val="lowerLetter"/>
      <w:start w:val="1"/>
    </w:lvl>
    <w:lvl w:ilvl="1">
      <w:lvlJc w:val="left"/>
      <w:lvlText w:val="(%2)"/>
      <w:numFmt w:val="lowerLetter"/>
      <w:start w:val="9"/>
    </w:lvl>
  </w:abstractNum>
  <w:abstractNum w:abstractNumId="140">
    <w:nsid w:val="2AE05A34"/>
    <w:multiLevelType w:val="hybridMultilevel"/>
    <w:lvl w:ilvl="0">
      <w:lvlJc w:val="left"/>
      <w:lvlText w:val="%1"/>
      <w:numFmt w:val="lowerLetter"/>
      <w:start w:val="1"/>
    </w:lvl>
    <w:lvl w:ilvl="1">
      <w:lvlJc w:val="left"/>
      <w:lvlText w:val="(%2)"/>
      <w:numFmt w:val="lowerLetter"/>
      <w:start w:val="35"/>
    </w:lvl>
  </w:abstractNum>
  <w:abstractNum w:abstractNumId="141">
    <w:nsid w:val="32794FF7"/>
    <w:multiLevelType w:val="hybridMultilevel"/>
    <w:lvl w:ilvl="0">
      <w:lvlJc w:val="left"/>
      <w:lvlText w:val="(%1)"/>
      <w:numFmt w:val="lowerLetter"/>
      <w:start w:val="2"/>
    </w:lvl>
    <w:lvl w:ilvl="1">
      <w:lvlJc w:val="left"/>
      <w:lvlText w:val="%2"/>
      <w:numFmt w:val="lowerLetter"/>
      <w:start w:val="1"/>
    </w:lvl>
  </w:abstractNum>
  <w:abstractNum w:abstractNumId="142">
    <w:nsid w:val="5454945E"/>
    <w:multiLevelType w:val="hybridMultilevel"/>
    <w:lvl w:ilvl="0">
      <w:lvlJc w:val="left"/>
      <w:lvlText w:val="(%1)"/>
      <w:numFmt w:val="lowerLetter"/>
      <w:start w:val="1"/>
    </w:lvl>
    <w:lvl w:ilvl="1">
      <w:lvlJc w:val="left"/>
      <w:lvlText w:val="(%2)"/>
      <w:numFmt w:val="lowerRoman"/>
      <w:start w:val="1"/>
    </w:lvl>
  </w:abstractNum>
  <w:abstractNum w:abstractNumId="143">
    <w:nsid w:val="4DEFDFA0"/>
    <w:multiLevelType w:val="hybridMultilevel"/>
    <w:lvl w:ilvl="0">
      <w:lvlJc w:val="left"/>
      <w:lvlText w:val="%1."/>
      <w:numFmt w:val="decimal"/>
      <w:start w:val="1"/>
    </w:lvl>
    <w:lvl w:ilvl="1">
      <w:lvlJc w:val="left"/>
      <w:lvlText w:val="(%2)"/>
      <w:numFmt w:val="lowerLetter"/>
      <w:start w:val="1"/>
    </w:lvl>
  </w:abstractNum>
  <w:abstractNum w:abstractNumId="144">
    <w:nsid w:val="2123D5F2"/>
    <w:multiLevelType w:val="hybridMultilevel"/>
    <w:lvl w:ilvl="0">
      <w:lvlJc w:val="left"/>
      <w:lvlText w:val="%1"/>
      <w:numFmt w:val="decimal"/>
      <w:start w:val="1"/>
    </w:lvl>
    <w:lvl w:ilvl="1">
      <w:lvlJc w:val="left"/>
      <w:lvlText w:val="(%2)"/>
      <w:numFmt w:val="lowerLetter"/>
      <w:start w:val="2"/>
    </w:lvl>
  </w:abstractNum>
  <w:abstractNum w:abstractNumId="145">
    <w:nsid w:val="135B8110"/>
    <w:multiLevelType w:val="hybridMultilevel"/>
    <w:lvl w:ilvl="0">
      <w:lvlJc w:val="left"/>
      <w:lvlText w:val="%1."/>
      <w:numFmt w:val="decimal"/>
      <w:start w:val="6"/>
    </w:lvl>
    <w:lvl w:ilvl="1">
      <w:lvlJc w:val="left"/>
      <w:lvlText w:val="(%2)"/>
      <w:numFmt w:val="lowerLetter"/>
      <w:start w:val="1"/>
    </w:lvl>
  </w:abstractNum>
  <w:abstractNum w:abstractNumId="146">
    <w:nsid w:val="94927A8"/>
    <w:multiLevelType w:val="hybridMultilevel"/>
    <w:lvl w:ilvl="0">
      <w:lvlJc w:val="left"/>
      <w:lvlText w:val="(%1)"/>
      <w:numFmt w:val="lowerLetter"/>
      <w:start w:val="4"/>
    </w:lvl>
  </w:abstractNum>
  <w:abstractNum w:abstractNumId="147">
    <w:nsid w:val="DCDF8F6"/>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48">
    <w:nsid w:val="52D7B10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49">
    <w:nsid w:val="2E8A639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50">
    <w:nsid w:val="24E60401"/>
    <w:multiLevelType w:val="hybridMultilevel"/>
    <w:lvl w:ilvl="0">
      <w:lvlJc w:val="left"/>
      <w:lvlText w:val="%1."/>
      <w:numFmt w:val="decimal"/>
      <w:start w:val="10"/>
    </w:lvl>
    <w:lvl w:ilvl="1">
      <w:lvlJc w:val="left"/>
      <w:lvlText w:val="(%2)"/>
      <w:numFmt w:val="lowerLetter"/>
      <w:start w:val="1"/>
    </w:lvl>
  </w:abstractNum>
  <w:abstractNum w:abstractNumId="151">
    <w:nsid w:val="2A6AD9BE"/>
    <w:multiLevelType w:val="hybridMultilevel"/>
    <w:lvl w:ilvl="0">
      <w:lvlJc w:val="left"/>
      <w:lvlText w:val="(%1)"/>
      <w:numFmt w:val="lowerLetter"/>
      <w:start w:val="2"/>
    </w:lvl>
  </w:abstractNum>
  <w:abstractNum w:abstractNumId="152">
    <w:nsid w:val="BAAC1B4"/>
    <w:multiLevelType w:val="hybridMultilevel"/>
    <w:lvl w:ilvl="0">
      <w:lvlJc w:val="left"/>
      <w:lvlText w:val="%1"/>
      <w:numFmt w:val="decimal"/>
      <w:start w:val="1"/>
    </w:lvl>
    <w:lvl w:ilvl="1">
      <w:lvlJc w:val="left"/>
      <w:lvlText w:val="(%2)"/>
      <w:numFmt w:val="lowerLetter"/>
      <w:start w:val="4"/>
    </w:lvl>
  </w:abstractNum>
  <w:abstractNum w:abstractNumId="153">
    <w:nsid w:val="36B2ACBC"/>
    <w:multiLevelType w:val="hybridMultilevel"/>
    <w:lvl w:ilvl="0">
      <w:lvlJc w:val="left"/>
      <w:lvlText w:val="%1."/>
      <w:numFmt w:val="decimal"/>
      <w:start w:val="12"/>
    </w:lvl>
    <w:lvl w:ilvl="1">
      <w:lvlJc w:val="left"/>
      <w:lvlText w:val="(%2)"/>
      <w:numFmt w:val="lowerLetter"/>
      <w:start w:val="1"/>
    </w:lvl>
  </w:abstractNum>
  <w:abstractNum w:abstractNumId="154">
    <w:nsid w:val="779D8544"/>
    <w:multiLevelType w:val="hybridMultilevel"/>
    <w:lvl w:ilvl="0">
      <w:lvlJc w:val="left"/>
      <w:lvlText w:val="%1."/>
      <w:numFmt w:val="decimal"/>
      <w:start w:val="15"/>
    </w:lvl>
  </w:abstractNum>
  <w:abstractNum w:abstractNumId="155">
    <w:nsid w:val="4AB26E78"/>
    <w:multiLevelType w:val="hybridMultilevel"/>
    <w:lvl w:ilvl="0">
      <w:lvlJc w:val="left"/>
      <w:lvlText w:val="•"/>
      <w:numFmt w:val="bullet"/>
      <w:start w:val="1"/>
    </w:lvl>
  </w:abstractNum>
  <w:abstractNum w:abstractNumId="156">
    <w:nsid w:val="21FAA2FA"/>
    <w:multiLevelType w:val="hybridMultilevel"/>
    <w:lvl w:ilvl="0">
      <w:lvlJc w:val="left"/>
      <w:lvlText w:val="•"/>
      <w:numFmt w:val="bullet"/>
      <w:start w:val="1"/>
    </w:lvl>
  </w:abstractNum>
  <w:abstractNum w:abstractNumId="157">
    <w:nsid w:val="5451CF49"/>
    <w:multiLevelType w:val="hybridMultilevel"/>
    <w:lvl w:ilvl="0">
      <w:lvlJc w:val="left"/>
      <w:lvlText w:val="%1."/>
      <w:numFmt w:val="decimal"/>
      <w:start w:val="1"/>
    </w:lvl>
    <w:lvl w:ilvl="1">
      <w:lvlJc w:val="left"/>
      <w:lvlText w:val="(%2)"/>
      <w:numFmt w:val="lowerLetter"/>
      <w:start w:val="1"/>
    </w:lvl>
  </w:abstractNum>
  <w:abstractNum w:abstractNumId="158">
    <w:nsid w:val="6181EF6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9">
    <w:nsid w:val="3E6400E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0">
    <w:nsid w:val="14217E23"/>
    <w:multiLevelType w:val="hybridMultilevel"/>
    <w:lvl w:ilvl="0">
      <w:lvlJc w:val="left"/>
      <w:lvlText w:val="%1."/>
      <w:numFmt w:val="decimal"/>
      <w:start w:val="3"/>
    </w:lvl>
    <w:lvl w:ilvl="1">
      <w:lvlJc w:val="left"/>
      <w:lvlText w:val="(%2)"/>
      <w:numFmt w:val="lowerLetter"/>
      <w:start w:val="1"/>
    </w:lvl>
  </w:abstractNum>
  <w:abstractNum w:abstractNumId="161">
    <w:nsid w:val="710757D0"/>
    <w:multiLevelType w:val="hybridMultilevel"/>
    <w:lvl w:ilvl="0">
      <w:lvlJc w:val="left"/>
      <w:lvlText w:val="%1."/>
      <w:numFmt w:val="decimal"/>
      <w:start w:val="4"/>
    </w:lvl>
  </w:abstractNum>
  <w:abstractNum w:abstractNumId="162">
    <w:nsid w:val="5015CD1A"/>
    <w:multiLevelType w:val="hybridMultilevel"/>
    <w:lvl w:ilvl="0">
      <w:lvlJc w:val="left"/>
      <w:lvlText w:val="(%1)"/>
      <w:numFmt w:val="lowerLetter"/>
      <w:start w:val="2"/>
    </w:lvl>
  </w:abstractNum>
  <w:abstractNum w:abstractNumId="163">
    <w:nsid w:val="424479DA"/>
    <w:multiLevelType w:val="hybridMultilevel"/>
    <w:lvl w:ilvl="0">
      <w:lvlJc w:val="left"/>
      <w:lvlText w:val="%1."/>
      <w:numFmt w:val="decimal"/>
      <w:start w:val="5"/>
    </w:lvl>
  </w:abstractNum>
  <w:abstractNum w:abstractNumId="164">
    <w:nsid w:val="1A9A9E69"/>
    <w:multiLevelType w:val="hybridMultilevel"/>
    <w:lvl w:ilvl="0">
      <w:lvlJc w:val="left"/>
      <w:lvlText w:val="%1."/>
      <w:numFmt w:val="decimal"/>
      <w:start w:val="10"/>
    </w:lvl>
    <w:lvl w:ilvl="1">
      <w:lvlJc w:val="left"/>
      <w:lvlText w:val="*"/>
      <w:numFmt w:val="bullet"/>
      <w:start w:val="1"/>
    </w:lvl>
  </w:abstractNum>
  <w:abstractNum w:abstractNumId="165">
    <w:nsid w:val="475E256A"/>
    <w:multiLevelType w:val="hybridMultilevel"/>
    <w:lvl w:ilvl="0">
      <w:lvlJc w:val="left"/>
      <w:lvlText w:val="•"/>
      <w:numFmt w:val="bullet"/>
      <w:start w:val="1"/>
    </w:lvl>
  </w:abstractNum>
  <w:abstractNum w:abstractNumId="166">
    <w:nsid w:val="368DB37E"/>
    <w:multiLevelType w:val="hybridMultilevel"/>
    <w:lvl w:ilvl="0">
      <w:lvlJc w:val="left"/>
      <w:lvlText w:val="%1."/>
      <w:numFmt w:val="decimal"/>
      <w:start w:val="1"/>
    </w:lvl>
  </w:abstractNum>
  <w:abstractNum w:abstractNumId="167">
    <w:nsid w:val="6A3B714C"/>
    <w:multiLevelType w:val="hybridMultilevel"/>
    <w:lvl w:ilvl="0">
      <w:lvlJc w:val="left"/>
      <w:lvlText w:val="(%1)"/>
      <w:numFmt w:val="lowerLetter"/>
      <w:start w:val="2"/>
    </w:lvl>
  </w:abstractNum>
  <w:abstractNum w:abstractNumId="168">
    <w:nsid w:val="327B517E"/>
    <w:multiLevelType w:val="hybridMultilevel"/>
    <w:lvl w:ilvl="0">
      <w:lvlJc w:val="left"/>
      <w:lvlText w:val="%1."/>
      <w:numFmt w:val="decimal"/>
      <w:start w:val="18"/>
    </w:lvl>
  </w:abstractNum>
  <w:abstractNum w:abstractNumId="169">
    <w:nsid w:val="1F461B51"/>
    <w:multiLevelType w:val="hybridMultilevel"/>
    <w:lvl w:ilvl="0">
      <w:lvlJc w:val="left"/>
      <w:lvlText w:val="(%1)"/>
      <w:numFmt w:val="lowerLetter"/>
      <w:start w:val="2"/>
    </w:lvl>
  </w:abstractNum>
  <w:abstractNum w:abstractNumId="170">
    <w:nsid w:val="29BACF25"/>
    <w:multiLevelType w:val="hybridMultilevel"/>
    <w:lvl w:ilvl="0">
      <w:lvlJc w:val="left"/>
      <w:lvlText w:val="%1."/>
      <w:numFmt w:val="decimal"/>
      <w:start w:val="22"/>
    </w:lvl>
  </w:abstractNum>
  <w:abstractNum w:abstractNumId="171">
    <w:nsid w:val="5D5BABB3"/>
    <w:multiLevelType w:val="hybridMultilevel"/>
    <w:lvl w:ilvl="0">
      <w:lvlJc w:val="left"/>
      <w:lvlText w:val="%1."/>
      <w:numFmt w:val="decimal"/>
      <w:start w:val="26"/>
    </w:lvl>
  </w:abstractNum>
  <w:abstractNum w:abstractNumId="172">
    <w:nsid w:val="51BF6B48"/>
    <w:multiLevelType w:val="hybridMultilevel"/>
    <w:lvl w:ilvl="0">
      <w:lvlJc w:val="left"/>
      <w:lvlText w:val="•"/>
      <w:numFmt w:val="bullet"/>
      <w:start w:val="1"/>
    </w:lvl>
  </w:abstractNum>
  <w:abstractNum w:abstractNumId="173">
    <w:nsid w:val="7E0F6384"/>
    <w:multiLevelType w:val="hybridMultilevel"/>
    <w:lvl w:ilvl="0">
      <w:lvlJc w:val="left"/>
      <w:lvlText w:val="•"/>
      <w:numFmt w:val="bullet"/>
      <w:start w:val="1"/>
    </w:lvl>
  </w:abstractNum>
  <w:abstractNum w:abstractNumId="174">
    <w:nsid w:val="2B4B8B53"/>
    <w:multiLevelType w:val="hybridMultilevel"/>
    <w:lvl w:ilvl="0">
      <w:lvlJc w:val="left"/>
      <w:lvlText w:val="%1."/>
      <w:numFmt w:val="decimal"/>
      <w:start w:val="1"/>
    </w:lvl>
    <w:lvl w:ilvl="1">
      <w:lvlJc w:val="left"/>
      <w:lvlText w:val="(%2)"/>
      <w:numFmt w:val="lowerLetter"/>
      <w:start w:val="1"/>
    </w:lvl>
  </w:abstractNum>
  <w:abstractNum w:abstractNumId="175">
    <w:nsid w:val="72E3413A"/>
    <w:multiLevelType w:val="hybridMultilevel"/>
    <w:lvl w:ilvl="0">
      <w:lvlJc w:val="left"/>
      <w:lvlText w:val="%1."/>
      <w:numFmt w:val="decimal"/>
      <w:start w:val="28"/>
    </w:lvl>
  </w:abstractNum>
  <w:abstractNum w:abstractNumId="176">
    <w:nsid w:val="116AE494"/>
    <w:multiLevelType w:val="hybridMultilevel"/>
    <w:lvl w:ilvl="0">
      <w:lvlJc w:val="left"/>
      <w:lvlText w:val="%1."/>
      <w:numFmt w:val="decimal"/>
      <w:start w:val="31"/>
    </w:lvl>
    <w:lvl w:ilvl="1">
      <w:lvlJc w:val="left"/>
      <w:lvlText w:val="(%2)"/>
      <w:numFmt w:val="lowerLetter"/>
      <w:start w:val="1"/>
    </w:lvl>
  </w:abstractNum>
  <w:abstractNum w:abstractNumId="177">
    <w:nsid w:val="3494B2FB"/>
    <w:multiLevelType w:val="hybridMultilevel"/>
    <w:lvl w:ilvl="0">
      <w:lvlJc w:val="left"/>
      <w:lvlText w:val="%1."/>
      <w:numFmt w:val="decimal"/>
      <w:start w:val="32"/>
    </w:lvl>
  </w:abstractNum>
  <w:abstractNum w:abstractNumId="178">
    <w:nsid w:val="B13A31"/>
    <w:multiLevelType w:val="hybridMultilevel"/>
    <w:lvl w:ilvl="0">
      <w:lvlJc w:val="left"/>
      <w:lvlText w:val="%1."/>
      <w:numFmt w:val="decimal"/>
      <w:start w:val="34"/>
    </w:lvl>
    <w:lvl w:ilvl="1">
      <w:lvlJc w:val="left"/>
      <w:lvlText w:val="(%2)"/>
      <w:numFmt w:val="lowerLetter"/>
      <w:start w:val="1"/>
    </w:lvl>
  </w:abstractNum>
  <w:abstractNum w:abstractNumId="179">
    <w:nsid w:val="64429599"/>
    <w:multiLevelType w:val="hybridMultilevel"/>
    <w:lvl w:ilvl="0">
      <w:lvlJc w:val="left"/>
      <w:lvlText w:val="%1."/>
      <w:numFmt w:val="decimal"/>
      <w:start w:val="37"/>
    </w:lvl>
    <w:lvl w:ilvl="1">
      <w:lvlJc w:val="left"/>
      <w:lvlText w:val="(%2)"/>
      <w:numFmt w:val="lowerLetter"/>
      <w:start w:val="1"/>
    </w:lvl>
  </w:abstractNum>
  <w:abstractNum w:abstractNumId="180">
    <w:nsid w:val="631F1690"/>
    <w:multiLevelType w:val="hybridMultilevel"/>
    <w:lvl w:ilvl="0">
      <w:lvlJc w:val="left"/>
      <w:lvlText w:val="%1."/>
      <w:numFmt w:val="decimal"/>
      <w:start w:val="1"/>
    </w:lvl>
  </w:abstractNum>
  <w:abstractNum w:abstractNumId="181">
    <w:nsid w:val="25973E32"/>
    <w:multiLevelType w:val="hybridMultilevel"/>
    <w:lvl w:ilvl="0">
      <w:lvlJc w:val="left"/>
      <w:lvlText w:val="%1."/>
      <w:numFmt w:val="decimal"/>
      <w:start w:val="40"/>
    </w:lvl>
  </w:abstractNum>
  <w:abstractNum w:abstractNumId="182">
    <w:nsid w:val="EAD6F57"/>
    <w:multiLevelType w:val="hybridMultilevel"/>
    <w:lvl w:ilvl="0">
      <w:lvlJc w:val="left"/>
      <w:lvlText w:val="%1."/>
      <w:numFmt w:val="decimal"/>
      <w:start w:val="46"/>
    </w:lvl>
  </w:abstractNum>
  <w:abstractNum w:abstractNumId="183">
    <w:nsid w:val="6EC9D844"/>
    <w:multiLevelType w:val="hybridMultilevel"/>
    <w:lvl w:ilvl="0">
      <w:lvlJc w:val="left"/>
      <w:lvlText w:val="%1."/>
      <w:numFmt w:val="decimal"/>
      <w:start w:val="54"/>
    </w:lvl>
  </w:abstractNum>
  <w:abstractNum w:abstractNumId="184">
    <w:nsid w:val="5C49EAEE"/>
    <w:multiLevelType w:val="hybridMultilevel"/>
    <w:lvl w:ilvl="0">
      <w:lvlJc w:val="left"/>
      <w:lvlText w:val="%1."/>
      <w:numFmt w:val="decimal"/>
      <w:start w:val="55"/>
    </w:lvl>
  </w:abstractNum>
  <w:abstractNum w:abstractNumId="185">
    <w:nsid w:val="64AF49B"/>
    <w:multiLevelType w:val="hybridMultilevel"/>
    <w:lvl w:ilvl="0">
      <w:lvlJc w:val="left"/>
      <w:lvlText w:val="%1."/>
      <w:numFmt w:val="decimal"/>
      <w:start w:val="1"/>
    </w:lvl>
  </w:abstractNum>
  <w:abstractNum w:abstractNumId="186">
    <w:nsid w:val="397C46BC"/>
    <w:multiLevelType w:val="hybridMultilevel"/>
    <w:lvl w:ilvl="0">
      <w:lvlJc w:val="left"/>
      <w:lvlText w:val="%1."/>
      <w:numFmt w:val="decimal"/>
      <w:start w:val="3"/>
    </w:lvl>
  </w:abstractNum>
  <w:abstractNum w:abstractNumId="187">
    <w:nsid w:val="7E448DE9"/>
    <w:multiLevelType w:val="hybridMultilevel"/>
    <w:lvl w:ilvl="0">
      <w:lvlJc w:val="left"/>
      <w:lvlText w:val="%1."/>
      <w:numFmt w:val="decimal"/>
      <w:start w:val="4"/>
    </w:lvl>
    <w:lvl w:ilvl="1">
      <w:lvlJc w:val="left"/>
      <w:lvlText w:val="%2)"/>
      <w:numFmt w:val="lowerLetter"/>
      <w:start w:val="1"/>
    </w:lvl>
  </w:abstractNum>
  <w:abstractNum w:abstractNumId="188">
    <w:nsid w:val="5A9CC3E5"/>
    <w:multiLevelType w:val="hybridMultilevel"/>
    <w:lvl w:ilvl="0">
      <w:lvlJc w:val="left"/>
      <w:lvlText w:val="%1."/>
      <w:numFmt w:val="decimal"/>
      <w:start w:val="4"/>
    </w:lvl>
    <w:lvl w:ilvl="1">
      <w:lvlJc w:val="left"/>
      <w:lvlText w:val="-"/>
      <w:numFmt w:val="bullet"/>
      <w:start w:val="1"/>
    </w:lvl>
  </w:abstractNum>
  <w:abstractNum w:abstractNumId="189">
    <w:nsid w:val="1AFE3625"/>
    <w:multiLevelType w:val="hybridMultilevel"/>
    <w:lvl w:ilvl="0">
      <w:lvlJc w:val="left"/>
      <w:lvlText w:val="%1."/>
      <w:numFmt w:val="decimal"/>
      <w:start w:val="6"/>
    </w:lvl>
  </w:abstractNum>
  <w:abstractNum w:abstractNumId="190">
    <w:nsid w:val="3CA88ECF"/>
    <w:multiLevelType w:val="hybridMultilevel"/>
    <w:lvl w:ilvl="0">
      <w:lvlJc w:val="left"/>
      <w:lvlText w:val="%1."/>
      <w:numFmt w:val="decimal"/>
      <w:start w:val="1"/>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1."/>
      <w:numFmt w:val="decimal"/>
      <w:start w:val="1"/>
    </w:lvl>
    <w:lvl w:ilvl="1">
      <w:lvlJc w:val="left"/>
      <w:lvlText w:val="(%2)"/>
      <w:numFmt w:val="lowerLetter"/>
      <w:start w:val="1"/>
    </w:lvl>
  </w:abstractNum>
  <w:abstractNum w:abstractNumId="193">
    <w:nsid w:val="CBE5BE9"/>
    <w:multiLevelType w:val="hybridMultilevel"/>
    <w:lvl w:ilvl="0">
      <w:lvlJc w:val="left"/>
      <w:lvlText w:val="%1."/>
      <w:numFmt w:val="decimal"/>
      <w:start w:val="1"/>
    </w:lvl>
    <w:lvl w:ilvl="1">
      <w:lvlJc w:val="left"/>
      <w:lvlText w:val="(%2)"/>
      <w:numFmt w:val="lowerLetter"/>
      <w:start w:val="1"/>
    </w:lvl>
  </w:abstractNum>
  <w:abstractNum w:abstractNumId="194">
    <w:nsid w:val="3102BBE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8" Type="http://schemas.openxmlformats.org/officeDocument/2006/relationships/image" Target="media/image322.png"/><Relationship Id="rId349"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52" Type="http://schemas.openxmlformats.org/officeDocument/2006/relationships/image" Target="media/image326.png"/><Relationship Id="rId353" Type="http://schemas.openxmlformats.org/officeDocument/2006/relationships/image" Target="media/image327.png"/><Relationship Id="rId354" Type="http://schemas.openxmlformats.org/officeDocument/2006/relationships/image" Target="media/image328.png"/><Relationship Id="rId355" Type="http://schemas.openxmlformats.org/officeDocument/2006/relationships/image" Target="media/image329.png"/><Relationship Id="rId356" Type="http://schemas.openxmlformats.org/officeDocument/2006/relationships/image" Target="media/image330.png"/><Relationship Id="rId357" Type="http://schemas.openxmlformats.org/officeDocument/2006/relationships/image" Target="media/image331.png"/><Relationship Id="rId358" Type="http://schemas.openxmlformats.org/officeDocument/2006/relationships/image" Target="media/image332.png"/><Relationship Id="rId359" Type="http://schemas.openxmlformats.org/officeDocument/2006/relationships/image" Target="media/image333.png"/><Relationship Id="rId360" Type="http://schemas.openxmlformats.org/officeDocument/2006/relationships/image" Target="media/image334.png"/><Relationship Id="rId361" Type="http://schemas.openxmlformats.org/officeDocument/2006/relationships/image" Target="media/image335.png"/><Relationship Id="rId362" Type="http://schemas.openxmlformats.org/officeDocument/2006/relationships/image" Target="media/image336.png"/><Relationship Id="rId363"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5" Type="http://schemas.openxmlformats.org/officeDocument/2006/relationships/image" Target="media/image349.png"/><Relationship Id="rId376" Type="http://schemas.openxmlformats.org/officeDocument/2006/relationships/image" Target="media/image350.png"/><Relationship Id="rId377" Type="http://schemas.openxmlformats.org/officeDocument/2006/relationships/image" Target="media/image351.png"/><Relationship Id="rId378" Type="http://schemas.openxmlformats.org/officeDocument/2006/relationships/image" Target="media/image352.png"/><Relationship Id="rId379" Type="http://schemas.openxmlformats.org/officeDocument/2006/relationships/image" Target="media/image353.png"/><Relationship Id="rId380" Type="http://schemas.openxmlformats.org/officeDocument/2006/relationships/image" Target="media/image354.png"/><Relationship Id="rId381" Type="http://schemas.openxmlformats.org/officeDocument/2006/relationships/image" Target="media/image355.png"/><Relationship Id="rId382" Type="http://schemas.openxmlformats.org/officeDocument/2006/relationships/image" Target="media/image356.png"/><Relationship Id="rId383" Type="http://schemas.openxmlformats.org/officeDocument/2006/relationships/image" Target="media/image357.png"/><Relationship Id="rId384" Type="http://schemas.openxmlformats.org/officeDocument/2006/relationships/image" Target="media/image358.png"/><Relationship Id="rId385" Type="http://schemas.openxmlformats.org/officeDocument/2006/relationships/image" Target="media/image359.png"/><Relationship Id="rId386" Type="http://schemas.openxmlformats.org/officeDocument/2006/relationships/image" Target="media/image360.png"/><Relationship Id="rId387" Type="http://schemas.openxmlformats.org/officeDocument/2006/relationships/image" Target="media/image361.png"/><Relationship Id="rId388" Type="http://schemas.openxmlformats.org/officeDocument/2006/relationships/image" Target="media/image362.png"/><Relationship Id="rId389" Type="http://schemas.openxmlformats.org/officeDocument/2006/relationships/image" Target="media/image363.png"/><Relationship Id="rId390" Type="http://schemas.openxmlformats.org/officeDocument/2006/relationships/image" Target="media/image364.png"/><Relationship Id="rId391" Type="http://schemas.openxmlformats.org/officeDocument/2006/relationships/image" Target="media/image365.png"/><Relationship Id="rId392" Type="http://schemas.openxmlformats.org/officeDocument/2006/relationships/image" Target="media/image366.png"/><Relationship Id="rId393" Type="http://schemas.openxmlformats.org/officeDocument/2006/relationships/image" Target="media/image367.png"/><Relationship Id="rId394" Type="http://schemas.openxmlformats.org/officeDocument/2006/relationships/image" Target="media/image368.png"/><Relationship Id="rId395" Type="http://schemas.openxmlformats.org/officeDocument/2006/relationships/image" Target="media/image369.png"/><Relationship Id="rId396" Type="http://schemas.openxmlformats.org/officeDocument/2006/relationships/image" Target="media/image370.png"/><Relationship Id="rId397" Type="http://schemas.openxmlformats.org/officeDocument/2006/relationships/image" Target="media/image371.png"/><Relationship Id="rId398" Type="http://schemas.openxmlformats.org/officeDocument/2006/relationships/image" Target="media/image372.png"/><Relationship Id="rId399" Type="http://schemas.openxmlformats.org/officeDocument/2006/relationships/image" Target="media/image373.png"/><Relationship Id="rId400" Type="http://schemas.openxmlformats.org/officeDocument/2006/relationships/image" Target="media/image374.png"/><Relationship Id="rId401" Type="http://schemas.openxmlformats.org/officeDocument/2006/relationships/image" Target="media/image375.png"/><Relationship Id="rId402" Type="http://schemas.openxmlformats.org/officeDocument/2006/relationships/image" Target="media/image376.png"/><Relationship Id="rId403" Type="http://schemas.openxmlformats.org/officeDocument/2006/relationships/image" Target="media/image377.png"/><Relationship Id="rId404" Type="http://schemas.openxmlformats.org/officeDocument/2006/relationships/image" Target="media/image378.png"/><Relationship Id="rId405" Type="http://schemas.openxmlformats.org/officeDocument/2006/relationships/image" Target="media/image379.png"/><Relationship Id="rId406" Type="http://schemas.openxmlformats.org/officeDocument/2006/relationships/image" Target="media/image380.png"/><Relationship Id="rId407" Type="http://schemas.openxmlformats.org/officeDocument/2006/relationships/image" Target="media/image381.png"/><Relationship Id="rId408" Type="http://schemas.openxmlformats.org/officeDocument/2006/relationships/image" Target="media/image382.png"/><Relationship Id="rId409" Type="http://schemas.openxmlformats.org/officeDocument/2006/relationships/image" Target="media/image383.png"/><Relationship Id="rId410" Type="http://schemas.openxmlformats.org/officeDocument/2006/relationships/image" Target="media/image384.png"/><Relationship Id="rId411" Type="http://schemas.openxmlformats.org/officeDocument/2006/relationships/image" Target="media/image385.png"/><Relationship Id="rId412" Type="http://schemas.openxmlformats.org/officeDocument/2006/relationships/image" Target="media/image386.png"/><Relationship Id="rId413" Type="http://schemas.openxmlformats.org/officeDocument/2006/relationships/image" Target="media/image387.png"/><Relationship Id="rId414" Type="http://schemas.openxmlformats.org/officeDocument/2006/relationships/image" Target="media/image388.png"/><Relationship Id="rId415" Type="http://schemas.openxmlformats.org/officeDocument/2006/relationships/image" Target="media/image389.png"/><Relationship Id="rId416" Type="http://schemas.openxmlformats.org/officeDocument/2006/relationships/image" Target="media/image390.png"/><Relationship Id="rId417" Type="http://schemas.openxmlformats.org/officeDocument/2006/relationships/image" Target="media/image391.png"/><Relationship Id="rId418" Type="http://schemas.openxmlformats.org/officeDocument/2006/relationships/image" Target="media/image392.png"/><Relationship Id="rId419" Type="http://schemas.openxmlformats.org/officeDocument/2006/relationships/image" Target="media/image393.png"/><Relationship Id="rId420" Type="http://schemas.openxmlformats.org/officeDocument/2006/relationships/image" Target="media/image394.png"/><Relationship Id="rId421" Type="http://schemas.openxmlformats.org/officeDocument/2006/relationships/image" Target="media/image395.png"/><Relationship Id="rId422" Type="http://schemas.openxmlformats.org/officeDocument/2006/relationships/image" Target="media/image396.png"/><Relationship Id="rId423" Type="http://schemas.openxmlformats.org/officeDocument/2006/relationships/image" Target="media/image397.png"/><Relationship Id="rId424" Type="http://schemas.openxmlformats.org/officeDocument/2006/relationships/image" Target="media/image398.png"/><Relationship Id="rId425" Type="http://schemas.openxmlformats.org/officeDocument/2006/relationships/image" Target="media/image399.png"/><Relationship Id="rId426" Type="http://schemas.openxmlformats.org/officeDocument/2006/relationships/image" Target="media/image400.png"/><Relationship Id="rId427" Type="http://schemas.openxmlformats.org/officeDocument/2006/relationships/image" Target="media/image401.png"/><Relationship Id="rId428" Type="http://schemas.openxmlformats.org/officeDocument/2006/relationships/image" Target="media/image402.png"/><Relationship Id="rId429" Type="http://schemas.openxmlformats.org/officeDocument/2006/relationships/image" Target="media/image403.png"/><Relationship Id="rId430" Type="http://schemas.openxmlformats.org/officeDocument/2006/relationships/image" Target="media/image404.png"/><Relationship Id="rId431" Type="http://schemas.openxmlformats.org/officeDocument/2006/relationships/image" Target="media/image405.png"/><Relationship Id="rId432" Type="http://schemas.openxmlformats.org/officeDocument/2006/relationships/image" Target="media/image406.png"/><Relationship Id="rId433"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png"/><Relationship Id="rId495"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8" Type="http://schemas.openxmlformats.org/officeDocument/2006/relationships/image" Target="media/image472.png"/><Relationship Id="rId499" Type="http://schemas.openxmlformats.org/officeDocument/2006/relationships/image" Target="media/image473.png"/><Relationship Id="rId500" Type="http://schemas.openxmlformats.org/officeDocument/2006/relationships/image" Target="media/image474.png"/><Relationship Id="rId501" Type="http://schemas.openxmlformats.org/officeDocument/2006/relationships/image" Target="media/image475.png"/><Relationship Id="rId502" Type="http://schemas.openxmlformats.org/officeDocument/2006/relationships/image" Target="media/image476.png"/><Relationship Id="rId503" Type="http://schemas.openxmlformats.org/officeDocument/2006/relationships/image" Target="media/image477.png"/><Relationship Id="rId504" Type="http://schemas.openxmlformats.org/officeDocument/2006/relationships/image" Target="media/image478.png"/><Relationship Id="rId505" Type="http://schemas.openxmlformats.org/officeDocument/2006/relationships/image" Target="media/image479.png"/><Relationship Id="rId506" Type="http://schemas.openxmlformats.org/officeDocument/2006/relationships/image" Target="media/image480.png"/><Relationship Id="rId507" Type="http://schemas.openxmlformats.org/officeDocument/2006/relationships/image" Target="media/image481.png"/><Relationship Id="rId508" Type="http://schemas.openxmlformats.org/officeDocument/2006/relationships/image" Target="media/image482.png"/><Relationship Id="rId509"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4" Type="http://schemas.openxmlformats.org/officeDocument/2006/relationships/image" Target="media/image488.png"/><Relationship Id="rId515" Type="http://schemas.openxmlformats.org/officeDocument/2006/relationships/image" Target="media/image489.png"/><Relationship Id="rId516" Type="http://schemas.openxmlformats.org/officeDocument/2006/relationships/image" Target="media/image490.png"/><Relationship Id="rId517" Type="http://schemas.openxmlformats.org/officeDocument/2006/relationships/image" Target="media/image491.png"/><Relationship Id="rId518" Type="http://schemas.openxmlformats.org/officeDocument/2006/relationships/image" Target="media/image492.png"/><Relationship Id="rId519" Type="http://schemas.openxmlformats.org/officeDocument/2006/relationships/image" Target="media/image493.png"/><Relationship Id="rId520" Type="http://schemas.openxmlformats.org/officeDocument/2006/relationships/image" Target="media/image494.png"/><Relationship Id="rId521" Type="http://schemas.openxmlformats.org/officeDocument/2006/relationships/image" Target="media/image495.png"/><Relationship Id="rId522" Type="http://schemas.openxmlformats.org/officeDocument/2006/relationships/image" Target="media/image496.png"/><Relationship Id="rId523" Type="http://schemas.openxmlformats.org/officeDocument/2006/relationships/image" Target="media/image497.png"/><Relationship Id="rId524" Type="http://schemas.openxmlformats.org/officeDocument/2006/relationships/image" Target="media/image498.png"/><Relationship Id="rId525" Type="http://schemas.openxmlformats.org/officeDocument/2006/relationships/image" Target="media/image499.png"/><Relationship Id="rId526" Type="http://schemas.openxmlformats.org/officeDocument/2006/relationships/image" Target="media/image500.png"/><Relationship Id="rId527" Type="http://schemas.openxmlformats.org/officeDocument/2006/relationships/image" Target="media/image501.png"/><Relationship Id="rId528" Type="http://schemas.openxmlformats.org/officeDocument/2006/relationships/image" Target="media/image502.png"/><Relationship Id="rId529" Type="http://schemas.openxmlformats.org/officeDocument/2006/relationships/image" Target="media/image503.png"/><Relationship Id="rId530" Type="http://schemas.openxmlformats.org/officeDocument/2006/relationships/image" Target="media/image504.png"/><Relationship Id="rId531" Type="http://schemas.openxmlformats.org/officeDocument/2006/relationships/image" Target="media/image505.png"/><Relationship Id="rId532" Type="http://schemas.openxmlformats.org/officeDocument/2006/relationships/image" Target="media/image506.png"/><Relationship Id="rId533" Type="http://schemas.openxmlformats.org/officeDocument/2006/relationships/image" Target="media/image507.png"/><Relationship Id="rId534" Type="http://schemas.openxmlformats.org/officeDocument/2006/relationships/image" Target="media/image508.png"/><Relationship Id="rId535" Type="http://schemas.openxmlformats.org/officeDocument/2006/relationships/image" Target="media/image509.png"/><Relationship Id="rId536" Type="http://schemas.openxmlformats.org/officeDocument/2006/relationships/image" Target="media/image510.png"/><Relationship Id="rId537" Type="http://schemas.openxmlformats.org/officeDocument/2006/relationships/image" Target="media/image511.png"/><Relationship Id="rId538" Type="http://schemas.openxmlformats.org/officeDocument/2006/relationships/image" Target="media/image512.png"/><Relationship Id="rId539" Type="http://schemas.openxmlformats.org/officeDocument/2006/relationships/image" Target="media/image513.png"/><Relationship Id="rId540" Type="http://schemas.openxmlformats.org/officeDocument/2006/relationships/image" Target="media/image514.png"/><Relationship Id="rId541" Type="http://schemas.openxmlformats.org/officeDocument/2006/relationships/image" Target="media/image515.png"/><Relationship Id="rId542" Type="http://schemas.openxmlformats.org/officeDocument/2006/relationships/image" Target="media/image516.png"/><Relationship Id="rId543" Type="http://schemas.openxmlformats.org/officeDocument/2006/relationships/image" Target="media/image517.png"/><Relationship Id="rId544" Type="http://schemas.openxmlformats.org/officeDocument/2006/relationships/image" Target="media/image518.png"/><Relationship Id="rId545" Type="http://schemas.openxmlformats.org/officeDocument/2006/relationships/image" Target="media/image519.png"/><Relationship Id="rId546" Type="http://schemas.openxmlformats.org/officeDocument/2006/relationships/image" Target="media/image520.png"/><Relationship Id="rId547" Type="http://schemas.openxmlformats.org/officeDocument/2006/relationships/image" Target="media/image521.png"/><Relationship Id="rId548" Type="http://schemas.openxmlformats.org/officeDocument/2006/relationships/image" Target="media/image522.png"/><Relationship Id="rId549" Type="http://schemas.openxmlformats.org/officeDocument/2006/relationships/image" Target="media/image523.png"/><Relationship Id="rId550" Type="http://schemas.openxmlformats.org/officeDocument/2006/relationships/image" Target="media/image524.png"/><Relationship Id="rId551" Type="http://schemas.openxmlformats.org/officeDocument/2006/relationships/image" Target="media/image525.png"/><Relationship Id="rId552" Type="http://schemas.openxmlformats.org/officeDocument/2006/relationships/image" Target="media/image526.png"/><Relationship Id="rId553" Type="http://schemas.openxmlformats.org/officeDocument/2006/relationships/image" Target="media/image527.png"/><Relationship Id="rId554" Type="http://schemas.openxmlformats.org/officeDocument/2006/relationships/image" Target="media/image528.png"/><Relationship Id="rId555" Type="http://schemas.openxmlformats.org/officeDocument/2006/relationships/image" Target="media/image529.png"/><Relationship Id="rId556" Type="http://schemas.openxmlformats.org/officeDocument/2006/relationships/image" Target="media/image530.png"/><Relationship Id="rId557" Type="http://schemas.openxmlformats.org/officeDocument/2006/relationships/image" Target="media/image531.png"/><Relationship Id="rId558" Type="http://schemas.openxmlformats.org/officeDocument/2006/relationships/image" Target="media/image532.png"/><Relationship Id="rId559" Type="http://schemas.openxmlformats.org/officeDocument/2006/relationships/image" Target="media/image533.png"/><Relationship Id="rId560" Type="http://schemas.openxmlformats.org/officeDocument/2006/relationships/image" Target="media/image534.png"/><Relationship Id="rId561" Type="http://schemas.openxmlformats.org/officeDocument/2006/relationships/image" Target="media/image535.png"/><Relationship Id="rId562" Type="http://schemas.openxmlformats.org/officeDocument/2006/relationships/image" Target="media/image536.png"/><Relationship Id="rId563" Type="http://schemas.openxmlformats.org/officeDocument/2006/relationships/image" Target="media/image537.png"/><Relationship Id="rId564" Type="http://schemas.openxmlformats.org/officeDocument/2006/relationships/image" Target="media/image538.png"/><Relationship Id="rId565" Type="http://schemas.openxmlformats.org/officeDocument/2006/relationships/image" Target="media/image539.png"/><Relationship Id="rId566" Type="http://schemas.openxmlformats.org/officeDocument/2006/relationships/image" Target="media/image540.png"/><Relationship Id="rId567" Type="http://schemas.openxmlformats.org/officeDocument/2006/relationships/image" Target="media/image541.png"/><Relationship Id="rId568" Type="http://schemas.openxmlformats.org/officeDocument/2006/relationships/image" Target="media/image542.png"/><Relationship Id="rId569" Type="http://schemas.openxmlformats.org/officeDocument/2006/relationships/image" Target="media/image543.png"/><Relationship Id="rId570" Type="http://schemas.openxmlformats.org/officeDocument/2006/relationships/image" Target="media/image544.png"/><Relationship Id="rId571" Type="http://schemas.openxmlformats.org/officeDocument/2006/relationships/image" Target="media/image545.png"/><Relationship Id="rId572" Type="http://schemas.openxmlformats.org/officeDocument/2006/relationships/image" Target="media/image546.png"/><Relationship Id="rId573" Type="http://schemas.openxmlformats.org/officeDocument/2006/relationships/image" Target="media/image547.png"/><Relationship Id="rId574" Type="http://schemas.openxmlformats.org/officeDocument/2006/relationships/image" Target="media/image548.png"/><Relationship Id="rId575" Type="http://schemas.openxmlformats.org/officeDocument/2006/relationships/image" Target="media/image549.png"/><Relationship Id="rId576" Type="http://schemas.openxmlformats.org/officeDocument/2006/relationships/image" Target="media/image550.png"/><Relationship Id="rId577" Type="http://schemas.openxmlformats.org/officeDocument/2006/relationships/image" Target="media/image551.png"/><Relationship Id="rId578" Type="http://schemas.openxmlformats.org/officeDocument/2006/relationships/image" Target="media/image552.png"/><Relationship Id="rId579" Type="http://schemas.openxmlformats.org/officeDocument/2006/relationships/image" Target="media/image553.png"/><Relationship Id="rId580" Type="http://schemas.openxmlformats.org/officeDocument/2006/relationships/image" Target="media/image554.png"/><Relationship Id="rId581" Type="http://schemas.openxmlformats.org/officeDocument/2006/relationships/image" Target="media/image555.png"/><Relationship Id="rId582" Type="http://schemas.openxmlformats.org/officeDocument/2006/relationships/image" Target="media/image556.png"/><Relationship Id="rId583" Type="http://schemas.openxmlformats.org/officeDocument/2006/relationships/image" Target="media/image557.png"/><Relationship Id="rId584" Type="http://schemas.openxmlformats.org/officeDocument/2006/relationships/image" Target="media/image558.png"/><Relationship Id="rId585" Type="http://schemas.openxmlformats.org/officeDocument/2006/relationships/image" Target="media/image559.png"/><Relationship Id="rId586" Type="http://schemas.openxmlformats.org/officeDocument/2006/relationships/image" Target="media/image560.png"/><Relationship Id="rId587" Type="http://schemas.openxmlformats.org/officeDocument/2006/relationships/image" Target="media/image561.png"/><Relationship Id="rId588" Type="http://schemas.openxmlformats.org/officeDocument/2006/relationships/image" Target="media/image562.png"/><Relationship Id="rId589" Type="http://schemas.openxmlformats.org/officeDocument/2006/relationships/image" Target="media/image563.png"/><Relationship Id="rId590" Type="http://schemas.openxmlformats.org/officeDocument/2006/relationships/image" Target="media/image564.png"/><Relationship Id="rId591" Type="http://schemas.openxmlformats.org/officeDocument/2006/relationships/image" Target="media/image565.png"/><Relationship Id="rId592" Type="http://schemas.openxmlformats.org/officeDocument/2006/relationships/image" Target="media/image566.png"/><Relationship Id="rId593" Type="http://schemas.openxmlformats.org/officeDocument/2006/relationships/image" Target="media/image567.png"/><Relationship Id="rId594" Type="http://schemas.openxmlformats.org/officeDocument/2006/relationships/image" Target="media/image568.png"/><Relationship Id="rId595" Type="http://schemas.openxmlformats.org/officeDocument/2006/relationships/image" Target="media/image569.png"/><Relationship Id="rId596" Type="http://schemas.openxmlformats.org/officeDocument/2006/relationships/image" Target="media/image570.png"/><Relationship Id="rId597" Type="http://schemas.openxmlformats.org/officeDocument/2006/relationships/image" Target="media/image571.png"/><Relationship Id="rId598" Type="http://schemas.openxmlformats.org/officeDocument/2006/relationships/image" Target="media/image572.png"/><Relationship Id="rId599" Type="http://schemas.openxmlformats.org/officeDocument/2006/relationships/image" Target="media/image573.png"/><Relationship Id="rId600" Type="http://schemas.openxmlformats.org/officeDocument/2006/relationships/image" Target="media/image574.png"/><Relationship Id="rId601" Type="http://schemas.openxmlformats.org/officeDocument/2006/relationships/image" Target="media/image575.png"/><Relationship Id="rId602" Type="http://schemas.openxmlformats.org/officeDocument/2006/relationships/image" Target="media/image576.png"/><Relationship Id="rId603" Type="http://schemas.openxmlformats.org/officeDocument/2006/relationships/image" Target="media/image577.png"/><Relationship Id="rId604" Type="http://schemas.openxmlformats.org/officeDocument/2006/relationships/image" Target="media/image578.png"/><Relationship Id="rId605" Type="http://schemas.openxmlformats.org/officeDocument/2006/relationships/image" Target="media/image579.png"/><Relationship Id="rId606" Type="http://schemas.openxmlformats.org/officeDocument/2006/relationships/image" Target="media/image580.png"/><Relationship Id="rId607" Type="http://schemas.openxmlformats.org/officeDocument/2006/relationships/image" Target="media/image581.png"/><Relationship Id="rId608" Type="http://schemas.openxmlformats.org/officeDocument/2006/relationships/image" Target="media/image582.png"/><Relationship Id="rId609" Type="http://schemas.openxmlformats.org/officeDocument/2006/relationships/image" Target="media/image583.png"/><Relationship Id="rId610" Type="http://schemas.openxmlformats.org/officeDocument/2006/relationships/image" Target="media/image584.png"/><Relationship Id="rId611" Type="http://schemas.openxmlformats.org/officeDocument/2006/relationships/image" Target="media/image585.png"/><Relationship Id="rId612" Type="http://schemas.openxmlformats.org/officeDocument/2006/relationships/image" Target="media/image586.png"/><Relationship Id="rId613" Type="http://schemas.openxmlformats.org/officeDocument/2006/relationships/image" Target="media/image587.png"/><Relationship Id="rId614" Type="http://schemas.openxmlformats.org/officeDocument/2006/relationships/image" Target="media/image588.png"/><Relationship Id="rId615" Type="http://schemas.openxmlformats.org/officeDocument/2006/relationships/image" Target="media/image589.png"/><Relationship Id="rId616" Type="http://schemas.openxmlformats.org/officeDocument/2006/relationships/image" Target="media/image590.png"/><Relationship Id="rId617" Type="http://schemas.openxmlformats.org/officeDocument/2006/relationships/image" Target="media/image591.png"/><Relationship Id="rId618" Type="http://schemas.openxmlformats.org/officeDocument/2006/relationships/image" Target="media/image592.png"/><Relationship Id="rId619" Type="http://schemas.openxmlformats.org/officeDocument/2006/relationships/image" Target="media/image593.png"/><Relationship Id="rId620" Type="http://schemas.openxmlformats.org/officeDocument/2006/relationships/image" Target="media/image594.png"/><Relationship Id="rId621" Type="http://schemas.openxmlformats.org/officeDocument/2006/relationships/image" Target="media/image595.png"/><Relationship Id="rId622" Type="http://schemas.openxmlformats.org/officeDocument/2006/relationships/image" Target="media/image596.png"/><Relationship Id="rId623" Type="http://schemas.openxmlformats.org/officeDocument/2006/relationships/image" Target="media/image597.png"/><Relationship Id="rId624" Type="http://schemas.openxmlformats.org/officeDocument/2006/relationships/image" Target="media/image598.png"/><Relationship Id="rId625" Type="http://schemas.openxmlformats.org/officeDocument/2006/relationships/image" Target="media/image599.png"/><Relationship Id="rId626" Type="http://schemas.openxmlformats.org/officeDocument/2006/relationships/image" Target="media/image600.png"/><Relationship Id="rId627" Type="http://schemas.openxmlformats.org/officeDocument/2006/relationships/image" Target="media/image601.png"/><Relationship Id="rId628" Type="http://schemas.openxmlformats.org/officeDocument/2006/relationships/image" Target="media/image602.png"/><Relationship Id="rId629" Type="http://schemas.openxmlformats.org/officeDocument/2006/relationships/image" Target="media/image603.png"/><Relationship Id="rId630" Type="http://schemas.openxmlformats.org/officeDocument/2006/relationships/image" Target="media/image604.png"/><Relationship Id="rId631" Type="http://schemas.openxmlformats.org/officeDocument/2006/relationships/image" Target="media/image605.png"/><Relationship Id="rId632" Type="http://schemas.openxmlformats.org/officeDocument/2006/relationships/image" Target="media/image606.png"/><Relationship Id="rId633" Type="http://schemas.openxmlformats.org/officeDocument/2006/relationships/image" Target="media/image607.png"/><Relationship Id="rId634" Type="http://schemas.openxmlformats.org/officeDocument/2006/relationships/image" Target="media/image608.png"/><Relationship Id="rId635" Type="http://schemas.openxmlformats.org/officeDocument/2006/relationships/image" Target="media/image609.png"/><Relationship Id="rId636" Type="http://schemas.openxmlformats.org/officeDocument/2006/relationships/image" Target="media/image610.png"/><Relationship Id="rId637" Type="http://schemas.openxmlformats.org/officeDocument/2006/relationships/image" Target="media/image611.png"/><Relationship Id="rId638" Type="http://schemas.openxmlformats.org/officeDocument/2006/relationships/image" Target="media/image612.png"/><Relationship Id="rId639" Type="http://schemas.openxmlformats.org/officeDocument/2006/relationships/image" Target="media/image613.png"/><Relationship Id="rId640" Type="http://schemas.openxmlformats.org/officeDocument/2006/relationships/image" Target="media/image614.png"/><Relationship Id="rId641" Type="http://schemas.openxmlformats.org/officeDocument/2006/relationships/image" Target="media/image615.png"/><Relationship Id="rId642" Type="http://schemas.openxmlformats.org/officeDocument/2006/relationships/image" Target="media/image616.png"/><Relationship Id="rId643" Type="http://schemas.openxmlformats.org/officeDocument/2006/relationships/image" Target="media/image617.png"/><Relationship Id="rId644" Type="http://schemas.openxmlformats.org/officeDocument/2006/relationships/image" Target="media/image618.png"/><Relationship Id="rId645" Type="http://schemas.openxmlformats.org/officeDocument/2006/relationships/image" Target="media/image619.png"/><Relationship Id="rId646" Type="http://schemas.openxmlformats.org/officeDocument/2006/relationships/image" Target="media/image620.png"/><Relationship Id="rId647" Type="http://schemas.openxmlformats.org/officeDocument/2006/relationships/image" Target="media/image621.png"/><Relationship Id="rId648" Type="http://schemas.openxmlformats.org/officeDocument/2006/relationships/image" Target="media/image622.png"/><Relationship Id="rId649" Type="http://schemas.openxmlformats.org/officeDocument/2006/relationships/image" Target="media/image623.png"/><Relationship Id="rId650" Type="http://schemas.openxmlformats.org/officeDocument/2006/relationships/image" Target="media/image624.png"/><Relationship Id="rId651" Type="http://schemas.openxmlformats.org/officeDocument/2006/relationships/image" Target="media/image625.png"/><Relationship Id="rId652" Type="http://schemas.openxmlformats.org/officeDocument/2006/relationships/image" Target="media/image626.png"/><Relationship Id="rId653" Type="http://schemas.openxmlformats.org/officeDocument/2006/relationships/image" Target="media/image627.png"/><Relationship Id="rId654" Type="http://schemas.openxmlformats.org/officeDocument/2006/relationships/image" Target="media/image628.png"/><Relationship Id="rId655" Type="http://schemas.openxmlformats.org/officeDocument/2006/relationships/image" Target="media/image629.png"/><Relationship Id="rId656" Type="http://schemas.openxmlformats.org/officeDocument/2006/relationships/image" Target="media/image630.png"/><Relationship Id="rId657" Type="http://schemas.openxmlformats.org/officeDocument/2006/relationships/image" Target="media/image631.png"/><Relationship Id="rId658" Type="http://schemas.openxmlformats.org/officeDocument/2006/relationships/image" Target="media/image632.png"/><Relationship Id="rId659" Type="http://schemas.openxmlformats.org/officeDocument/2006/relationships/image" Target="media/image633.png"/><Relationship Id="rId660" Type="http://schemas.openxmlformats.org/officeDocument/2006/relationships/image" Target="media/image634.png"/><Relationship Id="rId661" Type="http://schemas.openxmlformats.org/officeDocument/2006/relationships/image" Target="media/image635.png"/><Relationship Id="rId662" Type="http://schemas.openxmlformats.org/officeDocument/2006/relationships/image" Target="media/image636.png"/><Relationship Id="rId663" Type="http://schemas.openxmlformats.org/officeDocument/2006/relationships/image" Target="media/image637.png"/><Relationship Id="rId664" Type="http://schemas.openxmlformats.org/officeDocument/2006/relationships/image" Target="media/image638.png"/><Relationship Id="rId665" Type="http://schemas.openxmlformats.org/officeDocument/2006/relationships/image" Target="media/image639.png"/><Relationship Id="rId666" Type="http://schemas.openxmlformats.org/officeDocument/2006/relationships/image" Target="media/image640.png"/><Relationship Id="rId667" Type="http://schemas.openxmlformats.org/officeDocument/2006/relationships/image" Target="media/image641.png"/><Relationship Id="rId668" Type="http://schemas.openxmlformats.org/officeDocument/2006/relationships/image" Target="media/image642.png"/><Relationship Id="rId669" Type="http://schemas.openxmlformats.org/officeDocument/2006/relationships/image" Target="media/image643.png"/><Relationship Id="rId670" Type="http://schemas.openxmlformats.org/officeDocument/2006/relationships/image" Target="media/image644.png"/><Relationship Id="rId671" Type="http://schemas.openxmlformats.org/officeDocument/2006/relationships/image" Target="media/image645.png"/><Relationship Id="rId672" Type="http://schemas.openxmlformats.org/officeDocument/2006/relationships/image" Target="media/image646.png"/><Relationship Id="rId673" Type="http://schemas.openxmlformats.org/officeDocument/2006/relationships/image" Target="media/image647.png"/><Relationship Id="rId674" Type="http://schemas.openxmlformats.org/officeDocument/2006/relationships/image" Target="media/image648.png"/><Relationship Id="rId675" Type="http://schemas.openxmlformats.org/officeDocument/2006/relationships/image" Target="media/image649.png"/><Relationship Id="rId676" Type="http://schemas.openxmlformats.org/officeDocument/2006/relationships/image" Target="media/image650.png"/><Relationship Id="rId677" Type="http://schemas.openxmlformats.org/officeDocument/2006/relationships/image" Target="media/image651.png"/><Relationship Id="rId678" Type="http://schemas.openxmlformats.org/officeDocument/2006/relationships/image" Target="media/image652.png"/><Relationship Id="rId679" Type="http://schemas.openxmlformats.org/officeDocument/2006/relationships/image" Target="media/image653.png"/><Relationship Id="rId680" Type="http://schemas.openxmlformats.org/officeDocument/2006/relationships/image" Target="media/image654.png"/><Relationship Id="rId681" Type="http://schemas.openxmlformats.org/officeDocument/2006/relationships/image" Target="media/image655.png"/><Relationship Id="rId682" Type="http://schemas.openxmlformats.org/officeDocument/2006/relationships/image" Target="media/image656.png"/><Relationship Id="rId683" Type="http://schemas.openxmlformats.org/officeDocument/2006/relationships/image" Target="media/image657.png"/><Relationship Id="rId684" Type="http://schemas.openxmlformats.org/officeDocument/2006/relationships/image" Target="media/image658.png"/><Relationship Id="rId685" Type="http://schemas.openxmlformats.org/officeDocument/2006/relationships/image" Target="media/image659.png"/><Relationship Id="rId686" Type="http://schemas.openxmlformats.org/officeDocument/2006/relationships/image" Target="media/image660.png"/><Relationship Id="rId687" Type="http://schemas.openxmlformats.org/officeDocument/2006/relationships/image" Target="media/image661.png"/><Relationship Id="rId688" Type="http://schemas.openxmlformats.org/officeDocument/2006/relationships/image" Target="media/image662.png"/><Relationship Id="rId689" Type="http://schemas.openxmlformats.org/officeDocument/2006/relationships/image" Target="media/image663.png"/><Relationship Id="rId690" Type="http://schemas.openxmlformats.org/officeDocument/2006/relationships/image" Target="media/image664.png"/><Relationship Id="rId691" Type="http://schemas.openxmlformats.org/officeDocument/2006/relationships/image" Target="media/image665.png"/><Relationship Id="rId692" Type="http://schemas.openxmlformats.org/officeDocument/2006/relationships/image" Target="media/image666.png"/><Relationship Id="rId693" Type="http://schemas.openxmlformats.org/officeDocument/2006/relationships/image" Target="media/image667.png"/><Relationship Id="rId694" Type="http://schemas.openxmlformats.org/officeDocument/2006/relationships/image" Target="media/image668.png"/><Relationship Id="rId695" Type="http://schemas.openxmlformats.org/officeDocument/2006/relationships/image" Target="media/image669.png"/><Relationship Id="rId696" Type="http://schemas.openxmlformats.org/officeDocument/2006/relationships/image" Target="media/image670.png"/><Relationship Id="rId697" Type="http://schemas.openxmlformats.org/officeDocument/2006/relationships/image" Target="media/image671.png"/><Relationship Id="rId698" Type="http://schemas.openxmlformats.org/officeDocument/2006/relationships/image" Target="media/image672.png"/><Relationship Id="rId699" Type="http://schemas.openxmlformats.org/officeDocument/2006/relationships/image" Target="media/image673.png"/><Relationship Id="rId700" Type="http://schemas.openxmlformats.org/officeDocument/2006/relationships/image" Target="media/image674.png"/><Relationship Id="rId701" Type="http://schemas.openxmlformats.org/officeDocument/2006/relationships/image" Target="media/image675.png"/><Relationship Id="rId702" Type="http://schemas.openxmlformats.org/officeDocument/2006/relationships/image" Target="media/image676.png"/><Relationship Id="rId703" Type="http://schemas.openxmlformats.org/officeDocument/2006/relationships/image" Target="media/image677.png"/><Relationship Id="rId704" Type="http://schemas.openxmlformats.org/officeDocument/2006/relationships/image" Target="media/image678.png"/><Relationship Id="rId705" Type="http://schemas.openxmlformats.org/officeDocument/2006/relationships/image" Target="media/image679.png"/><Relationship Id="rId706" Type="http://schemas.openxmlformats.org/officeDocument/2006/relationships/image" Target="media/image680.png"/><Relationship Id="rId707" Type="http://schemas.openxmlformats.org/officeDocument/2006/relationships/image" Target="media/image681.png"/><Relationship Id="rId708" Type="http://schemas.openxmlformats.org/officeDocument/2006/relationships/image" Target="media/image682.png"/><Relationship Id="rId709" Type="http://schemas.openxmlformats.org/officeDocument/2006/relationships/image" Target="media/image683.png"/><Relationship Id="rId710" Type="http://schemas.openxmlformats.org/officeDocument/2006/relationships/image" Target="media/image684.png"/><Relationship Id="rId711" Type="http://schemas.openxmlformats.org/officeDocument/2006/relationships/image" Target="media/image685.png"/><Relationship Id="rId712" Type="http://schemas.openxmlformats.org/officeDocument/2006/relationships/image" Target="media/image686.png"/><Relationship Id="rId713" Type="http://schemas.openxmlformats.org/officeDocument/2006/relationships/image" Target="media/image687.png"/><Relationship Id="rId714" Type="http://schemas.openxmlformats.org/officeDocument/2006/relationships/image" Target="media/image688.png"/><Relationship Id="rId715" Type="http://schemas.openxmlformats.org/officeDocument/2006/relationships/image" Target="media/image689.png"/><Relationship Id="rId716" Type="http://schemas.openxmlformats.org/officeDocument/2006/relationships/image" Target="media/image690.png"/><Relationship Id="rId717" Type="http://schemas.openxmlformats.org/officeDocument/2006/relationships/image" Target="media/image691.png"/><Relationship Id="rId718" Type="http://schemas.openxmlformats.org/officeDocument/2006/relationships/image" Target="media/image692.png"/><Relationship Id="rId719" Type="http://schemas.openxmlformats.org/officeDocument/2006/relationships/image" Target="media/image693.png"/><Relationship Id="rId720" Type="http://schemas.openxmlformats.org/officeDocument/2006/relationships/image" Target="media/image694.png"/><Relationship Id="rId721" Type="http://schemas.openxmlformats.org/officeDocument/2006/relationships/image" Target="media/image695.png"/><Relationship Id="rId722" Type="http://schemas.openxmlformats.org/officeDocument/2006/relationships/image" Target="media/image696.png"/><Relationship Id="rId723" Type="http://schemas.openxmlformats.org/officeDocument/2006/relationships/image" Target="media/image697.png"/><Relationship Id="rId724" Type="http://schemas.openxmlformats.org/officeDocument/2006/relationships/image" Target="media/image698.png"/><Relationship Id="rId725" Type="http://schemas.openxmlformats.org/officeDocument/2006/relationships/image" Target="media/image699.png"/><Relationship Id="rId726" Type="http://schemas.openxmlformats.org/officeDocument/2006/relationships/image" Target="media/image700.png"/><Relationship Id="rId727" Type="http://schemas.openxmlformats.org/officeDocument/2006/relationships/image" Target="media/image701.png"/><Relationship Id="rId728" Type="http://schemas.openxmlformats.org/officeDocument/2006/relationships/image" Target="media/image702.png"/><Relationship Id="rId729" Type="http://schemas.openxmlformats.org/officeDocument/2006/relationships/image" Target="media/image703.png"/><Relationship Id="rId730" Type="http://schemas.openxmlformats.org/officeDocument/2006/relationships/image" Target="media/image704.png"/><Relationship Id="rId731" Type="http://schemas.openxmlformats.org/officeDocument/2006/relationships/image" Target="media/image705.png"/><Relationship Id="rId732" Type="http://schemas.openxmlformats.org/officeDocument/2006/relationships/image" Target="media/image706.png"/><Relationship Id="rId733" Type="http://schemas.openxmlformats.org/officeDocument/2006/relationships/image" Target="media/image707.png"/><Relationship Id="rId734" Type="http://schemas.openxmlformats.org/officeDocument/2006/relationships/image" Target="media/image708.png"/><Relationship Id="rId735" Type="http://schemas.openxmlformats.org/officeDocument/2006/relationships/image" Target="media/image709.png"/><Relationship Id="rId736" Type="http://schemas.openxmlformats.org/officeDocument/2006/relationships/image" Target="media/image710.png"/><Relationship Id="rId737" Type="http://schemas.openxmlformats.org/officeDocument/2006/relationships/image" Target="media/image711.png"/><Relationship Id="rId738" Type="http://schemas.openxmlformats.org/officeDocument/2006/relationships/image" Target="media/image712.png"/><Relationship Id="rId739" Type="http://schemas.openxmlformats.org/officeDocument/2006/relationships/image" Target="media/image713.png"/><Relationship Id="rId740" Type="http://schemas.openxmlformats.org/officeDocument/2006/relationships/image" Target="media/image714.png"/><Relationship Id="rId741" Type="http://schemas.openxmlformats.org/officeDocument/2006/relationships/image" Target="media/image715.png"/><Relationship Id="rId742" Type="http://schemas.openxmlformats.org/officeDocument/2006/relationships/image" Target="media/image716.png"/><Relationship Id="rId743" Type="http://schemas.openxmlformats.org/officeDocument/2006/relationships/image" Target="media/image717.png"/><Relationship Id="rId744" Type="http://schemas.openxmlformats.org/officeDocument/2006/relationships/image" Target="media/image718.png"/><Relationship Id="rId745" Type="http://schemas.openxmlformats.org/officeDocument/2006/relationships/image" Target="media/image719.png"/><Relationship Id="rId746" Type="http://schemas.openxmlformats.org/officeDocument/2006/relationships/image" Target="media/image720.png"/><Relationship Id="rId747" Type="http://schemas.openxmlformats.org/officeDocument/2006/relationships/image" Target="media/image721.png"/><Relationship Id="rId748" Type="http://schemas.openxmlformats.org/officeDocument/2006/relationships/image" Target="media/image722.png"/><Relationship Id="rId749" Type="http://schemas.openxmlformats.org/officeDocument/2006/relationships/image" Target="media/image723.png"/><Relationship Id="rId750" Type="http://schemas.openxmlformats.org/officeDocument/2006/relationships/image" Target="media/image724.png"/><Relationship Id="rId751" Type="http://schemas.openxmlformats.org/officeDocument/2006/relationships/image" Target="media/image725.png"/><Relationship Id="rId752" Type="http://schemas.openxmlformats.org/officeDocument/2006/relationships/image" Target="media/image726.png"/><Relationship Id="rId753" Type="http://schemas.openxmlformats.org/officeDocument/2006/relationships/image" Target="media/image727.png"/><Relationship Id="rId754" Type="http://schemas.openxmlformats.org/officeDocument/2006/relationships/image" Target="media/image728.png"/><Relationship Id="rId755" Type="http://schemas.openxmlformats.org/officeDocument/2006/relationships/image" Target="media/image729.png"/><Relationship Id="rId756" Type="http://schemas.openxmlformats.org/officeDocument/2006/relationships/image" Target="media/image730.png"/><Relationship Id="rId757" Type="http://schemas.openxmlformats.org/officeDocument/2006/relationships/image" Target="media/image731.png"/><Relationship Id="rId758" Type="http://schemas.openxmlformats.org/officeDocument/2006/relationships/image" Target="media/image732.png"/><Relationship Id="rId759" Type="http://schemas.openxmlformats.org/officeDocument/2006/relationships/image" Target="media/image733.png"/><Relationship Id="rId760" Type="http://schemas.openxmlformats.org/officeDocument/2006/relationships/image" Target="media/image734.png"/><Relationship Id="rId761" Type="http://schemas.openxmlformats.org/officeDocument/2006/relationships/image" Target="media/image735.png"/><Relationship Id="rId762" Type="http://schemas.openxmlformats.org/officeDocument/2006/relationships/image" Target="media/image736.png"/><Relationship Id="rId763" Type="http://schemas.openxmlformats.org/officeDocument/2006/relationships/image" Target="media/image737.png"/><Relationship Id="rId764" Type="http://schemas.openxmlformats.org/officeDocument/2006/relationships/image" Target="media/image738.png"/><Relationship Id="rId765" Type="http://schemas.openxmlformats.org/officeDocument/2006/relationships/image" Target="media/image739.png"/><Relationship Id="rId766" Type="http://schemas.openxmlformats.org/officeDocument/2006/relationships/image" Target="media/image740.png"/><Relationship Id="rId767" Type="http://schemas.openxmlformats.org/officeDocument/2006/relationships/image" Target="media/image741.png"/><Relationship Id="rId768" Type="http://schemas.openxmlformats.org/officeDocument/2006/relationships/image" Target="media/image742.png"/><Relationship Id="rId769" Type="http://schemas.openxmlformats.org/officeDocument/2006/relationships/image" Target="media/image743.png"/><Relationship Id="rId770" Type="http://schemas.openxmlformats.org/officeDocument/2006/relationships/image" Target="media/image744.png"/><Relationship Id="rId771" Type="http://schemas.openxmlformats.org/officeDocument/2006/relationships/image" Target="media/image745.png"/><Relationship Id="rId772" Type="http://schemas.openxmlformats.org/officeDocument/2006/relationships/image" Target="media/image746.png"/><Relationship Id="rId773" Type="http://schemas.openxmlformats.org/officeDocument/2006/relationships/image" Target="media/image747.png"/><Relationship Id="rId774" Type="http://schemas.openxmlformats.org/officeDocument/2006/relationships/image" Target="media/image748.png"/><Relationship Id="rId775" Type="http://schemas.openxmlformats.org/officeDocument/2006/relationships/image" Target="media/image749.png"/><Relationship Id="rId776" Type="http://schemas.openxmlformats.org/officeDocument/2006/relationships/image" Target="media/image750.png"/><Relationship Id="rId777" Type="http://schemas.openxmlformats.org/officeDocument/2006/relationships/image" Target="media/image751.png"/><Relationship Id="rId778" Type="http://schemas.openxmlformats.org/officeDocument/2006/relationships/image" Target="media/image752.png"/><Relationship Id="rId779" Type="http://schemas.openxmlformats.org/officeDocument/2006/relationships/image" Target="media/image753.png"/><Relationship Id="rId780" Type="http://schemas.openxmlformats.org/officeDocument/2006/relationships/image" Target="media/image754.png"/><Relationship Id="rId781" Type="http://schemas.openxmlformats.org/officeDocument/2006/relationships/image" Target="media/image755.png"/><Relationship Id="rId782" Type="http://schemas.openxmlformats.org/officeDocument/2006/relationships/image" Target="media/image756.png"/><Relationship Id="rId783" Type="http://schemas.openxmlformats.org/officeDocument/2006/relationships/image" Target="media/image757.png"/><Relationship Id="rId784" Type="http://schemas.openxmlformats.org/officeDocument/2006/relationships/image" Target="media/image758.png"/><Relationship Id="rId785" Type="http://schemas.openxmlformats.org/officeDocument/2006/relationships/image" Target="media/image759.png"/><Relationship Id="rId786" Type="http://schemas.openxmlformats.org/officeDocument/2006/relationships/image" Target="media/image760.png"/><Relationship Id="rId787" Type="http://schemas.openxmlformats.org/officeDocument/2006/relationships/image" Target="media/image761.png"/><Relationship Id="rId788" Type="http://schemas.openxmlformats.org/officeDocument/2006/relationships/image" Target="media/image762.png"/><Relationship Id="rId789" Type="http://schemas.openxmlformats.org/officeDocument/2006/relationships/image" Target="media/image763.png"/><Relationship Id="rId790" Type="http://schemas.openxmlformats.org/officeDocument/2006/relationships/image" Target="media/image764.png"/><Relationship Id="rId791" Type="http://schemas.openxmlformats.org/officeDocument/2006/relationships/image" Target="media/image765.png"/><Relationship Id="rId792" Type="http://schemas.openxmlformats.org/officeDocument/2006/relationships/image" Target="media/image766.png"/><Relationship Id="rId793" Type="http://schemas.openxmlformats.org/officeDocument/2006/relationships/image" Target="media/image767.png"/><Relationship Id="rId794" Type="http://schemas.openxmlformats.org/officeDocument/2006/relationships/image" Target="media/image768.png"/><Relationship Id="rId795" Type="http://schemas.openxmlformats.org/officeDocument/2006/relationships/image" Target="media/image769.png"/><Relationship Id="rId796" Type="http://schemas.openxmlformats.org/officeDocument/2006/relationships/image" Target="media/image770.png"/><Relationship Id="rId797" Type="http://schemas.openxmlformats.org/officeDocument/2006/relationships/image" Target="media/image771.png"/><Relationship Id="rId798" Type="http://schemas.openxmlformats.org/officeDocument/2006/relationships/image" Target="media/image772.png"/><Relationship Id="rId799" Type="http://schemas.openxmlformats.org/officeDocument/2006/relationships/image" Target="media/image773.png"/><Relationship Id="rId800" Type="http://schemas.openxmlformats.org/officeDocument/2006/relationships/image" Target="media/image774.png"/><Relationship Id="rId801" Type="http://schemas.openxmlformats.org/officeDocument/2006/relationships/image" Target="media/image775.png"/><Relationship Id="rId802" Type="http://schemas.openxmlformats.org/officeDocument/2006/relationships/image" Target="media/image776.png"/><Relationship Id="rId803" Type="http://schemas.openxmlformats.org/officeDocument/2006/relationships/image" Target="media/image777.png"/><Relationship Id="rId804" Type="http://schemas.openxmlformats.org/officeDocument/2006/relationships/image" Target="media/image778.png"/><Relationship Id="rId805" Type="http://schemas.openxmlformats.org/officeDocument/2006/relationships/image" Target="media/image779.png"/><Relationship Id="rId806" Type="http://schemas.openxmlformats.org/officeDocument/2006/relationships/image" Target="media/image780.png"/><Relationship Id="rId807" Type="http://schemas.openxmlformats.org/officeDocument/2006/relationships/image" Target="media/image781.png"/><Relationship Id="rId808" Type="http://schemas.openxmlformats.org/officeDocument/2006/relationships/image" Target="media/image782.png"/><Relationship Id="rId809" Type="http://schemas.openxmlformats.org/officeDocument/2006/relationships/image" Target="media/image783.png"/><Relationship Id="rId810" Type="http://schemas.openxmlformats.org/officeDocument/2006/relationships/image" Target="media/image784.png"/><Relationship Id="rId811" Type="http://schemas.openxmlformats.org/officeDocument/2006/relationships/image" Target="media/image785.png"/><Relationship Id="rId812" Type="http://schemas.openxmlformats.org/officeDocument/2006/relationships/image" Target="media/image786.png"/><Relationship Id="rId813" Type="http://schemas.openxmlformats.org/officeDocument/2006/relationships/image" Target="media/image787.png"/><Relationship Id="rId814" Type="http://schemas.openxmlformats.org/officeDocument/2006/relationships/image" Target="media/image788.png"/><Relationship Id="rId815" Type="http://schemas.openxmlformats.org/officeDocument/2006/relationships/image" Target="media/image789.png"/><Relationship Id="rId816" Type="http://schemas.openxmlformats.org/officeDocument/2006/relationships/image" Target="media/image790.png"/><Relationship Id="rId817" Type="http://schemas.openxmlformats.org/officeDocument/2006/relationships/image" Target="media/image791.png"/><Relationship Id="rId818" Type="http://schemas.openxmlformats.org/officeDocument/2006/relationships/image" Target="media/image792.png"/><Relationship Id="rId819" Type="http://schemas.openxmlformats.org/officeDocument/2006/relationships/image" Target="media/image793.png"/><Relationship Id="rId820" Type="http://schemas.openxmlformats.org/officeDocument/2006/relationships/image" Target="media/image794.png"/><Relationship Id="rId821" Type="http://schemas.openxmlformats.org/officeDocument/2006/relationships/image" Target="media/image795.png"/><Relationship Id="rId822" Type="http://schemas.openxmlformats.org/officeDocument/2006/relationships/image" Target="media/image796.png"/><Relationship Id="rId823" Type="http://schemas.openxmlformats.org/officeDocument/2006/relationships/image" Target="media/image797.png"/><Relationship Id="rId824" Type="http://schemas.openxmlformats.org/officeDocument/2006/relationships/image" Target="media/image798.png"/><Relationship Id="rId825" Type="http://schemas.openxmlformats.org/officeDocument/2006/relationships/image" Target="media/image799.png"/><Relationship Id="rId826" Type="http://schemas.openxmlformats.org/officeDocument/2006/relationships/image" Target="media/image800.png"/><Relationship Id="rId827" Type="http://schemas.openxmlformats.org/officeDocument/2006/relationships/image" Target="media/image801.png"/><Relationship Id="rId828" Type="http://schemas.openxmlformats.org/officeDocument/2006/relationships/image" Target="media/image802.png"/><Relationship Id="rId829" Type="http://schemas.openxmlformats.org/officeDocument/2006/relationships/image" Target="media/image803.png"/><Relationship Id="rId830" Type="http://schemas.openxmlformats.org/officeDocument/2006/relationships/image" Target="media/image804.png"/><Relationship Id="rId831" Type="http://schemas.openxmlformats.org/officeDocument/2006/relationships/image" Target="media/image805.png"/><Relationship Id="rId832" Type="http://schemas.openxmlformats.org/officeDocument/2006/relationships/image" Target="media/image806.png"/><Relationship Id="rId833" Type="http://schemas.openxmlformats.org/officeDocument/2006/relationships/image" Target="media/image807.png"/><Relationship Id="rId834" Type="http://schemas.openxmlformats.org/officeDocument/2006/relationships/image" Target="media/image808.png"/><Relationship Id="rId835" Type="http://schemas.openxmlformats.org/officeDocument/2006/relationships/image" Target="media/image809.png"/><Relationship Id="rId836" Type="http://schemas.openxmlformats.org/officeDocument/2006/relationships/image" Target="media/image810.png"/><Relationship Id="rId837" Type="http://schemas.openxmlformats.org/officeDocument/2006/relationships/image" Target="media/image811.png"/><Relationship Id="rId838" Type="http://schemas.openxmlformats.org/officeDocument/2006/relationships/image" Target="media/image812.png"/><Relationship Id="rId839" Type="http://schemas.openxmlformats.org/officeDocument/2006/relationships/image" Target="media/image813.png"/><Relationship Id="rId840" Type="http://schemas.openxmlformats.org/officeDocument/2006/relationships/image" Target="media/image814.png"/><Relationship Id="rId841" Type="http://schemas.openxmlformats.org/officeDocument/2006/relationships/image" Target="media/image815.png"/><Relationship Id="rId842" Type="http://schemas.openxmlformats.org/officeDocument/2006/relationships/image" Target="media/image816.png"/><Relationship Id="rId843" Type="http://schemas.openxmlformats.org/officeDocument/2006/relationships/image" Target="media/image817.png"/><Relationship Id="rId844" Type="http://schemas.openxmlformats.org/officeDocument/2006/relationships/image" Target="media/image818.png"/><Relationship Id="rId845" Type="http://schemas.openxmlformats.org/officeDocument/2006/relationships/image" Target="media/image819.png"/><Relationship Id="rId846" Type="http://schemas.openxmlformats.org/officeDocument/2006/relationships/image" Target="media/image820.png"/><Relationship Id="rId847" Type="http://schemas.openxmlformats.org/officeDocument/2006/relationships/image" Target="media/image821.png"/><Relationship Id="rId848" Type="http://schemas.openxmlformats.org/officeDocument/2006/relationships/image" Target="media/image822.png"/><Relationship Id="rId849" Type="http://schemas.openxmlformats.org/officeDocument/2006/relationships/image" Target="media/image823.png"/><Relationship Id="rId850" Type="http://schemas.openxmlformats.org/officeDocument/2006/relationships/image" Target="media/image824.png"/><Relationship Id="rId851" Type="http://schemas.openxmlformats.org/officeDocument/2006/relationships/image" Target="media/image825.png"/><Relationship Id="rId852" Type="http://schemas.openxmlformats.org/officeDocument/2006/relationships/image" Target="media/image826.png"/><Relationship Id="rId853" Type="http://schemas.openxmlformats.org/officeDocument/2006/relationships/image" Target="media/image827.png"/><Relationship Id="rId854" Type="http://schemas.openxmlformats.org/officeDocument/2006/relationships/image" Target="media/image828.png"/><Relationship Id="rId855" Type="http://schemas.openxmlformats.org/officeDocument/2006/relationships/image" Target="media/image829.png"/><Relationship Id="rId856" Type="http://schemas.openxmlformats.org/officeDocument/2006/relationships/image" Target="media/image830.png"/><Relationship Id="rId857" Type="http://schemas.openxmlformats.org/officeDocument/2006/relationships/image" Target="media/image831.png"/><Relationship Id="rId858" Type="http://schemas.openxmlformats.org/officeDocument/2006/relationships/image" Target="media/image832.png"/><Relationship Id="rId859" Type="http://schemas.openxmlformats.org/officeDocument/2006/relationships/image" Target="media/image833.png"/><Relationship Id="rId860" Type="http://schemas.openxmlformats.org/officeDocument/2006/relationships/image" Target="media/image834.png"/><Relationship Id="rId861" Type="http://schemas.openxmlformats.org/officeDocument/2006/relationships/image" Target="media/image835.png"/><Relationship Id="rId862" Type="http://schemas.openxmlformats.org/officeDocument/2006/relationships/image" Target="media/image836.png"/><Relationship Id="rId863" Type="http://schemas.openxmlformats.org/officeDocument/2006/relationships/image" Target="media/image837.png"/><Relationship Id="rId864" Type="http://schemas.openxmlformats.org/officeDocument/2006/relationships/image" Target="media/image838.png"/><Relationship Id="rId865" Type="http://schemas.openxmlformats.org/officeDocument/2006/relationships/image" Target="media/image839.png"/><Relationship Id="rId866" Type="http://schemas.openxmlformats.org/officeDocument/2006/relationships/image" Target="media/image840.png"/><Relationship Id="rId867" Type="http://schemas.openxmlformats.org/officeDocument/2006/relationships/image" Target="media/image841.png"/><Relationship Id="rId868" Type="http://schemas.openxmlformats.org/officeDocument/2006/relationships/image" Target="media/image842.png"/><Relationship Id="rId869" Type="http://schemas.openxmlformats.org/officeDocument/2006/relationships/image" Target="media/image843.png"/><Relationship Id="rId870" Type="http://schemas.openxmlformats.org/officeDocument/2006/relationships/image" Target="media/image844.png"/><Relationship Id="rId871" Type="http://schemas.openxmlformats.org/officeDocument/2006/relationships/image" Target="media/image845.png"/><Relationship Id="rId872" Type="http://schemas.openxmlformats.org/officeDocument/2006/relationships/image" Target="media/image846.png"/><Relationship Id="rId873" Type="http://schemas.openxmlformats.org/officeDocument/2006/relationships/image" Target="media/image847.png"/><Relationship Id="rId874" Type="http://schemas.openxmlformats.org/officeDocument/2006/relationships/image" Target="media/image848.png"/><Relationship Id="rId875" Type="http://schemas.openxmlformats.org/officeDocument/2006/relationships/image" Target="media/image849.png"/><Relationship Id="rId876" Type="http://schemas.openxmlformats.org/officeDocument/2006/relationships/image" Target="media/image850.png"/><Relationship Id="rId877" Type="http://schemas.openxmlformats.org/officeDocument/2006/relationships/image" Target="media/image851.png"/><Relationship Id="rId878" Type="http://schemas.openxmlformats.org/officeDocument/2006/relationships/image" Target="media/image852.png"/><Relationship Id="rId879" Type="http://schemas.openxmlformats.org/officeDocument/2006/relationships/image" Target="media/image853.png"/><Relationship Id="rId880" Type="http://schemas.openxmlformats.org/officeDocument/2006/relationships/image" Target="media/image854.png"/><Relationship Id="rId881" Type="http://schemas.openxmlformats.org/officeDocument/2006/relationships/image" Target="media/image855.png"/><Relationship Id="rId882" Type="http://schemas.openxmlformats.org/officeDocument/2006/relationships/image" Target="media/image856.png"/><Relationship Id="rId883" Type="http://schemas.openxmlformats.org/officeDocument/2006/relationships/image" Target="media/image857.png"/><Relationship Id="rId884" Type="http://schemas.openxmlformats.org/officeDocument/2006/relationships/image" Target="media/image858.png"/><Relationship Id="rId885" Type="http://schemas.openxmlformats.org/officeDocument/2006/relationships/image" Target="media/image859.png"/><Relationship Id="rId886" Type="http://schemas.openxmlformats.org/officeDocument/2006/relationships/image" Target="media/image860.png"/><Relationship Id="rId887" Type="http://schemas.openxmlformats.org/officeDocument/2006/relationships/image" Target="media/image861.png"/><Relationship Id="rId888" Type="http://schemas.openxmlformats.org/officeDocument/2006/relationships/image" Target="media/image862.png"/><Relationship Id="rId889" Type="http://schemas.openxmlformats.org/officeDocument/2006/relationships/image" Target="media/image863.png"/><Relationship Id="rId890" Type="http://schemas.openxmlformats.org/officeDocument/2006/relationships/image" Target="media/image864.png"/><Relationship Id="rId891" Type="http://schemas.openxmlformats.org/officeDocument/2006/relationships/image" Target="media/image865.png"/><Relationship Id="rId892" Type="http://schemas.openxmlformats.org/officeDocument/2006/relationships/image" Target="media/image866.png"/><Relationship Id="rId893" Type="http://schemas.openxmlformats.org/officeDocument/2006/relationships/image" Target="media/image867.png"/><Relationship Id="rId894" Type="http://schemas.openxmlformats.org/officeDocument/2006/relationships/image" Target="media/image868.png"/><Relationship Id="rId895" Type="http://schemas.openxmlformats.org/officeDocument/2006/relationships/image" Target="media/image869.png"/><Relationship Id="rId896" Type="http://schemas.openxmlformats.org/officeDocument/2006/relationships/image" Target="media/image870.png"/><Relationship Id="rId897" Type="http://schemas.openxmlformats.org/officeDocument/2006/relationships/image" Target="media/image871.png"/><Relationship Id="rId327" Type="http://schemas.openxmlformats.org/officeDocument/2006/relationships/hyperlink" Target="https://www.sec.gov/Archives/edgar/data/1856725/000119312521223596/d151628dex31.htm" TargetMode="External"/><Relationship Id="rId328" Type="http://schemas.openxmlformats.org/officeDocument/2006/relationships/hyperlink" Target="https://www.sec.gov/Archives/edgar/data/1856725/000119312521211922/d151628dex34.htm" TargetMode="External"/><Relationship Id="rId329" Type="http://schemas.openxmlformats.org/officeDocument/2006/relationships/hyperlink" Target="https://www.sec.gov/Archives/edgar/data/1856725/000119312521223596/d151628dex41.htm" TargetMode="External"/><Relationship Id="rId330" Type="http://schemas.openxmlformats.org/officeDocument/2006/relationships/hyperlink" Target="https://www.sec.gov/Archives/edgar/data/1856725/000119312521211922/d151628dex104.htm" TargetMode="External"/><Relationship Id="rId331" Type="http://schemas.openxmlformats.org/officeDocument/2006/relationships/hyperlink" Target="https://www.sec.gov/Archives/edgar/data/1856725/000119312521211922/d151628dex105.htm" TargetMode="External"/><Relationship Id="rId332" Type="http://schemas.openxmlformats.org/officeDocument/2006/relationships/hyperlink" Target="https://www.sec.gov/Archives/edgar/data/1856725/000119312521223596/d151628dex107.htm" TargetMode="External"/><Relationship Id="rId333" Type="http://schemas.openxmlformats.org/officeDocument/2006/relationships/hyperlink" Target="https://www.sec.gov/Archives/edgar/data/1856725/000119312521223596/d151628dex108.htm" TargetMode="External"/><Relationship Id="rId334" Type="http://schemas.openxmlformats.org/officeDocument/2006/relationships/hyperlink" Target="https://www.sec.gov/Archives/edgar/data/1856725/000119312521211922/d151628dex108.htm" TargetMode="External"/><Relationship Id="rId335" Type="http://schemas.openxmlformats.org/officeDocument/2006/relationships/hyperlink" Target="https://www.sec.gov/Archives/edgar/data/1856725/000119312521211922/d151628dex109.htm" TargetMode="External"/><Relationship Id="rId336" Type="http://schemas.openxmlformats.org/officeDocument/2006/relationships/hyperlink" Target="https://www.sec.gov/Archives/edgar/data/1856725/000119312521217338/d151628dex1011.htm" TargetMode="External"/><Relationship Id="rId337" Type="http://schemas.openxmlformats.org/officeDocument/2006/relationships/hyperlink" Target="https://www.sec.gov/Archives/edgar/data/1856725/000119312521211922/d151628dex1015.htm" TargetMode="External"/><Relationship Id="rId338" Type="http://schemas.openxmlformats.org/officeDocument/2006/relationships/hyperlink" Target="https://www.sec.gov/Archives/edgar/data/1856725/000119312521211922/d151628dex1016.htm" TargetMode="External"/><Relationship Id="rId339" Type="http://schemas.openxmlformats.org/officeDocument/2006/relationships/hyperlink" Target="https://www.sec.gov/Archives/edgar/data/1856725/000119312521211922/d151628dex1017.htm" TargetMode="External"/><Relationship Id="rId342" Type="http://schemas.openxmlformats.org/officeDocument/2006/relationships/hyperlink" Target="https://www.sec.gov/Archives/edgar/data/1856725/000119312521211922/d151628dex1018.htm" TargetMode="External"/><Relationship Id="rId343" Type="http://schemas.openxmlformats.org/officeDocument/2006/relationships/hyperlink" Target="https://www.sec.gov/Archives/edgar/data/1856725/000119312521211922/d151628dex1019.htm" TargetMode="External"/><Relationship Id="rId344" Type="http://schemas.openxmlformats.org/officeDocument/2006/relationships/hyperlink" Target="https://www.sec.gov/Archives/edgar/data/1856725/000119312521211922/d151628dex1023.htm" TargetMode="External"/><Relationship Id="rId345" Type="http://schemas.openxmlformats.org/officeDocument/2006/relationships/hyperlink" Target="https://www.sec.gov/Archives/edgar/data/1856725/000119312521211922/d151628dex1024.htm" TargetMode="External"/><Relationship Id="rId346" Type="http://schemas.openxmlformats.org/officeDocument/2006/relationships/hyperlink" Target="https://www.sec.gov/Archives/edgar/data/1856725/000119312521211922/d151628dex1025.htm" TargetMode="External"/><Relationship Id="rId347" Type="http://schemas.openxmlformats.org/officeDocument/2006/relationships/hyperlink" Target="https://www.sec.gov/Archives/edgar/data/1856725/000119312521211922/d15162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2022-03-31T06:41:13Z</dcterms:created>
  <dcterms:modified xsi:type="dcterms:W3CDTF">2022-03-31T06:41:13Z</dcterms:modified>
</cp:coreProperties>
</file>