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June 01,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203200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Rani Therapeutics Holdings,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020" w:type="dxa"/>
            <w:vAlign w:val="bottom"/>
          </w:tcPr>
          <w:p>
            <w:pPr>
              <w:jc w:val="center"/>
              <w:ind w:right="621"/>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tcPr>
          <w:p>
            <w:pPr>
              <w:jc w:val="right"/>
              <w:ind w:right="1301"/>
              <w:spacing w:after="0"/>
              <w:rPr>
                <w:sz w:val="20"/>
                <w:szCs w:val="20"/>
                <w:color w:val="auto"/>
              </w:rPr>
            </w:pPr>
            <w:r>
              <w:rPr>
                <w:rFonts w:ascii="Arial" w:cs="Arial" w:eastAsia="Arial" w:hAnsi="Arial"/>
                <w:sz w:val="18"/>
                <w:szCs w:val="18"/>
                <w:b w:val="1"/>
                <w:bCs w:val="1"/>
                <w:color w:val="auto"/>
              </w:rPr>
              <w:t>001-40672</w:t>
            </w:r>
          </w:p>
        </w:tc>
        <w:tc>
          <w:tcPr>
            <w:tcW w:w="2060" w:type="dxa"/>
            <w:vAlign w:val="bottom"/>
          </w:tcPr>
          <w:p>
            <w:pPr>
              <w:jc w:val="right"/>
              <w:ind w:right="24"/>
              <w:spacing w:after="0"/>
              <w:rPr>
                <w:sz w:val="20"/>
                <w:szCs w:val="20"/>
                <w:color w:val="auto"/>
              </w:rPr>
            </w:pPr>
            <w:r>
              <w:rPr>
                <w:rFonts w:ascii="Arial" w:cs="Arial" w:eastAsia="Arial" w:hAnsi="Arial"/>
                <w:sz w:val="18"/>
                <w:szCs w:val="18"/>
                <w:b w:val="1"/>
                <w:bCs w:val="1"/>
                <w:color w:val="auto"/>
              </w:rPr>
              <w:t>86-3114789</w:t>
            </w:r>
          </w:p>
        </w:tc>
      </w:tr>
      <w:tr>
        <w:trPr>
          <w:trHeight w:val="163"/>
        </w:trPr>
        <w:tc>
          <w:tcPr>
            <w:tcW w:w="3020" w:type="dxa"/>
            <w:vAlign w:val="bottom"/>
          </w:tcPr>
          <w:p>
            <w:pPr>
              <w:jc w:val="center"/>
              <w:ind w:right="621"/>
              <w:spacing w:after="0"/>
              <w:rPr>
                <w:sz w:val="20"/>
                <w:szCs w:val="20"/>
                <w:color w:val="auto"/>
              </w:rPr>
            </w:pPr>
            <w:r>
              <w:rPr>
                <w:rFonts w:ascii="Arial" w:cs="Arial" w:eastAsia="Arial" w:hAnsi="Arial"/>
                <w:sz w:val="13"/>
                <w:szCs w:val="13"/>
                <w:b w:val="1"/>
                <w:bCs w:val="1"/>
                <w:color w:val="auto"/>
                <w:w w:val="95"/>
              </w:rPr>
              <w:t>(State or Other Jurisdiction</w:t>
            </w:r>
          </w:p>
        </w:tc>
        <w:tc>
          <w:tcPr>
            <w:tcW w:w="3240" w:type="dxa"/>
            <w:vAlign w:val="bottom"/>
          </w:tcPr>
          <w:p>
            <w:pPr>
              <w:jc w:val="center"/>
              <w:ind w:right="221"/>
              <w:spacing w:after="0"/>
              <w:rPr>
                <w:sz w:val="20"/>
                <w:szCs w:val="20"/>
                <w:color w:val="auto"/>
              </w:rPr>
            </w:pPr>
            <w:r>
              <w:rPr>
                <w:rFonts w:ascii="Arial" w:cs="Arial" w:eastAsia="Arial" w:hAnsi="Arial"/>
                <w:sz w:val="13"/>
                <w:szCs w:val="13"/>
                <w:b w:val="1"/>
                <w:bCs w:val="1"/>
                <w:color w:val="auto"/>
                <w:w w:val="95"/>
              </w:rPr>
              <w:t>(Commission File Number)</w:t>
            </w: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020" w:type="dxa"/>
            <w:vAlign w:val="bottom"/>
          </w:tcPr>
          <w:p>
            <w:pPr>
              <w:jc w:val="center"/>
              <w:ind w:right="621"/>
              <w:spacing w:after="0"/>
              <w:rPr>
                <w:sz w:val="20"/>
                <w:szCs w:val="20"/>
                <w:color w:val="auto"/>
              </w:rPr>
            </w:pPr>
            <w:r>
              <w:rPr>
                <w:rFonts w:ascii="Arial" w:cs="Arial" w:eastAsia="Arial" w:hAnsi="Arial"/>
                <w:sz w:val="13"/>
                <w:szCs w:val="13"/>
                <w:b w:val="1"/>
                <w:bCs w:val="1"/>
                <w:color w:val="auto"/>
                <w:w w:val="96"/>
              </w:rPr>
              <w:t>of Incorporation)</w:t>
            </w:r>
          </w:p>
        </w:tc>
        <w:tc>
          <w:tcPr>
            <w:tcW w:w="3240" w:type="dxa"/>
            <w:vAlign w:val="bottom"/>
          </w:tcPr>
          <w:p>
            <w:pPr>
              <w:spacing w:after="0"/>
              <w:rPr>
                <w:sz w:val="15"/>
                <w:szCs w:val="15"/>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Identification No.)</w:t>
            </w:r>
          </w:p>
        </w:tc>
      </w:tr>
      <w:tr>
        <w:trPr>
          <w:trHeight w:val="473"/>
        </w:trPr>
        <w:tc>
          <w:tcPr>
            <w:tcW w:w="3020" w:type="dxa"/>
            <w:vAlign w:val="bottom"/>
          </w:tcPr>
          <w:p>
            <w:pPr>
              <w:jc w:val="center"/>
              <w:ind w:right="601"/>
              <w:spacing w:after="0"/>
              <w:rPr>
                <w:sz w:val="20"/>
                <w:szCs w:val="20"/>
                <w:color w:val="auto"/>
              </w:rPr>
            </w:pPr>
            <w:r>
              <w:rPr>
                <w:rFonts w:ascii="Arial" w:cs="Arial" w:eastAsia="Arial" w:hAnsi="Arial"/>
                <w:sz w:val="18"/>
                <w:szCs w:val="18"/>
                <w:b w:val="1"/>
                <w:bCs w:val="1"/>
                <w:color w:val="auto"/>
                <w:w w:val="88"/>
              </w:rPr>
              <w:t>2051 Ringwood Avenue</w:t>
            </w:r>
          </w:p>
        </w:tc>
        <w:tc>
          <w:tcPr>
            <w:tcW w:w="32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43"/>
        </w:trPr>
        <w:tc>
          <w:tcPr>
            <w:tcW w:w="3020" w:type="dxa"/>
            <w:vAlign w:val="bottom"/>
          </w:tcPr>
          <w:p>
            <w:pPr>
              <w:jc w:val="center"/>
              <w:ind w:right="601"/>
              <w:spacing w:after="0"/>
              <w:rPr>
                <w:sz w:val="20"/>
                <w:szCs w:val="20"/>
                <w:color w:val="auto"/>
              </w:rPr>
            </w:pPr>
            <w:r>
              <w:rPr>
                <w:rFonts w:ascii="Arial" w:cs="Arial" w:eastAsia="Arial" w:hAnsi="Arial"/>
                <w:sz w:val="18"/>
                <w:szCs w:val="18"/>
                <w:b w:val="1"/>
                <w:bCs w:val="1"/>
                <w:color w:val="auto"/>
                <w:w w:val="89"/>
              </w:rPr>
              <w:t>San Jose, California</w:t>
            </w:r>
          </w:p>
        </w:tc>
        <w:tc>
          <w:tcPr>
            <w:tcW w:w="3240" w:type="dxa"/>
            <w:vAlign w:val="bottom"/>
          </w:tcPr>
          <w:p>
            <w:pPr>
              <w:spacing w:after="0"/>
              <w:rPr>
                <w:sz w:val="21"/>
                <w:szCs w:val="21"/>
                <w:color w:val="auto"/>
              </w:rPr>
            </w:pPr>
          </w:p>
        </w:tc>
        <w:tc>
          <w:tcPr>
            <w:tcW w:w="2060" w:type="dxa"/>
            <w:vAlign w:val="bottom"/>
          </w:tcPr>
          <w:p>
            <w:pPr>
              <w:jc w:val="right"/>
              <w:ind w:right="224"/>
              <w:spacing w:after="0"/>
              <w:rPr>
                <w:sz w:val="20"/>
                <w:szCs w:val="20"/>
                <w:color w:val="auto"/>
              </w:rPr>
            </w:pPr>
            <w:r>
              <w:rPr>
                <w:rFonts w:ascii="Arial" w:cs="Arial" w:eastAsia="Arial" w:hAnsi="Arial"/>
                <w:sz w:val="18"/>
                <w:szCs w:val="18"/>
                <w:b w:val="1"/>
                <w:bCs w:val="1"/>
                <w:color w:val="auto"/>
              </w:rPr>
              <w:t>95131</w:t>
            </w:r>
          </w:p>
        </w:tc>
      </w:tr>
      <w:tr>
        <w:trPr>
          <w:trHeight w:val="188"/>
        </w:trPr>
        <w:tc>
          <w:tcPr>
            <w:tcW w:w="3020" w:type="dxa"/>
            <w:vAlign w:val="bottom"/>
          </w:tcPr>
          <w:p>
            <w:pPr>
              <w:jc w:val="center"/>
              <w:ind w:right="62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240" w:type="dxa"/>
            <w:vAlign w:val="bottom"/>
          </w:tcPr>
          <w:p>
            <w:pPr>
              <w:spacing w:after="0"/>
              <w:rPr>
                <w:sz w:val="16"/>
                <w:szCs w:val="16"/>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(Zip Code)</w:t>
            </w:r>
          </w:p>
        </w:tc>
      </w:tr>
    </w:tbl>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(408) 457-3700</w:t>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0"/>
              </w:rPr>
              <w:t>Trading</w:t>
            </w:r>
          </w:p>
        </w:tc>
        <w:tc>
          <w:tcPr>
            <w:tcW w:w="14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24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4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40" w:type="dxa"/>
            <w:vAlign w:val="bottom"/>
          </w:tcPr>
          <w:p>
            <w:pPr>
              <w:spacing w:after="0"/>
              <w:rPr>
                <w:sz w:val="20"/>
                <w:szCs w:val="20"/>
                <w:color w:val="auto"/>
              </w:rPr>
            </w:pP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580" w:type="dxa"/>
            <w:vAlign w:val="bottom"/>
          </w:tcPr>
          <w:p>
            <w:pPr>
              <w:jc w:val="center"/>
              <w:spacing w:after="0"/>
              <w:rPr>
                <w:sz w:val="20"/>
                <w:szCs w:val="20"/>
                <w:color w:val="auto"/>
              </w:rPr>
            </w:pPr>
            <w:r>
              <w:rPr>
                <w:rFonts w:ascii="Arial" w:cs="Arial" w:eastAsia="Arial" w:hAnsi="Arial"/>
                <w:sz w:val="18"/>
                <w:szCs w:val="18"/>
                <w:color w:val="auto"/>
                <w:w w:val="88"/>
              </w:rPr>
              <w:t>Class A common stock, par value $0.0001 per share</w:t>
            </w:r>
          </w:p>
        </w:tc>
        <w:tc>
          <w:tcPr>
            <w:tcW w:w="14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rPr>
              <w:t>RANI</w:t>
            </w:r>
          </w:p>
        </w:tc>
        <w:tc>
          <w:tcPr>
            <w:tcW w:w="14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355600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Supply Agreement</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June 1, 2023, Rani Therapeutics, LLC, an operating subsidiary of Rani Therapeutics Holdings, Inc. (“Rani”), and Celltrion, Inc. (“Celltrion”) entered into a License and Supply Agreement (the “License Agreement”). Under the License Agreement, Celltrion grants Rani an exclusive, worldwide, royalty-free license to certain intellectual property to make, use, sell, offer for sale, import and otherwise exploit an orally-administered therapeutic product using Rani’s oral delivery technology and Celltrion’s adalimumab biosimilar (“Product”) and to use certain information to support the manufacture, development and commercialization of Product. Celltrion will provide, and Rani will purchase, supply of adalimumab biosimilar at supply prices set forth in the License Agreement. In accordance with the License Agreement, Rani will obtain adalimumab biosimilar exclusively from Celltrion for the manufacture, development and commercialization of Product, except that Rani has the right to obtain supply from alternative sources under certain circumstances where Celltrion experiences supply disruption.</w:t>
      </w:r>
    </w:p>
    <w:p>
      <w:pPr>
        <w:spacing w:after="0" w:line="19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Rani has sole right to manufacture, develop and commercialize Product worldwide, subject to an exclusive right of first negotiation (“ROFN”) granted to Celltrion. Following delivery from Rani to Celltrion of a data package consisting of topline safety information, pharmacokinetic results and device performance, and the raw data related to topline results from a phase 1 clinical trial of Product that meets its primary endpoints (“Data Package”), Celltrion will have thirty (30) days to exercise its ROFN. If Celltrion timely exercises the ROFN, then Celltrion will have an exclusive period of ninety (90) days to negotiate in good faith a definitive agreement with Rani for rights to clinically develop and commercialize Product in territories selected by Celltrion. In the event Celltrion does not timely exercise the ROFN or Celltrion notifies Rani that it does not intend to exercise the ROFN or, after timely exercising the ROFN, notifies Rani that Celltrion withdraws its exercise of the ROFN, or the parties fail to enter into a definitive agreement for the development and commercialization of Product within the exclusive negotiation period, then the ROFN will terminate and Rani will have no further obligations under the License Agreement related to a ROFN. The License Agreement allocates rights between the parties with respect to inventions generated in performance of the License Agreement for the manufacture, development and commercialization of Product. Rani will own all data related to the research, development, manufacture, regulatory activities and commercialization of Product conducted by Rani hereunder.</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License Agreement contains customary representations, warranties and covenants, and mutual indemnification provisions. Under the License Agreement, Rani has a right to terminate for convenience subject to certain notice periods, and subject to certain conditions if terminated prior to completion of a phase 1 trial. Celltrion has a right to terminate if Rani does not achieve certain development milestones, and each party has certain rights to terminate for material breach or safety concerns regarding the adalimumab biosimilar or Product.</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description of the License Agreement contained herein does not purport to be complete and is qualified in its entirety by reference to the complete text of the License Agreement, a copy of which will be filed as an exhibit to the Company’s Quarterly Report on Form 10-Q for the quarter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Rani Therapeutics Holdings, Inc.</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700" w:val="left"/>
          <w:tab w:leader="none" w:pos="562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6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Svai Sanford</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2023-06-05T07:08:48Z</dcterms:created>
  <dcterms:modified xsi:type="dcterms:W3CDTF">2023-06-05T07:08:48Z</dcterms:modified>
</cp:coreProperties>
</file>