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Imran Talat</w:t>
              </w:r>
            </w:hyperlink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Rani Therapeutics Holdings,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RANI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RANI THERAPEUTICS LLC</w:t>
            </w:r>
          </w:p>
        </w:tc>
        <w:tc>
          <w:tcPr>
            <w:tcW w:w="29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02/03/2022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2051 RINGWOOD AVE.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02/03/2022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827,467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02/03/2022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12,343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12,343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Biologix Partners, LP and VH Rani, LP. distributed these shares to its limited partners on a pro rata basis, for no consideration.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previously held 378,564 shares of Class A Common Stock of the Issuer ("Class A Shares") held by Biologix Partners, LP and 448,903 Class A Shares held by VH Rani, LP. The Reporting Person disclaims beneficial ownership of these securities except to the extent of his pecuniary interest therein.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VH Moll, L.P., is a limited partner of VH Rani, LP. VH Moll, L.P. therefore received 12,343 Class A Shares distributed by VH Rani, LP. and now owns those shares directly. The Reporting Person is a member of the general partner and disclaims beneficial ownership of these securities except to the extent of his pecuniary interest therein.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Josh Seidenfeld,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 for Talat Imran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9579" TargetMode="External"/><Relationship Id="rId13" Type="http://schemas.openxmlformats.org/officeDocument/2006/relationships/hyperlink" Target="http://www.sec.gov/cgi-bin/browse-edgar?action=getcompany&amp;CIK=0001856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2022-02-07T21:46:39Z</dcterms:created>
  <dcterms:modified xsi:type="dcterms:W3CDTF">2022-02-07T21:46:39Z</dcterms:modified>
</cp:coreProperties>
</file>