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Mir Imran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Rani Therapeutics Holdings, Inc., 2051 Ringwood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Jose, CA, 95131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408-457-3700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InCube Labs,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22,424,788.00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22,424,788.00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22,424,788.00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MIR A IMRAN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27,093,552.00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27,093,552.00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27,093,552.00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InCube Ventures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301,710.00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301,710.00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301,710.00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Rani Investment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7,694.00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7,694.00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2051 RINGWOOD AVENUE, SAN JOSE, CALIFORNIA , 95131.</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("Amendment No. 1") to Schedule 13D relates to the shares of Class A common stock,</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$0.0001 par value per share (the "Class A Common Stock"), of Rani Therapeutics Holdings, Inc., a Delaware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corporation (the "Issuer"), and amends and supplements the initial statement on Schedule 13D filed jointly by Mir Imran and InCube Labs, L.L.C. with the Securities and Exchange Commission on August 23, 2021, Unless otherwise defined herein, capitalized terms used in this Amendment No. 1 shall have the meanings ascribed to them in the</w:t>
      </w:r>
    </w:p>
    <w:p>
      <w:pPr>
        <w:spacing w:after="0" w:line="1" w:lineRule="exact"/>
        <w:rPr>
          <w:sz w:val="20"/>
          <w:szCs w:val="20"/>
          <w:color w:val="auto"/>
        </w:rPr>
      </w:pPr>
    </w:p>
    <w:p>
      <w:pPr>
        <w:ind w:right="360" w:firstLine="952"/>
        <w:spacing w:after="0" w:line="283" w:lineRule="auto"/>
        <w:rPr>
          <w:sz w:val="20"/>
          <w:szCs w:val="20"/>
          <w:color w:val="auto"/>
        </w:rPr>
      </w:pPr>
      <w:r>
        <w:rPr>
          <w:rFonts w:ascii="Times New Roman" w:cs="Times New Roman" w:eastAsia="Times New Roman" w:hAnsi="Times New Roman"/>
          <w:sz w:val="22"/>
          <w:szCs w:val="22"/>
          <w:color w:val="auto"/>
        </w:rPr>
        <w:t>Schedule 13D. Unless amended or supplemented below, the information in the Schedule 13D remains unchanged. Item 2. Identity and Background</w:t>
      </w:r>
    </w:p>
    <w:p>
      <w:pPr>
        <w:ind w:left="920" w:right="320"/>
        <w:spacing w:after="0" w:line="253" w:lineRule="auto"/>
        <w:rPr>
          <w:sz w:val="20"/>
          <w:szCs w:val="20"/>
          <w:color w:val="auto"/>
        </w:rPr>
      </w:pPr>
      <w:r>
        <w:rPr>
          <w:rFonts w:ascii="Times New Roman" w:cs="Times New Roman" w:eastAsia="Times New Roman" w:hAnsi="Times New Roman"/>
          <w:sz w:val="21"/>
          <w:szCs w:val="21"/>
          <w:color w:val="auto"/>
        </w:rPr>
        <w:t>This Statement is being jointly filed by (i) Mir Imran, a United States citizen, (ii) InCube Labs, L.L.C., a Delaware limited liability company ("ICL"), InCube Ventures II, LP, a Delaware limited Partnership ("ICV") and Rani</w:t>
      </w:r>
    </w:p>
    <w:p>
      <w:pPr>
        <w:spacing w:after="0" w:line="1" w:lineRule="exact"/>
        <w:rPr>
          <w:sz w:val="20"/>
          <w:szCs w:val="20"/>
          <w:color w:val="auto"/>
        </w:rPr>
      </w:pPr>
    </w:p>
    <w:p>
      <w:pPr>
        <w:ind w:left="920" w:right="12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Corp, a Delaware corporation ("RIC" and together with Mr. Imran, ICL and ICV, the "Reporting Persons"), pursuant to Rule 13d-1(k) promulgated by the Securities and Exchange Commission (the "SEC") pursuant to Section 13 of the Securities Exchange Act of 1934, as amended.</w:t>
      </w:r>
    </w:p>
    <w:p>
      <w:pPr>
        <w:spacing w:after="0" w:line="15" w:lineRule="exact"/>
        <w:rPr>
          <w:rFonts w:ascii="Times New Roman" w:cs="Times New Roman" w:eastAsia="Times New Roman" w:hAnsi="Times New Roman"/>
          <w:sz w:val="22"/>
          <w:szCs w:val="22"/>
          <w:color w:val="auto"/>
        </w:rPr>
      </w:pPr>
    </w:p>
    <w:p>
      <w:pPr>
        <w:ind w:left="920" w:right="520" w:hanging="912"/>
        <w:spacing w:after="0"/>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each of the Reporting Persons is 2051 Ringwood Avenue, San Jose, California 95131.</w:t>
      </w:r>
    </w:p>
    <w:p>
      <w:pPr>
        <w:spacing w:after="0" w:line="91"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business of Mr. Imran is serving as a Director of the Issuer and Managing Member of ICL. The</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business of ICL, ICV and RIC is conducting research, developing and commercializing healthcare related innovations and funding such activities.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nor to the knowledge of the Reporting Persons, none of the executive officers,</w:t>
      </w:r>
    </w:p>
    <w:p>
      <w:pPr>
        <w:spacing w:after="0" w:line="14" w:lineRule="exact"/>
        <w:rPr>
          <w:rFonts w:ascii="Times New Roman" w:cs="Times New Roman" w:eastAsia="Times New Roman" w:hAnsi="Times New Roman"/>
          <w:sz w:val="22"/>
          <w:szCs w:val="22"/>
          <w:color w:val="auto"/>
        </w:rPr>
      </w:pPr>
    </w:p>
    <w:p>
      <w:pPr>
        <w:ind w:left="920" w:right="70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or partners of the Reporting Persons, if applicable, has, during the last five years,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right="7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None of the Reporting Persons, nor to the knowledge of the Reporting Persons, none of the executive officers, directors or partners of the Reporting Persons, if applicable, was, during the last five years, a party to a civil</w:t>
      </w:r>
    </w:p>
    <w:p>
      <w:pPr>
        <w:ind w:left="920" w:right="1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 for citizenship and place of organization, as applicable, of each of the Reporting Persons.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80"/>
        <w:spacing w:after="0" w:line="238" w:lineRule="auto"/>
        <w:rPr>
          <w:sz w:val="20"/>
          <w:szCs w:val="20"/>
          <w:color w:val="auto"/>
        </w:rPr>
      </w:pPr>
      <w:r>
        <w:rPr>
          <w:rFonts w:ascii="Times New Roman" w:cs="Times New Roman" w:eastAsia="Times New Roman" w:hAnsi="Times New Roman"/>
          <w:sz w:val="22"/>
          <w:szCs w:val="22"/>
          <w:color w:val="auto"/>
        </w:rPr>
        <w:t>Item 3 of the Statement is hereby amended and supplemented as follows: On October 23, 2025, in connection with a private placement of Issuer's securities, Mr. Imran purchased 2,083,334 shares of Class A Common Stock and 2,083,334 warrants ("Warrants") to purchase Class A Common Stock at a combined purchase price of $0.605 per share and accompanying warrant. The total purchase price of the securities acquired in the private placement was $1,260,417.07. Mr. Imran used personal funds to purchase the securities in the private placement.</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1"/>
          <w:szCs w:val="21"/>
          <w:color w:val="auto"/>
        </w:rPr>
        <w:t>The information set forth in Item 1 and Item 3 of this Amendment No. 1 is incorporate herein by reference. Item 4 of the Statement is hereby amended and supplemented as follows: In connection with a private placement, as promptly as possible following the closing, but in no event later than ninety (90) days following the closing date, the Issuer has agreed to use reasonable best efforts to: (a) amend the Issuer's Amended and Restated Certificate of Incorporation to, among other things, effect the following: (i) reduce the number of votes to which each share of Class B Common Stock is entitled from ten (10) votes to one (1) vote, (ii) eliminate the ability of the Issuer's stockholders to act by written consent, and (iii) include additional stockholder protective provisions (not including a classified board) (which provisions shall be reasonably acceptable to Samsara BioCapital, an unrelated investor in the private placement, (b) make necessary conforming changes to the Issuer's Amended and Restated Bylaws as a result of the amendments contemplated by (a) above, (c) make necessary conforming changes to that certain Fifth Amended and Restated Limited Liability Company Agreement of Rani Therapeutics, LLC, dated August 3, 2021, as a result of the amendments contemplated by (a) above, and (d) terminate that certain Tax Receivable Agreement, dated August 3, 2021. The form of Securities Purchase Agreement is filed as Exhibit 99.1 hereto. The foregoing description is qualified in its entirety by reference to such exhibit, which is incorporated by reference herein.</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60" w:hanging="912"/>
        <w:spacing w:after="0" w:line="261"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Class A Common Stock and percentages of shares of Class A Common Stock beneficially owned by each Reporting Person and are incorporated herein by reference. The percentage set forth in row 13 is based upon</w:t>
      </w:r>
    </w:p>
    <w:p>
      <w:pPr>
        <w:sectPr>
          <w:pgSz w:w="11900" w:h="16838" w:orient="portrait"/>
          <w:cols w:equalWidth="0" w:num="1">
            <w:col w:w="11160"/>
          </w:cols>
          <w:pgMar w:left="360" w:top="110" w:right="379" w:bottom="0" w:gutter="0" w:footer="0" w:header="0"/>
        </w:sectPr>
      </w:pPr>
    </w:p>
    <w:bookmarkStart w:id="5" w:name="page6"/>
    <w:bookmarkEnd w:id="5"/>
    <w:p>
      <w:pPr>
        <w:ind w:left="920" w:right="40"/>
        <w:spacing w:after="0" w:line="234" w:lineRule="auto"/>
        <w:rPr>
          <w:sz w:val="20"/>
          <w:szCs w:val="20"/>
          <w:color w:val="auto"/>
        </w:rPr>
      </w:pPr>
      <w:r>
        <w:rPr>
          <w:rFonts w:ascii="Times New Roman" w:cs="Times New Roman" w:eastAsia="Times New Roman" w:hAnsi="Times New Roman"/>
          <w:sz w:val="22"/>
          <w:szCs w:val="22"/>
          <w:color w:val="auto"/>
        </w:rPr>
        <w:t>97,541,221 shares of the Issuer's Class A Common Stock outstanding as of October 23, 2025, as reported in the Issuer's Form 8-K filed with the SEC on October 27, 2025. The shares beneficially owned by Mr. Imran include (i) 2,083,334 shares of Class A Common Stock held directly by Mr. Imran; (ii) 52,781 shares of Class A Common Stock held by ICV; (iii) 13,664 shares of Class A Common Stock held by ICV; (iv) 7,694 shares held by RIC; (v) warrants exercisable for up to 2,083,334 shares of Class A Common Stock held directly by Mr. Imran; and (vi) 192,692 shares of Class A Common Stock issuable within 60 days of the date of this report, upon the exercise of stock options held by Mr. Imran. The shares beneficially owned by Mr. Imran also include 22,411,124 shares of Class B Common Stock held by ICL and 248,929 shares of Class A Common Stock issuable upon exchange of Class A common units of Rani Therapeutics, LLC held by ICV. Mr. Imran is a general partner of ICV and RIC. Mr. Imran is the sole managing member of ICL, which is wholly owned by Mr. Irman and his family.</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Rows 7 through 10 of each Reporting Person's cover page to this Amendment No. 1 set forth the number of shares of</w:t>
      </w:r>
    </w:p>
    <w:p>
      <w:pPr>
        <w:spacing w:after="0" w:line="26" w:lineRule="exact"/>
        <w:rPr>
          <w:sz w:val="20"/>
          <w:szCs w:val="20"/>
          <w:color w:val="auto"/>
        </w:rPr>
      </w:pPr>
    </w:p>
    <w:p>
      <w:pPr>
        <w:ind w:left="920" w:right="4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 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information is set forth in Item 3 and Item 4 of this Amendment No. 1 and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32" w:lineRule="auto"/>
        <w:rPr>
          <w:sz w:val="20"/>
          <w:szCs w:val="20"/>
          <w:color w:val="auto"/>
        </w:rPr>
      </w:pPr>
      <w:r>
        <w:rPr>
          <w:rFonts w:ascii="Times New Roman" w:cs="Times New Roman" w:eastAsia="Times New Roman" w:hAnsi="Times New Roman"/>
          <w:sz w:val="22"/>
          <w:szCs w:val="22"/>
          <w:color w:val="auto"/>
        </w:rPr>
        <w:t>The information set forth in Item 3 and Item 4 of this Amendment No. 1 is incorporated herein by reference. Warrants The Warrants will become exercisable following the effective date of stockholder approval and have a term of five years following the initial exercise date. The Warrants have an exercise price of $0.48 per share. In connection with the private placement, the Issuer has agreed to seek approval from its stockholders for the issuance of the shares issuable upon exercise of the Warrants within 75 days following the closing of the private placement, and the Reporting Persons, who collectively own shares of the Issuer's capital stock representing a majority of the outstanding voting power, intend to vote their shares in favor of this proposal when submitted to stockholders. The form of Warrant is filed as Exhibit 99.3 hereto. The foregoing description of the terms of the Registration Rights Agreement is qualified in its entirety by reference to such exhibit, which is incorporated by reference herein. Registration Rights Agreement In connection with the private placement, the Issuer and the investors in the private placement, including Mr. Imran, entered into a registration rights agreement (the "Registration Rights Agreement"), pursuant to which the Issuer has agreed to file registration statements under the Securities Act of 1933, as amended (the "Securities Act"), with the Securities and Exchange Commission (the "SEC"), covering the resale of the shares issued in the private placement, including the shares underlying the Warrants, no later than 15 days following the closing of the private placement, and to use reasonable best efforts to have the registration statement declared effective 45 days after the closing date, and in any event no later than 90 days following the closing date in the event of a "full review" by the SEC. The form of Registration Rights Agreement is filed as Exhibit 99.2 hereto. The foregoing description of the terms of the Registration Rights Agreement is qualified in its entirety by reference to such exhibit, which is incorporated by reference herein.</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Exhibit 99.1 Form of Securities Purchase Agreement, dated October 6, 2025, by and between Rani Therapeutics Holdings, Inc. and the Purchasers (incorporated herein by reference to Exhibit 10.1 to the Issuer's Form 8-K filed with the Securities and Exchange Commission on October 17, 2025 (File No. 001-40672) Exhibit 99.2 Form of Registration Rights Agreement, dated October 6, 2025, by and between Rani Therapeutics Holdings, Inc. and the Purchasers (incorporated herein by reference to Exhibit 10.2 to the Issuer's Form 8-K filed with the Securities and Exchange Commission on October 17, 2025 (File No. 001-40672) Exhibit 99.3 Form of Warrant (incorporated herein by reference to Exhibit 10.3 to the Issuer's Form 8-K filed with the Securities and Exchange Commission on October 17, 2025 (File No. 001-40672)</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InCube Labs, L.L.C.</w:t>
      </w:r>
    </w:p>
    <w:p>
      <w:pPr>
        <w:spacing w:after="0" w:line="152"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Mir Imran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Mir Imran, Managing Member</w:t>
      </w:r>
    </w:p>
    <w:p>
      <w:pPr>
        <w:spacing w:after="0" w:line="44"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MIR A IMRAN</w:t>
      </w:r>
    </w:p>
    <w:p>
      <w:pPr>
        <w:spacing w:after="0" w:line="152"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Mir Imran</w:t>
      </w:r>
    </w:p>
    <w:p>
      <w:pPr>
        <w:spacing w:after="0" w:line="4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Name/Title: Mir Imran</w:t>
      </w:r>
    </w:p>
    <w:p>
      <w:pPr>
        <w:spacing w:after="0" w:line="44"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InCube Ventures II, LP</w:t>
      </w:r>
    </w:p>
    <w:p>
      <w:pPr>
        <w:spacing w:after="0" w:line="152" w:lineRule="exact"/>
        <w:rPr>
          <w:sz w:val="20"/>
          <w:szCs w:val="20"/>
          <w:color w:val="auto"/>
        </w:rPr>
      </w:pPr>
    </w:p>
    <w:p>
      <w:pPr>
        <w:ind w:left="366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Mir Imran</w:t>
      </w:r>
    </w:p>
    <w:p>
      <w:pPr>
        <w:sectPr>
          <w:pgSz w:w="11900" w:h="16838" w:orient="portrait"/>
          <w:cols w:equalWidth="0" w:num="1">
            <w:col w:w="11140"/>
          </w:cols>
          <w:pgMar w:left="360" w:top="111" w:right="399" w:bottom="0" w:gutter="0" w:footer="0" w:header="0"/>
        </w:sectPr>
      </w:pPr>
    </w:p>
    <w:bookmarkStart w:id="6" w:name="page7"/>
    <w:bookmarkEnd w:id="6"/>
    <w:p>
      <w:pPr>
        <w:ind w:left="2580"/>
        <w:spacing w:after="0"/>
        <w:rPr>
          <w:sz w:val="20"/>
          <w:szCs w:val="20"/>
          <w:color w:val="auto"/>
        </w:rPr>
      </w:pPr>
      <w:r>
        <w:rPr>
          <w:rFonts w:ascii="Times New Roman" w:cs="Times New Roman" w:eastAsia="Times New Roman" w:hAnsi="Times New Roman"/>
          <w:sz w:val="21"/>
          <w:szCs w:val="21"/>
          <w:color w:val="auto"/>
        </w:rPr>
        <w:t>Name/Title: Mir Imran, General Partner</w:t>
      </w:r>
    </w:p>
    <w:p>
      <w:pPr>
        <w:spacing w:after="0" w:line="56"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Rani Investment Corp.</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Mir Imran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Name/Title: Mir Imran, General Partner</w:t>
      </w:r>
    </w:p>
    <w:p>
      <w:pPr>
        <w:spacing w:after="0" w:line="56"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2025-10-27T20:58:33Z</dcterms:created>
  <dcterms:modified xsi:type="dcterms:W3CDTF">2025-10-27T20:58:33Z</dcterms:modified>
</cp:coreProperties>
</file>